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8D9CB">
      <w:pPr>
        <w:jc w:val="left"/>
        <w:rPr>
          <w:b/>
          <w:bCs/>
          <w:sz w:val="44"/>
          <w:szCs w:val="44"/>
        </w:rPr>
      </w:pPr>
      <w:r>
        <w:rPr>
          <w:rFonts w:hint="eastAsia"/>
        </w:rPr>
        <w:t xml:space="preserve">       </w:t>
      </w:r>
    </w:p>
    <w:p w14:paraId="162346EA">
      <w:pPr>
        <w:jc w:val="center"/>
        <w:rPr>
          <w:rFonts w:hint="eastAsia"/>
          <w:b/>
          <w:bCs/>
          <w:sz w:val="44"/>
          <w:szCs w:val="44"/>
        </w:rPr>
      </w:pPr>
    </w:p>
    <w:p w14:paraId="661A611F"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精彩纵横云</w:t>
      </w:r>
      <w:r>
        <w:rPr>
          <w:rFonts w:hint="eastAsia" w:ascii="黑体" w:hAnsi="黑体" w:eastAsia="黑体" w:cs="黑体"/>
          <w:b/>
          <w:bCs/>
          <w:sz w:val="52"/>
          <w:szCs w:val="52"/>
        </w:rPr>
        <w:t>采购平台</w:t>
      </w:r>
    </w:p>
    <w:p w14:paraId="059226EE">
      <w:pPr>
        <w:jc w:val="center"/>
        <w:rPr>
          <w:rFonts w:ascii="黑体" w:hAnsi="黑体" w:eastAsia="黑体" w:cs="黑体"/>
          <w:b/>
          <w:bCs/>
          <w:sz w:val="52"/>
          <w:szCs w:val="52"/>
        </w:rPr>
      </w:pPr>
    </w:p>
    <w:p w14:paraId="5F6648FF">
      <w:pPr>
        <w:jc w:val="center"/>
        <w:rPr>
          <w:rFonts w:ascii="黑体" w:hAnsi="黑体" w:eastAsia="黑体" w:cs="黑体"/>
          <w:b/>
          <w:bCs/>
          <w:sz w:val="52"/>
          <w:szCs w:val="52"/>
        </w:rPr>
      </w:pPr>
    </w:p>
    <w:p w14:paraId="54B201AB"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操</w:t>
      </w:r>
    </w:p>
    <w:p w14:paraId="67B819C8"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作</w:t>
      </w:r>
    </w:p>
    <w:p w14:paraId="4F545617"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指</w:t>
      </w:r>
    </w:p>
    <w:p w14:paraId="38B88433"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南</w:t>
      </w:r>
    </w:p>
    <w:p w14:paraId="45D5EAB2"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（供应商）</w:t>
      </w:r>
    </w:p>
    <w:p w14:paraId="2757DED6">
      <w:pPr>
        <w:jc w:val="center"/>
        <w:rPr>
          <w:rFonts w:hint="eastAsia" w:ascii="黑体" w:hAnsi="黑体" w:eastAsia="黑体" w:cs="黑体"/>
          <w:b/>
          <w:bCs/>
          <w:sz w:val="52"/>
          <w:szCs w:val="52"/>
        </w:rPr>
      </w:pPr>
    </w:p>
    <w:p w14:paraId="1755B932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</w:p>
    <w:p w14:paraId="1FC7D9F2">
      <w:pPr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</w:p>
    <w:p w14:paraId="7353D7E0">
      <w:pPr>
        <w:rPr>
          <w:rFonts w:hint="eastAsia" w:ascii="黑体" w:hAnsi="黑体" w:eastAsia="黑体" w:cs="黑体"/>
          <w:b/>
          <w:bCs/>
          <w:sz w:val="32"/>
          <w:szCs w:val="32"/>
        </w:rPr>
      </w:pPr>
    </w:p>
    <w:p w14:paraId="2312E20F"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江西省精彩纵横采购咨询有限公司</w:t>
      </w:r>
    </w:p>
    <w:p w14:paraId="52139ACC"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二〇二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五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年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四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月</w:t>
      </w:r>
    </w:p>
    <w:p w14:paraId="1A9EC335">
      <w:pPr>
        <w:jc w:val="center"/>
        <w:rPr>
          <w:rFonts w:hint="eastAsia" w:eastAsia="黑体"/>
          <w:b/>
          <w:szCs w:val="21"/>
        </w:rPr>
      </w:pPr>
    </w:p>
    <w:p w14:paraId="5CC5934A">
      <w:pPr>
        <w:widowControl/>
        <w:spacing w:after="156" w:afterLines="50" w:line="360" w:lineRule="auto"/>
        <w:jc w:val="center"/>
        <w:rPr>
          <w:rFonts w:hint="eastAsia" w:eastAsia="黑体"/>
          <w:b/>
          <w:sz w:val="36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8727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黑体" w:cs="Times New Roman"/>
          <w:kern w:val="2"/>
          <w:sz w:val="24"/>
          <w:szCs w:val="21"/>
          <w:lang w:val="en-US" w:eastAsia="zh-CN" w:bidi="ar-SA"/>
        </w:rPr>
      </w:sdtEndPr>
      <w:sdtContent>
        <w:p w14:paraId="6F1FF9E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669EEA87">
          <w:pPr>
            <w:pStyle w:val="9"/>
            <w:tabs>
              <w:tab w:val="right" w:leader="dot" w:pos="8306"/>
            </w:tabs>
          </w:pPr>
          <w:r>
            <w:rPr>
              <w:rFonts w:hint="eastAsia" w:eastAsia="黑体"/>
              <w:b/>
              <w:sz w:val="36"/>
              <w:szCs w:val="21"/>
            </w:rPr>
            <w:fldChar w:fldCharType="begin"/>
          </w:r>
          <w:r>
            <w:rPr>
              <w:rFonts w:hint="eastAsia" w:eastAsia="黑体"/>
              <w:b/>
              <w:sz w:val="36"/>
              <w:szCs w:val="21"/>
            </w:rPr>
            <w:instrText xml:space="preserve">TOC \o "1-3" \h \u </w:instrText>
          </w:r>
          <w:r>
            <w:rPr>
              <w:rFonts w:hint="eastAsia" w:eastAsia="黑体"/>
              <w:b/>
              <w:sz w:val="36"/>
              <w:szCs w:val="21"/>
            </w:rPr>
            <w:fldChar w:fldCharType="separate"/>
          </w: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_Toc26452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/>
              <w:szCs w:val="36"/>
            </w:rPr>
            <w:t>一、电脑环境要求</w:t>
          </w:r>
          <w:r>
            <w:tab/>
          </w:r>
          <w:r>
            <w:fldChar w:fldCharType="begin"/>
          </w:r>
          <w:r>
            <w:instrText xml:space="preserve"> PAGEREF _Toc26452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390688B8">
          <w:pPr>
            <w:pStyle w:val="9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_Toc14810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/>
              <w:szCs w:val="36"/>
              <w:lang w:val="en-US" w:eastAsia="zh-CN"/>
            </w:rPr>
            <w:t>二</w:t>
          </w:r>
          <w:r>
            <w:rPr>
              <w:rFonts w:hint="eastAsia" w:ascii="宋体" w:hAnsi="宋体"/>
              <w:szCs w:val="36"/>
            </w:rPr>
            <w:t>、投标人操作</w:t>
          </w:r>
          <w:r>
            <w:tab/>
          </w:r>
          <w:r>
            <w:fldChar w:fldCharType="begin"/>
          </w:r>
          <w:r>
            <w:instrText xml:space="preserve"> PAGEREF _Toc14810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712AE00E">
          <w:pPr>
            <w:pStyle w:val="9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_Toc17725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/>
            </w:rPr>
            <w:t>1.注册</w:t>
          </w:r>
          <w:r>
            <w:tab/>
          </w:r>
          <w:r>
            <w:fldChar w:fldCharType="begin"/>
          </w:r>
          <w:r>
            <w:instrText xml:space="preserve"> PAGEREF _Toc17725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48FCC9E6">
          <w:pPr>
            <w:pStyle w:val="10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_Toc30564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/>
              <w:szCs w:val="30"/>
            </w:rPr>
            <w:t>1.1.企业管理</w:t>
          </w:r>
          <w:r>
            <w:tab/>
          </w:r>
          <w:r>
            <w:fldChar w:fldCharType="begin"/>
          </w:r>
          <w:r>
            <w:instrText xml:space="preserve"> PAGEREF _Toc30564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46B4B371">
          <w:pPr>
            <w:pStyle w:val="9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_Toc3184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</w:rPr>
            <w:t>2.投标</w:t>
          </w:r>
          <w:r>
            <w:tab/>
          </w:r>
          <w:r>
            <w:fldChar w:fldCharType="begin"/>
          </w:r>
          <w:r>
            <w:instrText xml:space="preserve"> PAGEREF _Toc3184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431BF854">
          <w:pPr>
            <w:pStyle w:val="10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_Toc4470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2.1.项目参与</w:t>
          </w:r>
          <w:r>
            <w:tab/>
          </w:r>
          <w:r>
            <w:fldChar w:fldCharType="begin"/>
          </w:r>
          <w:r>
            <w:instrText xml:space="preserve"> PAGEREF _Toc4470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0C26A4D9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_Toc8662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2.1.1.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招标采购信息</w:t>
          </w:r>
          <w:r>
            <w:tab/>
          </w:r>
          <w:r>
            <w:fldChar w:fldCharType="begin"/>
          </w:r>
          <w:r>
            <w:instrText xml:space="preserve"> PAGEREF _Toc8662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24F35F76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_Toc3729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2.1.2.招标采购</w:t>
          </w:r>
          <w:r>
            <w:tab/>
          </w:r>
          <w:r>
            <w:fldChar w:fldCharType="begin"/>
          </w:r>
          <w:r>
            <w:instrText xml:space="preserve"> PAGEREF _Toc3729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4B19CF6A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_Toc14906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2.1.3.询比采购报价</w:t>
          </w:r>
          <w:r>
            <w:tab/>
          </w:r>
          <w:r>
            <w:fldChar w:fldCharType="begin"/>
          </w:r>
          <w:r>
            <w:instrText xml:space="preserve"> PAGEREF _Toc14906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18FA5BC8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_Toc16220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2.1.4.竞价采购</w:t>
          </w:r>
          <w:r>
            <w:tab/>
          </w:r>
          <w:r>
            <w:fldChar w:fldCharType="begin"/>
          </w:r>
          <w:r>
            <w:instrText xml:space="preserve"> PAGEREF _Toc16220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47934AF0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_Toc16016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5</w:t>
          </w:r>
          <w:r>
            <w:rPr>
              <w:rFonts w:hint="eastAsia" w:ascii="宋体" w:hAnsi="宋体" w:cs="宋体"/>
              <w:szCs w:val="30"/>
            </w:rPr>
            <w:t>.谈判采购</w:t>
          </w:r>
          <w:r>
            <w:tab/>
          </w:r>
          <w:r>
            <w:fldChar w:fldCharType="begin"/>
          </w:r>
          <w:r>
            <w:instrText xml:space="preserve"> PAGEREF _Toc16016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60424E16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_Toc24666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6</w:t>
          </w:r>
          <w:r>
            <w:rPr>
              <w:rFonts w:hint="eastAsia" w:ascii="宋体" w:hAnsi="宋体" w:cs="宋体"/>
              <w:szCs w:val="30"/>
            </w:rPr>
            <w:t>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直接</w:t>
          </w:r>
          <w:r>
            <w:rPr>
              <w:rFonts w:hint="eastAsia" w:ascii="宋体" w:hAnsi="宋体" w:cs="宋体"/>
              <w:szCs w:val="30"/>
            </w:rPr>
            <w:t>采购</w:t>
          </w:r>
          <w:r>
            <w:tab/>
          </w:r>
          <w:r>
            <w:fldChar w:fldCharType="begin"/>
          </w:r>
          <w:r>
            <w:instrText xml:space="preserve"> PAGEREF _Toc24666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5B690BF9">
          <w:pPr>
            <w:pStyle w:val="10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_Toc31548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2.2.投标客户端的使用</w:t>
          </w:r>
          <w:r>
            <w:tab/>
          </w:r>
          <w:r>
            <w:fldChar w:fldCharType="begin"/>
          </w:r>
          <w:r>
            <w:instrText xml:space="preserve"> PAGEREF _Toc31548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4BE005F7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_Toc20098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2.2.1.打开投标客户端</w:t>
          </w:r>
          <w:r>
            <w:tab/>
          </w:r>
          <w:r>
            <w:fldChar w:fldCharType="begin"/>
          </w:r>
          <w:r>
            <w:instrText xml:space="preserve"> PAGEREF _Toc20098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08DCB538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_Toc15071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2.2.2.文件导入</w:t>
          </w:r>
          <w:r>
            <w:tab/>
          </w:r>
          <w:r>
            <w:fldChar w:fldCharType="begin"/>
          </w:r>
          <w:r>
            <w:instrText xml:space="preserve"> PAGEREF _Toc15071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371AE303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_Toc3441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2.2.3.文件签章</w:t>
          </w:r>
          <w:r>
            <w:tab/>
          </w:r>
          <w:r>
            <w:fldChar w:fldCharType="begin"/>
          </w:r>
          <w:r>
            <w:instrText xml:space="preserve"> PAGEREF _Toc3441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285A7C4D">
          <w:pPr>
            <w:pStyle w:val="6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_Toc12334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  <w:szCs w:val="30"/>
            </w:rPr>
            <w:t>2.2.4.投标文件上传</w:t>
          </w:r>
          <w:r>
            <w:tab/>
          </w:r>
          <w:r>
            <w:fldChar w:fldCharType="begin"/>
          </w:r>
          <w:r>
            <w:instrText xml:space="preserve"> PAGEREF _Toc12334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4BFB7477">
          <w:pPr>
            <w:pStyle w:val="9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_Toc5195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</w:rPr>
            <w:t>3.开标</w:t>
          </w:r>
          <w:r>
            <w:tab/>
          </w:r>
          <w:r>
            <w:fldChar w:fldCharType="begin"/>
          </w:r>
          <w:r>
            <w:instrText xml:space="preserve"> PAGEREF _Toc5195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01307F54">
          <w:pPr>
            <w:pStyle w:val="9"/>
            <w:tabs>
              <w:tab w:val="right" w:leader="dot" w:pos="8306"/>
            </w:tabs>
          </w:pPr>
          <w:r>
            <w:rPr>
              <w:rFonts w:hint="eastAsia" w:eastAsia="黑体"/>
              <w:szCs w:val="21"/>
            </w:rPr>
            <w:fldChar w:fldCharType="begin"/>
          </w:r>
          <w:r>
            <w:rPr>
              <w:rFonts w:hint="eastAsia" w:eastAsia="黑体"/>
              <w:szCs w:val="21"/>
            </w:rPr>
            <w:instrText xml:space="preserve"> HYPERLINK \l _Toc28641 </w:instrText>
          </w:r>
          <w:r>
            <w:rPr>
              <w:rFonts w:hint="eastAsia" w:eastAsia="黑体"/>
              <w:szCs w:val="21"/>
            </w:rPr>
            <w:fldChar w:fldCharType="separate"/>
          </w:r>
          <w:r>
            <w:rPr>
              <w:rFonts w:hint="eastAsia" w:ascii="宋体" w:hAnsi="宋体" w:cs="宋体"/>
            </w:rPr>
            <w:t>4.评标</w:t>
          </w:r>
          <w:r>
            <w:tab/>
          </w:r>
          <w:r>
            <w:fldChar w:fldCharType="begin"/>
          </w:r>
          <w:r>
            <w:instrText xml:space="preserve"> PAGEREF _Toc28641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eastAsia="黑体"/>
              <w:szCs w:val="21"/>
            </w:rPr>
            <w:fldChar w:fldCharType="end"/>
          </w:r>
        </w:p>
        <w:p w14:paraId="6964231D">
          <w:pPr>
            <w:widowControl/>
            <w:spacing w:after="156" w:afterLines="50" w:line="360" w:lineRule="auto"/>
            <w:jc w:val="center"/>
            <w:rPr>
              <w:rFonts w:hint="eastAsia" w:ascii="Times New Roman" w:hAnsi="Times New Roman" w:eastAsia="黑体" w:cs="Times New Roman"/>
              <w:kern w:val="2"/>
              <w:sz w:val="24"/>
              <w:szCs w:val="21"/>
              <w:lang w:val="en-US" w:eastAsia="zh-CN" w:bidi="ar-SA"/>
            </w:rPr>
          </w:pPr>
          <w:r>
            <w:rPr>
              <w:rFonts w:hint="eastAsia" w:eastAsia="黑体"/>
              <w:szCs w:val="21"/>
            </w:rPr>
            <w:fldChar w:fldCharType="end"/>
          </w:r>
        </w:p>
      </w:sdtContent>
    </w:sdt>
    <w:p w14:paraId="1E76421C">
      <w:pPr>
        <w:widowControl/>
        <w:spacing w:after="156" w:afterLines="50" w:line="360" w:lineRule="auto"/>
        <w:jc w:val="center"/>
        <w:rPr>
          <w:rFonts w:hint="eastAsia" w:ascii="Times New Roman" w:hAnsi="Times New Roman" w:eastAsia="黑体" w:cs="Times New Roman"/>
          <w:kern w:val="2"/>
          <w:sz w:val="24"/>
          <w:szCs w:val="21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40" w:name="_GoBack"/>
      <w:bookmarkEnd w:id="40"/>
    </w:p>
    <w:p w14:paraId="2AF36510">
      <w:pPr>
        <w:pStyle w:val="2"/>
        <w:spacing w:before="0" w:after="0" w:line="240" w:lineRule="auto"/>
        <w:ind w:firstLine="0" w:firstLineChars="0"/>
        <w:jc w:val="center"/>
        <w:rPr>
          <w:rFonts w:hint="eastAsia"/>
          <w:sz w:val="36"/>
          <w:szCs w:val="36"/>
        </w:rPr>
      </w:pPr>
      <w:bookmarkStart w:id="0" w:name="_Toc2953"/>
      <w:bookmarkStart w:id="1" w:name="_Toc19182"/>
      <w:bookmarkStart w:id="2" w:name="_Toc26452"/>
      <w:bookmarkStart w:id="3" w:name="_Toc15185"/>
      <w:r>
        <w:rPr>
          <w:rFonts w:hint="eastAsia"/>
          <w:sz w:val="36"/>
          <w:szCs w:val="36"/>
        </w:rPr>
        <w:t>一、电脑环境要求</w:t>
      </w:r>
      <w:bookmarkEnd w:id="0"/>
      <w:bookmarkEnd w:id="1"/>
      <w:bookmarkEnd w:id="2"/>
    </w:p>
    <w:p w14:paraId="7A684164">
      <w:pPr>
        <w:spacing w:line="560" w:lineRule="exact"/>
        <w:ind w:firstLine="600" w:firstLineChars="200"/>
        <w:rPr>
          <w:rFonts w:hint="eastAsia" w:ascii="宋体" w:hAnsi="宋体"/>
          <w:sz w:val="36"/>
          <w:szCs w:val="36"/>
          <w:lang w:val="en-US" w:eastAsia="zh-CN"/>
        </w:rPr>
      </w:pPr>
      <w:r>
        <w:rPr>
          <w:rFonts w:hint="eastAsia" w:ascii="宋体" w:hAnsi="宋体" w:cs="宋体"/>
          <w:sz w:val="30"/>
          <w:szCs w:val="30"/>
        </w:rPr>
        <w:t>建议使用微软自带的Chrome（谷歌浏览器），同时也兼容360、edge、QQ等主流浏览器，不建议使用</w:t>
      </w:r>
      <w:r>
        <w:rPr>
          <w:rFonts w:ascii="宋体" w:hAnsi="宋体" w:cs="宋体"/>
          <w:sz w:val="30"/>
          <w:szCs w:val="30"/>
        </w:rPr>
        <w:t>IE</w:t>
      </w:r>
      <w:r>
        <w:rPr>
          <w:rFonts w:hint="eastAsia" w:ascii="宋体" w:hAnsi="宋体" w:cs="宋体"/>
          <w:sz w:val="30"/>
          <w:szCs w:val="30"/>
        </w:rPr>
        <w:t>浏览器。</w:t>
      </w:r>
    </w:p>
    <w:p w14:paraId="373231A7">
      <w:pPr>
        <w:pStyle w:val="2"/>
        <w:spacing w:before="0" w:after="0" w:line="240" w:lineRule="auto"/>
        <w:ind w:firstLine="0" w:firstLineChars="0"/>
        <w:jc w:val="center"/>
        <w:rPr>
          <w:rFonts w:hint="eastAsia" w:ascii="宋体" w:hAnsi="宋体"/>
          <w:sz w:val="36"/>
          <w:szCs w:val="36"/>
        </w:rPr>
      </w:pPr>
      <w:bookmarkStart w:id="4" w:name="_Toc14810"/>
      <w:r>
        <w:rPr>
          <w:rFonts w:hint="eastAsia" w:ascii="宋体" w:hAnsi="宋体"/>
          <w:sz w:val="36"/>
          <w:szCs w:val="36"/>
          <w:lang w:val="en-US" w:eastAsia="zh-CN"/>
        </w:rPr>
        <w:t>二</w:t>
      </w:r>
      <w:r>
        <w:rPr>
          <w:rFonts w:hint="eastAsia" w:ascii="宋体" w:hAnsi="宋体"/>
          <w:sz w:val="36"/>
          <w:szCs w:val="36"/>
        </w:rPr>
        <w:t>、投标人操作</w:t>
      </w:r>
      <w:bookmarkEnd w:id="3"/>
      <w:bookmarkEnd w:id="4"/>
    </w:p>
    <w:p w14:paraId="531D06D7">
      <w:pPr>
        <w:pStyle w:val="2"/>
        <w:spacing w:before="0" w:after="0" w:line="560" w:lineRule="exact"/>
        <w:ind w:firstLine="0" w:firstLineChars="0"/>
        <w:rPr>
          <w:rFonts w:hint="eastAsia" w:ascii="宋体" w:hAnsi="宋体"/>
        </w:rPr>
      </w:pPr>
      <w:bookmarkStart w:id="5" w:name="_Toc6487"/>
      <w:bookmarkStart w:id="6" w:name="_Toc17725"/>
      <w:r>
        <w:rPr>
          <w:rFonts w:hint="eastAsia" w:ascii="宋体" w:hAnsi="宋体"/>
        </w:rPr>
        <w:t>1.注册</w:t>
      </w:r>
      <w:bookmarkEnd w:id="5"/>
      <w:bookmarkEnd w:id="6"/>
    </w:p>
    <w:p w14:paraId="50612E9F">
      <w:pPr>
        <w:spacing w:line="560" w:lineRule="exact"/>
        <w:ind w:firstLine="450" w:firstLineChars="150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通过</w:t>
      </w:r>
      <w:r>
        <w:rPr>
          <w:rFonts w:hint="eastAsia" w:ascii="宋体" w:hAnsi="宋体"/>
          <w:color w:val="auto"/>
          <w:sz w:val="30"/>
          <w:szCs w:val="30"/>
          <w:u w:val="none"/>
        </w:rPr>
        <w:t>https://www.</w:t>
      </w:r>
      <w:r>
        <w:rPr>
          <w:rFonts w:hint="eastAsia" w:ascii="宋体" w:hAnsi="宋体"/>
          <w:color w:val="auto"/>
          <w:sz w:val="30"/>
          <w:szCs w:val="30"/>
          <w:u w:val="none"/>
          <w:lang w:val="en-US" w:eastAsia="zh-CN"/>
        </w:rPr>
        <w:t>jczh</w:t>
      </w:r>
      <w:r>
        <w:rPr>
          <w:rFonts w:hint="eastAsia" w:ascii="宋体" w:hAnsi="宋体"/>
          <w:sz w:val="30"/>
          <w:szCs w:val="30"/>
        </w:rPr>
        <w:t>.com/，直接访问</w:t>
      </w:r>
      <w:r>
        <w:rPr>
          <w:rFonts w:hint="eastAsia" w:ascii="宋体" w:hAnsi="宋体"/>
          <w:sz w:val="30"/>
          <w:szCs w:val="30"/>
          <w:lang w:val="en-US" w:eastAsia="zh-CN"/>
        </w:rPr>
        <w:t>平台首页</w:t>
      </w:r>
      <w:r>
        <w:rPr>
          <w:rFonts w:hint="eastAsia" w:ascii="宋体" w:hAnsi="宋体"/>
          <w:sz w:val="30"/>
          <w:szCs w:val="30"/>
        </w:rPr>
        <w:t>。</w:t>
      </w:r>
    </w:p>
    <w:p w14:paraId="4D79EF2B">
      <w:pPr>
        <w:spacing w:line="560" w:lineRule="exact"/>
        <w:ind w:firstLine="420" w:firstLineChars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也可通过</w:t>
      </w:r>
      <w:r>
        <w:rPr>
          <w:rFonts w:hint="eastAsia" w:ascii="宋体" w:hAnsi="宋体"/>
          <w:sz w:val="30"/>
          <w:szCs w:val="30"/>
          <w:lang w:val="en-US" w:eastAsia="zh-CN"/>
        </w:rPr>
        <w:t>百度搜索“精彩纵横云采购平台-国家财政部推荐使用平台”进入平台首页</w:t>
      </w:r>
      <w:r>
        <w:rPr>
          <w:rFonts w:hint="eastAsia" w:ascii="宋体" w:hAnsi="宋体"/>
          <w:sz w:val="30"/>
          <w:szCs w:val="30"/>
        </w:rPr>
        <w:t>。</w:t>
      </w:r>
    </w:p>
    <w:p w14:paraId="12749042">
      <w:pPr>
        <w:spacing w:line="360" w:lineRule="auto"/>
        <w:jc w:val="left"/>
        <w:rPr>
          <w:rFonts w:hint="eastAsia" w:ascii="宋体" w:hAnsi="宋体" w:cs="宋体"/>
          <w:sz w:val="30"/>
          <w:szCs w:val="30"/>
        </w:rPr>
      </w:pPr>
      <w:r>
        <w:drawing>
          <wp:inline distT="0" distB="0" distL="114300" distR="114300">
            <wp:extent cx="5268595" cy="2175510"/>
            <wp:effectExtent l="0" t="0" r="8255" b="5715"/>
            <wp:docPr id="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A219">
      <w:pPr>
        <w:spacing w:line="560" w:lineRule="exact"/>
        <w:ind w:firstLine="606" w:firstLineChars="202"/>
        <w:jc w:val="left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进入云采购平台首页，点击“注册”图标，进入平台注册界面。</w:t>
      </w:r>
    </w:p>
    <w:p w14:paraId="59474664">
      <w:pPr>
        <w:jc w:val="left"/>
      </w:pPr>
      <w:r>
        <w:drawing>
          <wp:inline distT="0" distB="0" distL="114300" distR="114300">
            <wp:extent cx="5260975" cy="2424430"/>
            <wp:effectExtent l="0" t="0" r="6350" b="4445"/>
            <wp:docPr id="1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8CCD5">
      <w:pPr>
        <w:spacing w:line="560" w:lineRule="exact"/>
        <w:ind w:firstLine="600" w:firstLineChars="200"/>
        <w:jc w:val="left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平台注册界面如下，填写手机号码等信息，随后选择供应商点击“开始认证”。然后选择企业类型并填写企业信息，上传相应扫描件，点击最下方的“提交认证”。</w:t>
      </w:r>
    </w:p>
    <w:p w14:paraId="43BD052B">
      <w:pPr>
        <w:spacing w:line="360" w:lineRule="auto"/>
        <w:jc w:val="left"/>
      </w:pPr>
      <w:r>
        <w:drawing>
          <wp:inline distT="0" distB="0" distL="114300" distR="114300">
            <wp:extent cx="5264785" cy="2832100"/>
            <wp:effectExtent l="0" t="0" r="2540" b="6350"/>
            <wp:docPr id="109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09B2">
      <w:pPr>
        <w:spacing w:line="360" w:lineRule="auto"/>
        <w:jc w:val="left"/>
      </w:pPr>
      <w:r>
        <w:drawing>
          <wp:inline distT="0" distB="0" distL="114300" distR="114300">
            <wp:extent cx="5299075" cy="1747520"/>
            <wp:effectExtent l="0" t="0" r="6350" b="5080"/>
            <wp:docPr id="110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95"/>
                    <pic:cNvPicPr>
                      <a:picLocks noChangeAspect="1"/>
                    </pic:cNvPicPr>
                  </pic:nvPicPr>
                  <pic:blipFill>
                    <a:blip r:embed="rId8"/>
                    <a:srcRect l="-603" t="4500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0C1C">
      <w:pPr>
        <w:spacing w:line="360" w:lineRule="auto"/>
        <w:jc w:val="left"/>
      </w:pPr>
      <w:r>
        <w:drawing>
          <wp:inline distT="0" distB="0" distL="114300" distR="114300">
            <wp:extent cx="5271135" cy="2518410"/>
            <wp:effectExtent l="0" t="0" r="5715" b="5715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-72" t="550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1A5B">
      <w:pPr>
        <w:spacing w:line="560" w:lineRule="exact"/>
        <w:ind w:firstLine="600" w:firstLineChars="200"/>
        <w:rPr>
          <w:rFonts w:hint="eastAsia"/>
        </w:rPr>
      </w:pPr>
      <w:r>
        <w:rPr>
          <w:rFonts w:hint="eastAsia" w:ascii="宋体" w:hAnsi="宋体" w:cs="宋体"/>
          <w:sz w:val="30"/>
          <w:szCs w:val="30"/>
        </w:rPr>
        <w:t>返回平台首页，点击登录后，可选择三种登录方式，“帐号密码登录”、“手机短信验证码登录”、“微信扫码登录（需绑定微信）”。</w:t>
      </w:r>
    </w:p>
    <w:p w14:paraId="25520053"/>
    <w:p w14:paraId="17B3B100">
      <w:r>
        <w:drawing>
          <wp:inline distT="0" distB="0" distL="114300" distR="114300">
            <wp:extent cx="5265420" cy="1810385"/>
            <wp:effectExtent l="0" t="0" r="1905" b="8890"/>
            <wp:docPr id="112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1C4F">
      <w:pPr>
        <w:rPr>
          <w:rFonts w:ascii="宋体" w:hAnsi="宋体" w:cs="宋体"/>
        </w:rPr>
      </w:pPr>
      <w:r>
        <w:drawing>
          <wp:inline distT="0" distB="0" distL="114300" distR="114300">
            <wp:extent cx="5273675" cy="2421890"/>
            <wp:effectExtent l="0" t="0" r="3175" b="6985"/>
            <wp:docPr id="113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64"/>
                    <pic:cNvPicPr>
                      <a:picLocks noChangeAspect="1"/>
                    </pic:cNvPicPr>
                  </pic:nvPicPr>
                  <pic:blipFill>
                    <a:blip r:embed="rId11"/>
                    <a:srcRect t="559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0BFC">
      <w:pPr>
        <w:spacing w:line="560" w:lineRule="exact"/>
        <w:ind w:firstLine="600" w:firstLineChars="200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如果账号下有多个企业，点击右上角姓名处，点击“切换企业”，可切换到其他企业或者新增企业。</w:t>
      </w:r>
    </w:p>
    <w:p w14:paraId="5C55ABEE">
      <w:pPr>
        <w:rPr>
          <w:rFonts w:hint="eastAsia"/>
        </w:rPr>
      </w:pPr>
      <w:r>
        <w:drawing>
          <wp:inline distT="0" distB="0" distL="114300" distR="114300">
            <wp:extent cx="5266690" cy="1473200"/>
            <wp:effectExtent l="0" t="0" r="635" b="3175"/>
            <wp:docPr id="114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0F28">
      <w:pPr>
        <w:pStyle w:val="4"/>
        <w:spacing w:before="0" w:after="0" w:line="560" w:lineRule="exact"/>
        <w:rPr>
          <w:rFonts w:hint="eastAsia" w:ascii="宋体" w:hAnsi="宋体"/>
          <w:sz w:val="30"/>
          <w:szCs w:val="30"/>
        </w:rPr>
      </w:pPr>
      <w:bookmarkStart w:id="7" w:name="_Toc26404"/>
      <w:bookmarkStart w:id="8" w:name="_Toc112342362"/>
      <w:bookmarkStart w:id="9" w:name="_Toc30564"/>
      <w:r>
        <w:rPr>
          <w:rFonts w:hint="eastAsia" w:ascii="宋体" w:hAnsi="宋体"/>
          <w:sz w:val="30"/>
          <w:szCs w:val="30"/>
        </w:rPr>
        <w:t>1.1.企业管理</w:t>
      </w:r>
      <w:bookmarkEnd w:id="7"/>
      <w:bookmarkEnd w:id="8"/>
      <w:bookmarkEnd w:id="9"/>
    </w:p>
    <w:p w14:paraId="2014AB3F">
      <w:pPr>
        <w:spacing w:line="560" w:lineRule="exact"/>
        <w:ind w:firstLine="600" w:firstLineChars="200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“员工管理”：企业管理员可在员工管理页面点击“添加员工”进行新增员工，添加成功后自动生成员工帐号，帐号为员工手机号码，密码为添加员工时填写的密码；</w:t>
      </w:r>
    </w:p>
    <w:p w14:paraId="359842FD">
      <w:pPr>
        <w:spacing w:line="560" w:lineRule="exact"/>
        <w:ind w:firstLine="600" w:firstLineChars="200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添加员工时或者点击“修改”可挑战该员工所处的部门以及权限；</w:t>
      </w:r>
    </w:p>
    <w:p w14:paraId="6887CA3F">
      <w:r>
        <w:drawing>
          <wp:inline distT="0" distB="0" distL="114300" distR="114300">
            <wp:extent cx="5262880" cy="1784985"/>
            <wp:effectExtent l="0" t="0" r="4445" b="5715"/>
            <wp:docPr id="115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192C">
      <w:r>
        <w:drawing>
          <wp:inline distT="0" distB="0" distL="114300" distR="114300">
            <wp:extent cx="5273040" cy="2237105"/>
            <wp:effectExtent l="0" t="0" r="3810" b="1270"/>
            <wp:docPr id="116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0DC1">
      <w:pPr>
        <w:pStyle w:val="2"/>
        <w:spacing w:before="0" w:after="0" w:line="560" w:lineRule="exact"/>
        <w:ind w:firstLine="0" w:firstLineChars="0"/>
        <w:rPr>
          <w:rFonts w:hint="eastAsia" w:ascii="宋体" w:hAnsi="宋体" w:cs="宋体"/>
        </w:rPr>
      </w:pPr>
      <w:bookmarkStart w:id="10" w:name="_Toc22609"/>
      <w:bookmarkStart w:id="11" w:name="_Toc3184"/>
      <w:r>
        <w:rPr>
          <w:rFonts w:hint="eastAsia" w:ascii="宋体" w:hAnsi="宋体" w:cs="宋体"/>
        </w:rPr>
        <w:t>2.投标</w:t>
      </w:r>
      <w:bookmarkEnd w:id="10"/>
      <w:bookmarkEnd w:id="11"/>
    </w:p>
    <w:p w14:paraId="7F6B01B5">
      <w:pPr>
        <w:pStyle w:val="4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12" w:name="_Toc32384"/>
      <w:bookmarkStart w:id="13" w:name="_Toc4470"/>
      <w:r>
        <w:rPr>
          <w:rFonts w:hint="eastAsia" w:ascii="宋体" w:hAnsi="宋体" w:cs="宋体"/>
          <w:sz w:val="30"/>
          <w:szCs w:val="30"/>
        </w:rPr>
        <w:t>2.1.项目参与</w:t>
      </w:r>
      <w:bookmarkEnd w:id="12"/>
      <w:bookmarkEnd w:id="13"/>
    </w:p>
    <w:p w14:paraId="3CDD8CFA">
      <w:pPr>
        <w:pStyle w:val="5"/>
        <w:spacing w:before="0" w:after="0" w:line="560" w:lineRule="exact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bookmarkStart w:id="14" w:name="_Toc17027"/>
      <w:bookmarkStart w:id="15" w:name="_Toc8662"/>
      <w:r>
        <w:rPr>
          <w:rFonts w:hint="eastAsia" w:ascii="宋体" w:hAnsi="宋体" w:cs="宋体"/>
          <w:sz w:val="30"/>
          <w:szCs w:val="30"/>
        </w:rPr>
        <w:t>2.1.1.</w:t>
      </w:r>
      <w:bookmarkEnd w:id="14"/>
      <w:r>
        <w:rPr>
          <w:rFonts w:hint="eastAsia" w:ascii="宋体" w:hAnsi="宋体" w:cs="宋体"/>
          <w:sz w:val="30"/>
          <w:szCs w:val="30"/>
          <w:lang w:val="en-US" w:eastAsia="zh-CN"/>
        </w:rPr>
        <w:t>招标采购信息</w:t>
      </w:r>
      <w:bookmarkEnd w:id="15"/>
    </w:p>
    <w:p w14:paraId="092D4E46">
      <w:pPr>
        <w:spacing w:line="560" w:lineRule="exact"/>
        <w:ind w:firstLine="600" w:firstLineChars="200"/>
        <w:jc w:val="left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打开</w:t>
      </w:r>
      <w:r>
        <w:rPr>
          <w:rFonts w:hint="eastAsia" w:ascii="宋体" w:hAnsi="宋体"/>
          <w:sz w:val="30"/>
          <w:szCs w:val="30"/>
          <w:lang w:val="en-US" w:eastAsia="zh-CN"/>
        </w:rPr>
        <w:t>精彩纵横云采购平台</w:t>
      </w:r>
      <w:r>
        <w:rPr>
          <w:rFonts w:hint="eastAsia" w:ascii="宋体" w:hAnsi="宋体" w:cs="宋体"/>
          <w:sz w:val="30"/>
          <w:szCs w:val="30"/>
        </w:rPr>
        <w:t>（</w:t>
      </w:r>
      <w:r>
        <w:rPr>
          <w:rFonts w:hint="eastAsia" w:ascii="宋体" w:hAnsi="宋体"/>
          <w:color w:val="auto"/>
          <w:sz w:val="30"/>
          <w:szCs w:val="30"/>
          <w:u w:val="none"/>
        </w:rPr>
        <w:t>https://www.</w:t>
      </w:r>
      <w:r>
        <w:rPr>
          <w:rFonts w:hint="eastAsia" w:ascii="宋体" w:hAnsi="宋体"/>
          <w:color w:val="auto"/>
          <w:sz w:val="30"/>
          <w:szCs w:val="30"/>
          <w:u w:val="none"/>
          <w:lang w:val="en-US" w:eastAsia="zh-CN"/>
        </w:rPr>
        <w:t>jczh</w:t>
      </w:r>
      <w:r>
        <w:rPr>
          <w:rFonts w:hint="eastAsia" w:ascii="宋体" w:hAnsi="宋体"/>
          <w:sz w:val="30"/>
          <w:szCs w:val="30"/>
        </w:rPr>
        <w:t>.com/</w:t>
      </w:r>
      <w:r>
        <w:rPr>
          <w:rFonts w:hint="eastAsia" w:ascii="宋体" w:hAnsi="宋体" w:cs="宋体"/>
          <w:sz w:val="30"/>
          <w:szCs w:val="30"/>
        </w:rPr>
        <w:t>）登录后选择“投标报价模块”（也可直接在网站浏览到意向项目直接点立即参与），找到想参加的项目点击右边的查看详情后点击立即参与。</w:t>
      </w:r>
    </w:p>
    <w:p w14:paraId="49AEE173">
      <w:pPr>
        <w:rPr>
          <w:rFonts w:hint="eastAsia"/>
        </w:rPr>
      </w:pPr>
      <w:r>
        <w:drawing>
          <wp:inline distT="0" distB="0" distL="114300" distR="114300">
            <wp:extent cx="5272405" cy="2065020"/>
            <wp:effectExtent l="0" t="0" r="4445" b="1905"/>
            <wp:docPr id="117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1703">
      <w:r>
        <w:drawing>
          <wp:inline distT="0" distB="0" distL="114300" distR="114300">
            <wp:extent cx="5265420" cy="2063750"/>
            <wp:effectExtent l="0" t="0" r="1905" b="3175"/>
            <wp:docPr id="118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0E6A"/>
    <w:p w14:paraId="72050194">
      <w:pPr>
        <w:spacing w:line="560" w:lineRule="exact"/>
        <w:ind w:firstLine="600" w:firstLineChars="200"/>
        <w:jc w:val="left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将需要报名信息进行完善，点击“提交”报名。</w:t>
      </w:r>
    </w:p>
    <w:p w14:paraId="2A269124">
      <w:pPr>
        <w:rPr>
          <w:rFonts w:hint="eastAsia"/>
        </w:rPr>
      </w:pPr>
      <w:r>
        <w:drawing>
          <wp:inline distT="0" distB="0" distL="114300" distR="114300">
            <wp:extent cx="5271135" cy="2517775"/>
            <wp:effectExtent l="0" t="0" r="5715" b="6350"/>
            <wp:docPr id="119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0909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16" w:name="_Toc10168"/>
      <w:bookmarkStart w:id="17" w:name="_Toc3729"/>
      <w:r>
        <w:rPr>
          <w:rFonts w:hint="eastAsia" w:ascii="宋体" w:hAnsi="宋体" w:cs="宋体"/>
          <w:sz w:val="30"/>
          <w:szCs w:val="30"/>
        </w:rPr>
        <w:t>2.1.2.招标采购</w:t>
      </w:r>
      <w:bookmarkEnd w:id="16"/>
      <w:bookmarkEnd w:id="17"/>
    </w:p>
    <w:p w14:paraId="1DEC71BC">
      <w:pPr>
        <w:spacing w:line="560" w:lineRule="exact"/>
        <w:ind w:firstLine="600" w:firstLineChars="200"/>
        <w:jc w:val="left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完成报名提交后，可在“已参与项目”中“招标”菜单下，选择项目点击右侧“进入项目”；</w:t>
      </w:r>
    </w:p>
    <w:p w14:paraId="55F2FC95">
      <w:pPr>
        <w:rPr>
          <w:rFonts w:hint="eastAsia"/>
        </w:rPr>
      </w:pPr>
      <w:r>
        <w:drawing>
          <wp:inline distT="0" distB="0" distL="114300" distR="114300">
            <wp:extent cx="5271135" cy="2202180"/>
            <wp:effectExtent l="0" t="0" r="5715" b="7620"/>
            <wp:docPr id="120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1BF1">
      <w:pPr>
        <w:spacing w:line="560" w:lineRule="exact"/>
        <w:ind w:firstLine="600" w:firstLineChars="200"/>
        <w:jc w:val="left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填写完联系人方式后提交后即可缴纳标书费并获取标书（如项目需要审核参与材料则需要先提交申请材料，项目发布人审核通过后才能获取标书）。</w:t>
      </w:r>
    </w:p>
    <w:p w14:paraId="71D84153">
      <w:pPr>
        <w:spacing w:line="560" w:lineRule="exact"/>
        <w:ind w:firstLine="600" w:firstLineChars="200"/>
        <w:jc w:val="left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招标采购项目分为“线上开评标”和“线下开评标”，如项目为线上开评标，则需要办理ca锁进行制作投标文件，如下点击“使用工具制作”按钮进行制作，制作完成后进行上传；如项目为线下开评标项目，则无需进行ca锁线上制作投标文件。</w:t>
      </w:r>
    </w:p>
    <w:p w14:paraId="05817804">
      <w:pPr>
        <w:rPr>
          <w:rFonts w:hint="eastAsia" w:ascii="宋体" w:hAnsi="宋体" w:cs="宋体"/>
        </w:rPr>
      </w:pPr>
      <w:r>
        <w:drawing>
          <wp:inline distT="0" distB="0" distL="114300" distR="114300">
            <wp:extent cx="5272405" cy="2279015"/>
            <wp:effectExtent l="0" t="0" r="4445" b="6985"/>
            <wp:docPr id="121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BCA3"/>
    <w:p w14:paraId="35BDCAFD"/>
    <w:p w14:paraId="3AB5E8E9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18" w:name="_Toc9614"/>
      <w:bookmarkStart w:id="19" w:name="_Toc14906"/>
      <w:r>
        <w:rPr>
          <w:rFonts w:hint="eastAsia" w:ascii="宋体" w:hAnsi="宋体" w:cs="宋体"/>
          <w:sz w:val="30"/>
          <w:szCs w:val="30"/>
        </w:rPr>
        <w:t>2.1.3.询比采购报价</w:t>
      </w:r>
      <w:bookmarkEnd w:id="18"/>
      <w:bookmarkEnd w:id="19"/>
    </w:p>
    <w:p w14:paraId="7478F26A">
      <w:pPr>
        <w:spacing w:line="560" w:lineRule="exact"/>
        <w:ind w:firstLine="600" w:firstLineChars="200"/>
        <w:jc w:val="left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完成报名提交后，点击“投标报价——已参与项目——询比”，选择对应项目点击右侧“进入项目”，可查看项目审核情况，项目公告变更公告等信息；</w:t>
      </w:r>
    </w:p>
    <w:p w14:paraId="61AA8DCF">
      <w:r>
        <w:drawing>
          <wp:inline distT="0" distB="0" distL="114300" distR="114300">
            <wp:extent cx="5265420" cy="1765300"/>
            <wp:effectExtent l="0" t="0" r="1905" b="6350"/>
            <wp:docPr id="12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66C02">
      <w:pPr>
        <w:spacing w:line="560" w:lineRule="exact"/>
        <w:ind w:firstLine="600" w:firstLineChars="200"/>
      </w:pPr>
      <w:r>
        <w:rPr>
          <w:rFonts w:hint="eastAsia" w:ascii="宋体" w:hAnsi="宋体" w:cs="宋体"/>
          <w:sz w:val="30"/>
          <w:szCs w:val="30"/>
        </w:rPr>
        <w:t>进入项目后点击“提交”按钮，即可完成项目的报名；</w:t>
      </w:r>
    </w:p>
    <w:p w14:paraId="53B61202"/>
    <w:p w14:paraId="4F7B6740">
      <w:r>
        <w:drawing>
          <wp:inline distT="0" distB="0" distL="114300" distR="114300">
            <wp:extent cx="5279390" cy="2018665"/>
            <wp:effectExtent l="0" t="0" r="6985" b="635"/>
            <wp:docPr id="123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82"/>
                    <pic:cNvPicPr>
                      <a:picLocks noChangeAspect="1"/>
                    </pic:cNvPicPr>
                  </pic:nvPicPr>
                  <pic:blipFill>
                    <a:blip r:embed="rId21"/>
                    <a:srcRect l="-157" t="2003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6CA7">
      <w:pPr>
        <w:ind w:firstLine="600" w:firstLineChars="200"/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报价前需要进行“平台使用费”及“保证金</w:t>
      </w:r>
      <w:r>
        <w:rPr>
          <w:rFonts w:ascii="宋体" w:hAnsi="宋体" w:cs="宋体"/>
          <w:sz w:val="30"/>
          <w:szCs w:val="30"/>
        </w:rPr>
        <w:t>”</w:t>
      </w:r>
      <w:r>
        <w:rPr>
          <w:rFonts w:hint="eastAsia" w:ascii="宋体" w:hAnsi="宋体" w:cs="宋体"/>
          <w:sz w:val="30"/>
          <w:szCs w:val="30"/>
        </w:rPr>
        <w:t>的缴纳，完成以上支付后，即可对商品进行报价，供应商需在报价截止时间前登录系统填写报价内容，如果有附件也可上传；</w:t>
      </w:r>
    </w:p>
    <w:p w14:paraId="63861093">
      <w:r>
        <w:drawing>
          <wp:inline distT="0" distB="0" distL="114300" distR="114300">
            <wp:extent cx="5274310" cy="1894205"/>
            <wp:effectExtent l="0" t="0" r="2540" b="1270"/>
            <wp:docPr id="124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3952"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如存在审核，待报名审核通过后，在报价单菜单下点击“前往报价”，</w:t>
      </w:r>
    </w:p>
    <w:p w14:paraId="29538E4F">
      <w:r>
        <w:drawing>
          <wp:inline distT="0" distB="0" distL="114300" distR="114300">
            <wp:extent cx="5271770" cy="1402080"/>
            <wp:effectExtent l="0" t="0" r="5080" b="7620"/>
            <wp:docPr id="125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A42C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如品目种类繁多可点击下载报价表模板，通过excel导入的方式；也可直接在线填写对于的报价信息</w:t>
      </w:r>
    </w:p>
    <w:p w14:paraId="123BE888">
      <w:r>
        <w:drawing>
          <wp:inline distT="0" distB="0" distL="114300" distR="114300">
            <wp:extent cx="5270500" cy="2414270"/>
            <wp:effectExtent l="0" t="0" r="6350" b="5080"/>
            <wp:docPr id="126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3699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报价完成后，在“报价附件”中“点击上传”可上传报价相关附件，点击“提交报价”即可完成报价单提交。</w:t>
      </w:r>
    </w:p>
    <w:p w14:paraId="153328D4">
      <w:r>
        <w:drawing>
          <wp:inline distT="0" distB="0" distL="114300" distR="114300">
            <wp:extent cx="5272405" cy="1115060"/>
            <wp:effectExtent l="0" t="0" r="4445" b="8890"/>
            <wp:docPr id="127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CE32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根据项目进展可在此查看“候选人公示”及“结果通知书”；</w:t>
      </w:r>
    </w:p>
    <w:p w14:paraId="4350BBFF"/>
    <w:p w14:paraId="0B031B41">
      <w:r>
        <w:drawing>
          <wp:inline distT="0" distB="0" distL="114300" distR="114300">
            <wp:extent cx="5267325" cy="1423035"/>
            <wp:effectExtent l="0" t="0" r="0" b="5715"/>
            <wp:docPr id="128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5D42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20" w:name="_Toc8222"/>
      <w:bookmarkStart w:id="21" w:name="_Toc16220"/>
      <w:r>
        <w:rPr>
          <w:rFonts w:hint="eastAsia" w:ascii="宋体" w:hAnsi="宋体" w:cs="宋体"/>
          <w:sz w:val="30"/>
          <w:szCs w:val="30"/>
        </w:rPr>
        <w:t>2.1.4.竞价采购</w:t>
      </w:r>
      <w:bookmarkEnd w:id="20"/>
      <w:bookmarkEnd w:id="21"/>
    </w:p>
    <w:p w14:paraId="3D6BC3B7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点击“竞价”菜单，进入需要竞价的项目；</w:t>
      </w:r>
    </w:p>
    <w:p w14:paraId="19DD9246">
      <w:pPr>
        <w:ind w:firstLine="420"/>
      </w:pPr>
      <w:r>
        <w:drawing>
          <wp:inline distT="0" distB="0" distL="114300" distR="114300">
            <wp:extent cx="5266690" cy="1684020"/>
            <wp:effectExtent l="0" t="0" r="635" b="1905"/>
            <wp:docPr id="129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E72B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查看项目竞价信息，并完成相关的保证金等支付操作后，点击“竞价大厅”</w:t>
      </w:r>
    </w:p>
    <w:p w14:paraId="7279C53F">
      <w:r>
        <w:drawing>
          <wp:inline distT="0" distB="0" distL="114300" distR="114300">
            <wp:extent cx="5266690" cy="2292985"/>
            <wp:effectExtent l="0" t="0" r="635" b="2540"/>
            <wp:docPr id="130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DADD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填写项目报价金额，完成后点击右侧“报价”按钮进行报价，报价成功后报价信息将线上在“竞价排名”上面；</w:t>
      </w:r>
    </w:p>
    <w:p w14:paraId="2012BB1A">
      <w:r>
        <w:drawing>
          <wp:inline distT="0" distB="0" distL="114300" distR="114300">
            <wp:extent cx="5267960" cy="2263775"/>
            <wp:effectExtent l="0" t="0" r="8890" b="3175"/>
            <wp:docPr id="131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9443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竞价结束后，待招标方发布结果通知书后可查看项目最终成交信息，中标单位支付“平台服务费”，并可在线发起保证金退款申请。</w:t>
      </w:r>
    </w:p>
    <w:p w14:paraId="6424C12C">
      <w:r>
        <w:drawing>
          <wp:inline distT="0" distB="0" distL="114300" distR="114300">
            <wp:extent cx="5269865" cy="2145665"/>
            <wp:effectExtent l="0" t="0" r="6985" b="6985"/>
            <wp:docPr id="132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36"/>
                    <pic:cNvPicPr>
                      <a:picLocks noChangeAspect="1"/>
                    </pic:cNvPicPr>
                  </pic:nvPicPr>
                  <pic:blipFill>
                    <a:blip r:embed="rId30"/>
                    <a:srcRect l="49" t="42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C93D">
      <w:pPr>
        <w:rPr>
          <w:rFonts w:hint="eastAsia"/>
        </w:rPr>
      </w:pPr>
    </w:p>
    <w:p w14:paraId="68502C1E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22" w:name="_Toc7908"/>
      <w:bookmarkStart w:id="23" w:name="_Toc16016"/>
      <w:r>
        <w:rPr>
          <w:rFonts w:hint="eastAsia" w:ascii="宋体" w:hAnsi="宋体" w:cs="宋体"/>
          <w:sz w:val="30"/>
          <w:szCs w:val="30"/>
        </w:rPr>
        <w:t>2.1.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5</w:t>
      </w:r>
      <w:r>
        <w:rPr>
          <w:rFonts w:hint="eastAsia" w:ascii="宋体" w:hAnsi="宋体" w:cs="宋体"/>
          <w:sz w:val="30"/>
          <w:szCs w:val="30"/>
        </w:rPr>
        <w:t>.谈判采购</w:t>
      </w:r>
      <w:bookmarkEnd w:id="22"/>
      <w:bookmarkEnd w:id="23"/>
    </w:p>
    <w:p w14:paraId="083047AC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打开“谈判采购”菜单，进入需要谈判的项目；</w:t>
      </w:r>
    </w:p>
    <w:p w14:paraId="30288113">
      <w:r>
        <w:drawing>
          <wp:inline distT="0" distB="0" distL="114300" distR="114300">
            <wp:extent cx="5266690" cy="1574800"/>
            <wp:effectExtent l="0" t="0" r="635" b="6350"/>
            <wp:docPr id="13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8CECC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在“报价单”模块下填写项目的报价信息，完成后并按照要求上传附件，点击“提交报价”即可；也可通过点击左上角“下载报价单模板”进行下载报价信息，填写报价信息后点击“导入报价单”，选择填写完成的报价单模板导入到系统中，再点击“提交报价”。</w:t>
      </w:r>
    </w:p>
    <w:p w14:paraId="2E048A08">
      <w:r>
        <w:drawing>
          <wp:inline distT="0" distB="0" distL="114300" distR="114300">
            <wp:extent cx="5355590" cy="1978025"/>
            <wp:effectExtent l="0" t="0" r="6985" b="3175"/>
            <wp:docPr id="134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38"/>
                    <pic:cNvPicPr>
                      <a:picLocks noChangeAspect="1"/>
                    </pic:cNvPicPr>
                  </pic:nvPicPr>
                  <pic:blipFill>
                    <a:blip r:embed="rId32"/>
                    <a:srcRect l="-1553" t="8705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9CBCB">
      <w:r>
        <w:drawing>
          <wp:inline distT="0" distB="0" distL="114300" distR="114300">
            <wp:extent cx="5270500" cy="972185"/>
            <wp:effectExtent l="0" t="0" r="6350" b="8890"/>
            <wp:docPr id="135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4CC0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24" w:name="_Toc14108"/>
      <w:bookmarkStart w:id="25" w:name="_Toc24666"/>
      <w:r>
        <w:rPr>
          <w:rFonts w:hint="eastAsia" w:ascii="宋体" w:hAnsi="宋体" w:cs="宋体"/>
          <w:sz w:val="30"/>
          <w:szCs w:val="30"/>
        </w:rPr>
        <w:t>2.1.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6</w:t>
      </w:r>
      <w:r>
        <w:rPr>
          <w:rFonts w:hint="eastAsia" w:ascii="宋体" w:hAnsi="宋体" w:cs="宋体"/>
          <w:sz w:val="30"/>
          <w:szCs w:val="30"/>
        </w:rPr>
        <w:t>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直接</w:t>
      </w:r>
      <w:r>
        <w:rPr>
          <w:rFonts w:hint="eastAsia" w:ascii="宋体" w:hAnsi="宋体" w:cs="宋体"/>
          <w:sz w:val="30"/>
          <w:szCs w:val="30"/>
        </w:rPr>
        <w:t>采购</w:t>
      </w:r>
      <w:bookmarkEnd w:id="24"/>
      <w:bookmarkEnd w:id="25"/>
    </w:p>
    <w:p w14:paraId="6BFDC9CA">
      <w:pPr>
        <w:ind w:firstLine="600" w:firstLineChars="200"/>
      </w:pPr>
      <w:r>
        <w:rPr>
          <w:rFonts w:hint="eastAsia"/>
          <w:sz w:val="30"/>
          <w:szCs w:val="30"/>
        </w:rPr>
        <w:t>登录平台，在“投标报价</w:t>
      </w:r>
      <w:r>
        <w:rPr>
          <w:rFonts w:hint="eastAsia" w:ascii="宋体" w:hAnsi="宋体" w:cs="宋体"/>
          <w:sz w:val="30"/>
          <w:szCs w:val="30"/>
        </w:rPr>
        <w:t>--</w:t>
      </w:r>
      <w:r>
        <w:rPr>
          <w:rFonts w:hint="eastAsia"/>
          <w:sz w:val="30"/>
          <w:szCs w:val="30"/>
        </w:rPr>
        <w:t>受邀项目”中</w:t>
      </w:r>
      <w:r>
        <w:rPr>
          <w:rFonts w:hint="eastAsia" w:ascii="Times New Roman" w:eastAsia="宋体"/>
          <w:sz w:val="30"/>
          <w:szCs w:val="30"/>
          <w:lang w:val="en-US" w:eastAsia="zh-CN"/>
        </w:rPr>
        <w:t>查看项目。</w:t>
      </w:r>
    </w:p>
    <w:p w14:paraId="5E26034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866775"/>
            <wp:effectExtent l="0" t="0" r="5715" b="0"/>
            <wp:docPr id="2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rcRect t="138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BA58">
      <w:pPr>
        <w:rPr>
          <w:rFonts w:hint="eastAsia"/>
        </w:rPr>
      </w:pPr>
    </w:p>
    <w:p w14:paraId="587BE5BC">
      <w:pPr>
        <w:rPr>
          <w:rFonts w:hint="eastAsia" w:ascii="宋体" w:hAnsi="宋体" w:cs="宋体"/>
        </w:rPr>
      </w:pPr>
    </w:p>
    <w:p w14:paraId="00107207">
      <w:pPr>
        <w:pStyle w:val="4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26" w:name="_Toc20742"/>
      <w:bookmarkStart w:id="27" w:name="_Toc31548"/>
      <w:r>
        <w:rPr>
          <w:rFonts w:hint="eastAsia" w:ascii="宋体" w:hAnsi="宋体" w:cs="宋体"/>
          <w:sz w:val="30"/>
          <w:szCs w:val="30"/>
        </w:rPr>
        <w:t>2.2.投标客户端的使用</w:t>
      </w:r>
      <w:bookmarkEnd w:id="26"/>
      <w:bookmarkEnd w:id="27"/>
    </w:p>
    <w:p w14:paraId="28EA3CA2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28" w:name="_Toc15110"/>
      <w:bookmarkStart w:id="29" w:name="_Toc20098"/>
      <w:r>
        <w:rPr>
          <w:rFonts w:hint="eastAsia" w:ascii="宋体" w:hAnsi="宋体" w:cs="宋体"/>
          <w:sz w:val="30"/>
          <w:szCs w:val="30"/>
        </w:rPr>
        <w:t>2.2.1.打开投标客户端</w:t>
      </w:r>
      <w:bookmarkEnd w:id="28"/>
      <w:bookmarkEnd w:id="29"/>
    </w:p>
    <w:p w14:paraId="386D472E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进入已经参与的电子化项目，点击“使用工具制作”，浏览器会请求打开投标文件制作软件（如果尚未安装点击蓝色字体的“点击此处”将弹出下载安装链接），也可以直接手动打开投标客户端软件，登录后即可进入文件制作页面。</w:t>
      </w:r>
    </w:p>
    <w:p w14:paraId="32108864">
      <w:pPr>
        <w:rPr>
          <w:rFonts w:hint="eastAsia" w:ascii="宋体" w:hAnsi="宋体" w:cs="宋体"/>
        </w:rPr>
      </w:pPr>
    </w:p>
    <w:p w14:paraId="4C5133F6">
      <w:pPr>
        <w:rPr>
          <w:rFonts w:hint="eastAsia" w:ascii="宋体" w:hAnsi="宋体" w:cs="宋体"/>
        </w:rPr>
      </w:pPr>
      <w:r>
        <w:drawing>
          <wp:inline distT="0" distB="0" distL="114300" distR="114300">
            <wp:extent cx="5272405" cy="1376680"/>
            <wp:effectExtent l="0" t="0" r="4445" b="4445"/>
            <wp:docPr id="136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C07E"/>
    <w:p w14:paraId="3B88989E">
      <w:pPr>
        <w:rPr>
          <w:rFonts w:hint="eastAsia" w:ascii="宋体" w:hAnsi="宋体" w:cs="宋体"/>
        </w:rPr>
      </w:pPr>
      <w:r>
        <w:drawing>
          <wp:inline distT="0" distB="0" distL="114300" distR="114300">
            <wp:extent cx="5238115" cy="2677795"/>
            <wp:effectExtent l="0" t="0" r="635" b="8255"/>
            <wp:docPr id="137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22"/>
                    <pic:cNvPicPr>
                      <a:picLocks noChangeAspect="1"/>
                    </pic:cNvPicPr>
                  </pic:nvPicPr>
                  <pic:blipFill>
                    <a:blip r:embed="rId36"/>
                    <a:srcRect l="2728" t="10899" b="1649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B514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30" w:name="_Toc30592"/>
      <w:bookmarkStart w:id="31" w:name="_Toc15071"/>
      <w:r>
        <w:rPr>
          <w:rFonts w:hint="eastAsia" w:ascii="宋体" w:hAnsi="宋体" w:cs="宋体"/>
          <w:sz w:val="30"/>
          <w:szCs w:val="30"/>
        </w:rPr>
        <w:t>2.2.2.文件导入</w:t>
      </w:r>
      <w:bookmarkEnd w:id="30"/>
      <w:bookmarkEnd w:id="31"/>
    </w:p>
    <w:p w14:paraId="180C09AA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打开软件后进入对应的项目，点击“前往制作”，填写一览表信息，在对应目录下点击右上角“上传文件”按钮上传制作好的文件，然后点击“文件合并预览”。</w:t>
      </w:r>
    </w:p>
    <w:p w14:paraId="3168468F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4906010" cy="2769235"/>
            <wp:effectExtent l="0" t="0" r="8890" b="2540"/>
            <wp:docPr id="1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E45E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7960" cy="2887980"/>
            <wp:effectExtent l="0" t="0" r="8890" b="7620"/>
            <wp:docPr id="1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D476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32" w:name="_Toc11668"/>
      <w:bookmarkStart w:id="33" w:name="_Toc3441"/>
      <w:r>
        <w:rPr>
          <w:rFonts w:hint="eastAsia" w:ascii="宋体" w:hAnsi="宋体" w:cs="宋体"/>
          <w:sz w:val="30"/>
          <w:szCs w:val="30"/>
        </w:rPr>
        <w:t>2.2.3.文件签章</w:t>
      </w:r>
      <w:bookmarkEnd w:id="32"/>
      <w:bookmarkEnd w:id="33"/>
    </w:p>
    <w:p w14:paraId="3E4B0CFB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点击“签章”进入签章页面，可选择实体ca或者支付宝扫码签章（需办理移动ca绑定支付宝）。</w:t>
      </w:r>
    </w:p>
    <w:p w14:paraId="73C51792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4310" cy="2593340"/>
            <wp:effectExtent l="0" t="0" r="2540" b="6985"/>
            <wp:docPr id="14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0F72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86375" cy="2802890"/>
            <wp:effectExtent l="0" t="0" r="0" b="6985"/>
            <wp:docPr id="14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2918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可选择“企业公章”或者“法人章”，签章方式可自选，签章后点击“生成加密文件”即可生成加密版可上传的投标文件；</w:t>
      </w:r>
    </w:p>
    <w:p w14:paraId="5A601563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3675" cy="3025140"/>
            <wp:effectExtent l="0" t="0" r="3175" b="3810"/>
            <wp:docPr id="142" name="图片 140" descr="微信图片_202204111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0" descr="微信图片_2022041112000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81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7960" cy="2792730"/>
            <wp:effectExtent l="0" t="0" r="8890" b="7620"/>
            <wp:docPr id="14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8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08B6">
      <w:pPr>
        <w:pStyle w:val="5"/>
        <w:spacing w:before="0" w:after="0" w:line="560" w:lineRule="exact"/>
        <w:rPr>
          <w:rFonts w:hint="eastAsia" w:ascii="宋体" w:hAnsi="宋体" w:cs="宋体"/>
          <w:sz w:val="30"/>
          <w:szCs w:val="30"/>
        </w:rPr>
      </w:pPr>
      <w:bookmarkStart w:id="34" w:name="_Toc30722"/>
      <w:bookmarkStart w:id="35" w:name="_Toc12334"/>
      <w:r>
        <w:rPr>
          <w:rFonts w:hint="eastAsia" w:ascii="宋体" w:hAnsi="宋体" w:cs="宋体"/>
          <w:sz w:val="30"/>
          <w:szCs w:val="30"/>
        </w:rPr>
        <w:t>2.2.4.投标文件上传</w:t>
      </w:r>
      <w:bookmarkEnd w:id="34"/>
      <w:bookmarkEnd w:id="35"/>
    </w:p>
    <w:p w14:paraId="6AA2E441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进入已经参与的电子化项目，在“投标文件上传”下方“点击上传”，选择生成的加密文件进行上传，上传成功后也可在投标截止时间前撤销并重新上传；</w:t>
      </w:r>
    </w:p>
    <w:p w14:paraId="44485027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备注：支持在线模拟解密，插入ca锁点击“模拟解密”即可。</w:t>
      </w:r>
    </w:p>
    <w:p w14:paraId="03CC08B1">
      <w:pPr>
        <w:rPr>
          <w:rFonts w:hint="eastAsia" w:ascii="宋体" w:hAnsi="宋体" w:cs="宋体"/>
        </w:rPr>
      </w:pPr>
      <w:r>
        <w:drawing>
          <wp:inline distT="0" distB="0" distL="114300" distR="114300">
            <wp:extent cx="5270500" cy="1843405"/>
            <wp:effectExtent l="0" t="0" r="6350" b="4445"/>
            <wp:docPr id="144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E791">
      <w:pPr>
        <w:pStyle w:val="2"/>
        <w:spacing w:before="0" w:after="0" w:line="560" w:lineRule="exact"/>
        <w:ind w:firstLine="0" w:firstLineChars="0"/>
        <w:rPr>
          <w:rFonts w:hint="eastAsia" w:ascii="宋体" w:hAnsi="宋体" w:cs="宋体"/>
        </w:rPr>
      </w:pPr>
      <w:bookmarkStart w:id="36" w:name="_Toc1323"/>
      <w:bookmarkStart w:id="37" w:name="_Toc5195"/>
      <w:r>
        <w:rPr>
          <w:rFonts w:hint="eastAsia" w:ascii="宋体" w:hAnsi="宋体" w:cs="宋体"/>
        </w:rPr>
        <w:t>3.开标</w:t>
      </w:r>
      <w:bookmarkEnd w:id="36"/>
      <w:bookmarkEnd w:id="37"/>
    </w:p>
    <w:p w14:paraId="22CF4353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开标时间到了之后，如果需要远程解密投标文件，则打开项目详情，点击“进入开标大厅”；</w:t>
      </w:r>
    </w:p>
    <w:p w14:paraId="3CDC53AC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点击中间的“解密”按钮，通过加密生成该投标文件的ca锁或者移动ca进行解密；</w:t>
      </w:r>
    </w:p>
    <w:p w14:paraId="2C2F7098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开标结束后可在此页面查看本次项目己方单位的开标一览表信息。</w:t>
      </w:r>
    </w:p>
    <w:p w14:paraId="0C822E50">
      <w:pPr>
        <w:rPr>
          <w:rFonts w:hint="eastAsia" w:ascii="宋体" w:hAnsi="宋体" w:cs="宋体"/>
        </w:rPr>
      </w:pPr>
      <w:r>
        <w:drawing>
          <wp:inline distT="0" distB="0" distL="114300" distR="114300">
            <wp:extent cx="5267325" cy="1434465"/>
            <wp:effectExtent l="0" t="0" r="0" b="3810"/>
            <wp:docPr id="145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26"/>
                    <pic:cNvPicPr>
                      <a:picLocks noChangeAspect="1"/>
                    </pic:cNvPicPr>
                  </pic:nvPicPr>
                  <pic:blipFill>
                    <a:blip r:embed="rId44"/>
                    <a:srcRect l="-12" t="125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D307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6690" cy="2658110"/>
            <wp:effectExtent l="0" t="0" r="635" b="8890"/>
            <wp:docPr id="146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0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FCFE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6690" cy="2658110"/>
            <wp:effectExtent l="0" t="0" r="635" b="8890"/>
            <wp:docPr id="147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DC74">
      <w:pPr>
        <w:pStyle w:val="2"/>
        <w:spacing w:before="0" w:after="0" w:line="560" w:lineRule="exact"/>
        <w:ind w:firstLine="0" w:firstLineChars="0"/>
        <w:rPr>
          <w:rFonts w:hint="eastAsia" w:ascii="宋体" w:hAnsi="宋体" w:cs="宋体"/>
        </w:rPr>
      </w:pPr>
      <w:bookmarkStart w:id="38" w:name="_Toc16648"/>
      <w:bookmarkStart w:id="39" w:name="_Toc28641"/>
      <w:r>
        <w:rPr>
          <w:rFonts w:hint="eastAsia" w:ascii="宋体" w:hAnsi="宋体" w:cs="宋体"/>
        </w:rPr>
        <w:t>4.评标</w:t>
      </w:r>
      <w:bookmarkEnd w:id="38"/>
      <w:bookmarkEnd w:id="39"/>
    </w:p>
    <w:p w14:paraId="31314BF5">
      <w:pPr>
        <w:ind w:firstLine="600" w:firstLineChars="200"/>
      </w:pPr>
      <w:r>
        <w:rPr>
          <w:rFonts w:hint="eastAsia"/>
          <w:sz w:val="30"/>
          <w:szCs w:val="30"/>
        </w:rPr>
        <w:t>评标过程中专家可能会发起询标或者二轮报价，进入对应评审项目后点击“进入评标大厅”，评审专家如果发起询标则会在左侧显示，投标单位作出对应回复即可，评审专家如果发起二次报价则会在右侧显示，投标单位提交新的报价即可。</w:t>
      </w:r>
    </w:p>
    <w:p w14:paraId="082FBE97">
      <w:pPr>
        <w:rPr>
          <w:rFonts w:hint="eastAsia"/>
        </w:rPr>
      </w:pPr>
      <w:r>
        <w:drawing>
          <wp:inline distT="0" distB="0" distL="114300" distR="114300">
            <wp:extent cx="5277485" cy="2030095"/>
            <wp:effectExtent l="0" t="0" r="8890" b="8255"/>
            <wp:docPr id="148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4"/>
                    <pic:cNvPicPr>
                      <a:picLocks noChangeAspect="1"/>
                    </pic:cNvPicPr>
                  </pic:nvPicPr>
                  <pic:blipFill>
                    <a:blip r:embed="rId47"/>
                    <a:srcRect l="-253" t="891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6DA0">
      <w:r>
        <w:drawing>
          <wp:inline distT="0" distB="0" distL="114300" distR="114300">
            <wp:extent cx="5266690" cy="2658110"/>
            <wp:effectExtent l="0" t="0" r="635" b="8890"/>
            <wp:docPr id="14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00F6">
      <w:pPr>
        <w:rPr>
          <w:rFonts w:ascii="宋体" w:hAnsi="宋体" w:cs="宋体"/>
        </w:rPr>
      </w:pPr>
    </w:p>
    <w:p w14:paraId="4A93332A">
      <w:pPr>
        <w:widowControl/>
        <w:spacing w:after="156" w:afterLines="50" w:line="360" w:lineRule="auto"/>
        <w:jc w:val="both"/>
        <w:rPr>
          <w:rFonts w:hint="eastAsia" w:eastAsia="黑体"/>
          <w:b/>
          <w:sz w:val="36"/>
          <w:szCs w:val="21"/>
        </w:rPr>
      </w:pPr>
    </w:p>
    <w:p w14:paraId="13CA9E68"/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87BF8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AE1CE6"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17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AE1CE6"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 </w:t>
                    </w:r>
                    <w:r>
                      <w:rPr>
                        <w:rFonts w:hint="eastAsia"/>
                        <w:lang w:val="en-US" w:eastAsia="zh-CN"/>
                      </w:rPr>
                      <w:t>17</w:t>
                    </w:r>
                    <w: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EA145A"/>
    <w:rsid w:val="0CDE415B"/>
    <w:rsid w:val="1F413C61"/>
    <w:rsid w:val="58951856"/>
    <w:rsid w:val="7ADD1C9F"/>
    <w:rsid w:val="7E45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0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b/>
      <w:sz w:val="28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4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uiPriority w:val="0"/>
  </w:style>
  <w:style w:type="paragraph" w:styleId="10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2014</Words>
  <Characters>2126</Characters>
  <Lines>0</Lines>
  <Paragraphs>0</Paragraphs>
  <TotalTime>0</TotalTime>
  <ScaleCrop>false</ScaleCrop>
  <LinksUpToDate>false</LinksUpToDate>
  <CharactersWithSpaces>2133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2025-04-17T02:49:00Z</dcterms:created>
  <dc:creator>ring0</dc:creator>
  <cp:lastModifiedBy>木夕</cp:lastModifiedBy>
  <dcterms:modified xsi:type="dcterms:W3CDTF">2025-04-21T01:06:30Z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eyJoZGlkIjoiMGQ1NDczOGM0MmFjNzUyODZjNzVmZjdmYTBhNTkxN2UiLCJ1c2VySWQiOiIyNjE1NDUyMzUifQ==</vt:lpwstr>
  </property>
  <property fmtid="{D5CDD505-2E9C-101B-9397-08002B2CF9AE}" pid="4" name="ICV">
    <vt:lpwstr>DD696EFE754A445FB3711E4CA3AD2CF4_12</vt:lpwstr>
  </property>
</Properties>
</file>