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4D3B">
      <w:pPr>
        <w:spacing w:line="360" w:lineRule="auto"/>
        <w:jc w:val="center"/>
        <w:rPr>
          <w:rFonts w:ascii="宋体" w:hAnsi="宋体"/>
          <w:b/>
          <w:bCs/>
          <w:color w:val="auto"/>
          <w:sz w:val="44"/>
          <w:szCs w:val="44"/>
          <w:highlight w:val="none"/>
        </w:rPr>
      </w:pPr>
    </w:p>
    <w:p w14:paraId="6FB3520E">
      <w:pPr>
        <w:spacing w:line="360" w:lineRule="auto"/>
        <w:jc w:val="center"/>
        <w:rPr>
          <w:rFonts w:ascii="宋体" w:hAnsi="宋体"/>
          <w:b/>
          <w:bCs/>
          <w:color w:val="auto"/>
          <w:sz w:val="44"/>
          <w:szCs w:val="44"/>
          <w:highlight w:val="none"/>
        </w:rPr>
      </w:pPr>
    </w:p>
    <w:p w14:paraId="47C0C5C6">
      <w:pPr>
        <w:spacing w:line="600" w:lineRule="auto"/>
        <w:ind w:firstLine="883" w:firstLineChars="200"/>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江西赣能股份有限公司丰城发电厂</w:t>
      </w:r>
      <w:r>
        <w:rPr>
          <w:rFonts w:hint="eastAsia" w:ascii="宋体" w:hAnsi="宋体"/>
          <w:b/>
          <w:bCs/>
          <w:color w:val="auto"/>
          <w:sz w:val="44"/>
          <w:szCs w:val="44"/>
          <w:highlight w:val="none"/>
          <w:lang w:val="en-US" w:eastAsia="zh-CN"/>
        </w:rPr>
        <w:t>10万吨</w:t>
      </w:r>
      <w:r>
        <w:rPr>
          <w:rFonts w:hint="eastAsia" w:ascii="宋体" w:hAnsi="宋体"/>
          <w:b/>
          <w:bCs/>
          <w:color w:val="auto"/>
          <w:sz w:val="44"/>
          <w:szCs w:val="44"/>
          <w:highlight w:val="none"/>
          <w:lang w:eastAsia="zh-CN"/>
        </w:rPr>
        <w:t>脱硫石膏处置</w:t>
      </w:r>
      <w:r>
        <w:rPr>
          <w:rFonts w:hint="eastAsia" w:ascii="宋体" w:hAnsi="宋体"/>
          <w:b/>
          <w:bCs/>
          <w:color w:val="auto"/>
          <w:sz w:val="44"/>
          <w:szCs w:val="44"/>
          <w:highlight w:val="none"/>
          <w:lang w:val="en-US" w:eastAsia="zh-CN"/>
        </w:rPr>
        <w:t>6.2万吨炉渣处置</w:t>
      </w:r>
      <w:r>
        <w:rPr>
          <w:rFonts w:hint="eastAsia" w:ascii="宋体" w:hAnsi="宋体"/>
          <w:b/>
          <w:bCs/>
          <w:color w:val="auto"/>
          <w:sz w:val="44"/>
          <w:szCs w:val="44"/>
          <w:highlight w:val="none"/>
          <w:lang w:eastAsia="zh-CN"/>
        </w:rPr>
        <w:t>项目</w:t>
      </w:r>
    </w:p>
    <w:p w14:paraId="1FB12B69">
      <w:pPr>
        <w:spacing w:line="600" w:lineRule="auto"/>
        <w:ind w:firstLine="1044" w:firstLineChars="200"/>
        <w:jc w:val="center"/>
        <w:rPr>
          <w:rFonts w:ascii="宋体" w:hAnsi="宋体"/>
          <w:b/>
          <w:bCs/>
          <w:color w:val="auto"/>
          <w:sz w:val="52"/>
          <w:szCs w:val="52"/>
          <w:highlight w:val="none"/>
        </w:rPr>
      </w:pPr>
      <w:r>
        <w:rPr>
          <w:rFonts w:hint="eastAsia" w:ascii="宋体" w:hAnsi="宋体"/>
          <w:b/>
          <w:bCs/>
          <w:color w:val="auto"/>
          <w:sz w:val="52"/>
          <w:szCs w:val="52"/>
          <w:highlight w:val="none"/>
        </w:rPr>
        <w:t>招标文件</w:t>
      </w:r>
    </w:p>
    <w:p w14:paraId="5C0DBB60">
      <w:pPr>
        <w:tabs>
          <w:tab w:val="left" w:pos="210"/>
        </w:tabs>
        <w:spacing w:line="360" w:lineRule="auto"/>
        <w:ind w:right="286" w:rightChars="119" w:firstLine="337" w:firstLineChars="105"/>
        <w:rPr>
          <w:rFonts w:ascii="宋体" w:hAnsi="宋体"/>
          <w:b/>
          <w:bCs/>
          <w:color w:val="auto"/>
          <w:sz w:val="32"/>
          <w:highlight w:val="none"/>
        </w:rPr>
      </w:pPr>
    </w:p>
    <w:p w14:paraId="2D164B35">
      <w:pPr>
        <w:tabs>
          <w:tab w:val="left" w:pos="210"/>
        </w:tabs>
        <w:spacing w:line="360" w:lineRule="auto"/>
        <w:ind w:right="286" w:rightChars="119" w:firstLine="337" w:firstLineChars="105"/>
        <w:rPr>
          <w:rFonts w:ascii="宋体" w:hAnsi="宋体"/>
          <w:b/>
          <w:bCs/>
          <w:color w:val="auto"/>
          <w:sz w:val="32"/>
          <w:highlight w:val="none"/>
        </w:rPr>
      </w:pPr>
    </w:p>
    <w:p w14:paraId="1926D318">
      <w:pPr>
        <w:tabs>
          <w:tab w:val="left" w:pos="210"/>
        </w:tabs>
        <w:spacing w:line="360" w:lineRule="auto"/>
        <w:ind w:right="286" w:rightChars="119" w:firstLine="337" w:firstLineChars="105"/>
        <w:rPr>
          <w:rFonts w:ascii="宋体" w:hAnsi="宋体"/>
          <w:b/>
          <w:bCs/>
          <w:color w:val="auto"/>
          <w:sz w:val="32"/>
          <w:highlight w:val="none"/>
        </w:rPr>
      </w:pPr>
    </w:p>
    <w:p w14:paraId="36667108">
      <w:pPr>
        <w:tabs>
          <w:tab w:val="left" w:pos="210"/>
        </w:tabs>
        <w:spacing w:line="360" w:lineRule="auto"/>
        <w:ind w:right="286" w:rightChars="119" w:firstLine="337" w:firstLineChars="105"/>
        <w:rPr>
          <w:rFonts w:ascii="宋体" w:hAnsi="宋体"/>
          <w:b/>
          <w:bCs/>
          <w:color w:val="auto"/>
          <w:sz w:val="32"/>
          <w:highlight w:val="none"/>
        </w:rPr>
      </w:pPr>
    </w:p>
    <w:p w14:paraId="464DC940">
      <w:pPr>
        <w:tabs>
          <w:tab w:val="left" w:pos="210"/>
        </w:tabs>
        <w:spacing w:line="360" w:lineRule="auto"/>
        <w:ind w:right="286" w:rightChars="119" w:firstLine="337" w:firstLineChars="105"/>
        <w:rPr>
          <w:rFonts w:ascii="宋体" w:hAnsi="宋体"/>
          <w:b/>
          <w:bCs/>
          <w:color w:val="auto"/>
          <w:sz w:val="32"/>
          <w:highlight w:val="none"/>
        </w:rPr>
      </w:pPr>
    </w:p>
    <w:p w14:paraId="7A943CD4">
      <w:pPr>
        <w:tabs>
          <w:tab w:val="left" w:pos="210"/>
        </w:tabs>
        <w:spacing w:line="360" w:lineRule="auto"/>
        <w:ind w:right="286" w:rightChars="119" w:firstLine="337" w:firstLineChars="105"/>
        <w:rPr>
          <w:rFonts w:hint="default" w:ascii="宋体" w:hAnsi="宋体" w:eastAsia="宋体"/>
          <w:b/>
          <w:bCs/>
          <w:color w:val="auto"/>
          <w:sz w:val="32"/>
          <w:highlight w:val="none"/>
          <w:lang w:val="en-US" w:eastAsia="zh-CN"/>
        </w:rPr>
      </w:pPr>
      <w:r>
        <w:rPr>
          <w:rFonts w:hint="eastAsia" w:ascii="宋体" w:hAnsi="宋体"/>
          <w:b/>
          <w:bCs/>
          <w:color w:val="auto"/>
          <w:sz w:val="32"/>
          <w:highlight w:val="none"/>
        </w:rPr>
        <w:t>招 标 编 号：JXTC202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01</w:t>
      </w:r>
      <w:r>
        <w:rPr>
          <w:rFonts w:hint="eastAsia" w:ascii="宋体" w:hAnsi="宋体"/>
          <w:b/>
          <w:bCs/>
          <w:color w:val="auto"/>
          <w:sz w:val="32"/>
          <w:highlight w:val="none"/>
          <w:lang w:val="en-US" w:eastAsia="zh-CN"/>
        </w:rPr>
        <w:t>***</w:t>
      </w:r>
    </w:p>
    <w:p w14:paraId="6942272C">
      <w:pPr>
        <w:tabs>
          <w:tab w:val="left" w:pos="210"/>
        </w:tabs>
        <w:spacing w:line="360" w:lineRule="auto"/>
        <w:ind w:right="286" w:rightChars="119" w:firstLine="360" w:firstLineChars="112"/>
        <w:rPr>
          <w:rFonts w:hint="eastAsia" w:ascii="宋体" w:hAnsi="宋体" w:eastAsia="宋体"/>
          <w:b/>
          <w:bCs/>
          <w:color w:val="auto"/>
          <w:sz w:val="32"/>
          <w:highlight w:val="none"/>
          <w:lang w:eastAsia="zh-CN"/>
        </w:rPr>
      </w:pPr>
      <w:r>
        <w:rPr>
          <w:rFonts w:hint="eastAsia" w:ascii="宋体" w:hAnsi="宋体"/>
          <w:b/>
          <w:bCs/>
          <w:color w:val="auto"/>
          <w:sz w:val="32"/>
          <w:highlight w:val="none"/>
        </w:rPr>
        <w:t>招   标  人：</w:t>
      </w:r>
      <w:r>
        <w:rPr>
          <w:rFonts w:hint="eastAsia" w:ascii="宋体" w:hAnsi="宋体"/>
          <w:b/>
          <w:bCs/>
          <w:color w:val="auto"/>
          <w:sz w:val="32"/>
          <w:highlight w:val="none"/>
          <w:lang w:eastAsia="zh-CN"/>
        </w:rPr>
        <w:t>江西赣能股份有限公司丰城发电厂</w:t>
      </w:r>
    </w:p>
    <w:p w14:paraId="35FB622E">
      <w:pPr>
        <w:spacing w:line="360" w:lineRule="auto"/>
        <w:rPr>
          <w:rFonts w:eastAsia="黑体"/>
          <w:b/>
          <w:bCs/>
          <w:color w:val="auto"/>
          <w:sz w:val="32"/>
          <w:highlight w:val="none"/>
        </w:rPr>
      </w:pPr>
    </w:p>
    <w:p w14:paraId="770E388D">
      <w:pPr>
        <w:spacing w:line="360" w:lineRule="auto"/>
        <w:rPr>
          <w:rFonts w:eastAsia="黑体"/>
          <w:b/>
          <w:bCs/>
          <w:color w:val="auto"/>
          <w:sz w:val="32"/>
          <w:highlight w:val="none"/>
        </w:rPr>
      </w:pPr>
    </w:p>
    <w:p w14:paraId="39FC508B">
      <w:pPr>
        <w:spacing w:line="360" w:lineRule="auto"/>
        <w:rPr>
          <w:rFonts w:eastAsia="黑体"/>
          <w:b/>
          <w:bCs/>
          <w:color w:val="auto"/>
          <w:sz w:val="32"/>
          <w:highlight w:val="none"/>
        </w:rPr>
      </w:pPr>
    </w:p>
    <w:p w14:paraId="25D0073E">
      <w:pPr>
        <w:spacing w:line="360" w:lineRule="auto"/>
        <w:rPr>
          <w:rFonts w:eastAsia="黑体"/>
          <w:b/>
          <w:bCs/>
          <w:color w:val="auto"/>
          <w:sz w:val="32"/>
          <w:highlight w:val="none"/>
        </w:rPr>
      </w:pPr>
    </w:p>
    <w:p w14:paraId="28876011">
      <w:pPr>
        <w:spacing w:line="360" w:lineRule="auto"/>
        <w:rPr>
          <w:rFonts w:eastAsia="黑体"/>
          <w:b/>
          <w:bCs/>
          <w:color w:val="auto"/>
          <w:sz w:val="32"/>
          <w:highlight w:val="none"/>
        </w:rPr>
      </w:pPr>
    </w:p>
    <w:p w14:paraId="62201653">
      <w:pPr>
        <w:jc w:val="center"/>
        <w:rPr>
          <w:rFonts w:ascii="宋体" w:hAnsi="宋体"/>
          <w:b/>
          <w:bCs/>
          <w:color w:val="auto"/>
          <w:sz w:val="32"/>
          <w:highlight w:val="none"/>
        </w:rPr>
      </w:pPr>
      <w:r>
        <w:rPr>
          <w:rFonts w:hint="eastAsia" w:ascii="宋体" w:hAnsi="宋体"/>
          <w:b/>
          <w:bCs/>
          <w:color w:val="auto"/>
          <w:sz w:val="32"/>
          <w:highlight w:val="none"/>
        </w:rPr>
        <w:t>江西省机电设备招标有限公司</w:t>
      </w:r>
    </w:p>
    <w:p w14:paraId="06DBABB9">
      <w:pPr>
        <w:jc w:val="center"/>
        <w:rPr>
          <w:rFonts w:ascii="宋体" w:hAnsi="宋体"/>
          <w:b/>
          <w:bCs/>
          <w:color w:val="auto"/>
          <w:sz w:val="32"/>
          <w:highlight w:val="none"/>
        </w:rPr>
      </w:pPr>
      <w:r>
        <w:rPr>
          <w:rFonts w:hint="eastAsia" w:ascii="宋体" w:hAnsi="宋体"/>
          <w:b/>
          <w:bCs/>
          <w:color w:val="auto"/>
          <w:sz w:val="32"/>
          <w:highlight w:val="none"/>
        </w:rPr>
        <w:t>二○二</w:t>
      </w:r>
      <w:r>
        <w:rPr>
          <w:rFonts w:hint="eastAsia" w:ascii="宋体" w:hAnsi="宋体"/>
          <w:b/>
          <w:bCs/>
          <w:color w:val="auto"/>
          <w:sz w:val="32"/>
          <w:highlight w:val="none"/>
          <w:lang w:eastAsia="zh-CN"/>
        </w:rPr>
        <w:t>五</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九</w:t>
      </w:r>
      <w:r>
        <w:rPr>
          <w:rFonts w:hint="eastAsia" w:ascii="宋体" w:hAnsi="宋体"/>
          <w:b/>
          <w:bCs/>
          <w:color w:val="auto"/>
          <w:sz w:val="32"/>
          <w:highlight w:val="none"/>
        </w:rPr>
        <w:t>月</w:t>
      </w:r>
    </w:p>
    <w:p w14:paraId="4BE0AEBA">
      <w:pPr>
        <w:spacing w:line="360" w:lineRule="auto"/>
        <w:jc w:val="center"/>
        <w:rPr>
          <w:rFonts w:ascii="宋体" w:hAnsi="宋体"/>
          <w:b/>
          <w:bCs/>
          <w:color w:val="auto"/>
          <w:sz w:val="36"/>
          <w:szCs w:val="36"/>
          <w:highlight w:val="none"/>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12" w:charSpace="0"/>
        </w:sectPr>
      </w:pPr>
    </w:p>
    <w:p w14:paraId="3541934C">
      <w:pPr>
        <w:spacing w:line="360" w:lineRule="auto"/>
        <w:ind w:firstLine="964" w:firstLineChars="200"/>
        <w:jc w:val="center"/>
        <w:rPr>
          <w:rFonts w:ascii="宋体" w:hAnsi="宋体"/>
          <w:b/>
          <w:color w:val="auto"/>
          <w:sz w:val="48"/>
          <w:highlight w:val="none"/>
        </w:rPr>
      </w:pPr>
      <w:r>
        <w:rPr>
          <w:rFonts w:hint="eastAsia" w:ascii="宋体" w:hAnsi="宋体"/>
          <w:b/>
          <w:color w:val="auto"/>
          <w:sz w:val="48"/>
          <w:highlight w:val="none"/>
        </w:rPr>
        <w:t>目录</w:t>
      </w:r>
    </w:p>
    <w:p w14:paraId="09A9C93F">
      <w:pPr>
        <w:spacing w:line="360" w:lineRule="auto"/>
        <w:ind w:firstLine="964" w:firstLineChars="200"/>
        <w:jc w:val="center"/>
        <w:rPr>
          <w:rFonts w:ascii="宋体" w:hAnsi="宋体"/>
          <w:b/>
          <w:color w:val="auto"/>
          <w:sz w:val="48"/>
          <w:highlight w:val="none"/>
        </w:rPr>
      </w:pPr>
    </w:p>
    <w:p w14:paraId="4D3D431C">
      <w:pPr>
        <w:pStyle w:val="18"/>
        <w:tabs>
          <w:tab w:val="right" w:leader="dot" w:pos="9038"/>
        </w:tabs>
        <w:spacing w:line="720" w:lineRule="auto"/>
        <w:jc w:val="left"/>
        <w:rPr>
          <w:rStyle w:val="26"/>
          <w:color w:val="auto"/>
          <w:sz w:val="30"/>
          <w:szCs w:val="30"/>
          <w:highlight w:val="none"/>
        </w:rPr>
      </w:pPr>
      <w:r>
        <w:rPr>
          <w:rFonts w:ascii="黑体" w:hAnsi="宋体" w:eastAsia="黑体"/>
          <w:b/>
          <w:color w:val="auto"/>
          <w:sz w:val="30"/>
          <w:szCs w:val="30"/>
          <w:highlight w:val="none"/>
        </w:rPr>
        <w:fldChar w:fldCharType="begin"/>
      </w:r>
      <w:r>
        <w:rPr>
          <w:rFonts w:ascii="黑体" w:hAnsi="宋体" w:eastAsia="黑体"/>
          <w:b/>
          <w:color w:val="auto"/>
          <w:sz w:val="30"/>
          <w:szCs w:val="30"/>
          <w:highlight w:val="none"/>
        </w:rPr>
        <w:instrText xml:space="preserve"> TOC \o "1-3" \h \z \u </w:instrText>
      </w:r>
      <w:r>
        <w:rPr>
          <w:rFonts w:ascii="黑体" w:hAnsi="宋体" w:eastAsia="黑体"/>
          <w:b/>
          <w:color w:val="auto"/>
          <w:sz w:val="30"/>
          <w:szCs w:val="30"/>
          <w:highlight w:val="none"/>
        </w:rPr>
        <w:fldChar w:fldCharType="separate"/>
      </w:r>
      <w:r>
        <w:rPr>
          <w:color w:val="auto"/>
          <w:highlight w:val="none"/>
        </w:rPr>
        <w:fldChar w:fldCharType="begin"/>
      </w:r>
      <w:r>
        <w:rPr>
          <w:color w:val="auto"/>
          <w:highlight w:val="none"/>
        </w:rPr>
        <w:instrText xml:space="preserve"> HYPERLINK \l "_Toc357178299" </w:instrText>
      </w:r>
      <w:r>
        <w:rPr>
          <w:color w:val="auto"/>
          <w:highlight w:val="none"/>
        </w:rPr>
        <w:fldChar w:fldCharType="separate"/>
      </w:r>
      <w:r>
        <w:rPr>
          <w:rStyle w:val="26"/>
          <w:rFonts w:hint="eastAsia" w:ascii="宋体" w:hAnsi="宋体"/>
          <w:b/>
          <w:color w:val="auto"/>
          <w:sz w:val="30"/>
          <w:szCs w:val="30"/>
          <w:highlight w:val="none"/>
        </w:rPr>
        <w:t>第一章 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_Toc357178299 \h </w:instrText>
      </w:r>
      <w:r>
        <w:rPr>
          <w:color w:val="auto"/>
          <w:sz w:val="30"/>
          <w:szCs w:val="30"/>
          <w:highlight w:val="none"/>
        </w:rPr>
        <w:fldChar w:fldCharType="separate"/>
      </w:r>
      <w:r>
        <w:rPr>
          <w:color w:val="auto"/>
          <w:sz w:val="30"/>
          <w:szCs w:val="30"/>
          <w:highlight w:val="none"/>
        </w:rPr>
        <w:t>3</w:t>
      </w:r>
      <w:r>
        <w:rPr>
          <w:color w:val="auto"/>
          <w:sz w:val="30"/>
          <w:szCs w:val="30"/>
          <w:highlight w:val="none"/>
        </w:rPr>
        <w:fldChar w:fldCharType="end"/>
      </w:r>
      <w:r>
        <w:rPr>
          <w:color w:val="auto"/>
          <w:sz w:val="30"/>
          <w:szCs w:val="30"/>
          <w:highlight w:val="none"/>
        </w:rPr>
        <w:fldChar w:fldCharType="end"/>
      </w:r>
    </w:p>
    <w:p w14:paraId="546D41D1">
      <w:pPr>
        <w:pStyle w:val="18"/>
        <w:tabs>
          <w:tab w:val="right" w:leader="dot" w:pos="9038"/>
        </w:tabs>
        <w:spacing w:line="720" w:lineRule="auto"/>
        <w:jc w:val="left"/>
        <w:rPr>
          <w:rStyle w:val="26"/>
          <w:color w:val="auto"/>
          <w:sz w:val="30"/>
          <w:szCs w:val="30"/>
          <w:highlight w:val="none"/>
        </w:rPr>
      </w:pPr>
      <w:r>
        <w:rPr>
          <w:color w:val="auto"/>
          <w:highlight w:val="none"/>
        </w:rPr>
        <w:fldChar w:fldCharType="begin"/>
      </w:r>
      <w:r>
        <w:rPr>
          <w:color w:val="auto"/>
          <w:highlight w:val="none"/>
        </w:rPr>
        <w:instrText xml:space="preserve"> HYPERLINK \l "_Toc357178300" </w:instrText>
      </w:r>
      <w:r>
        <w:rPr>
          <w:color w:val="auto"/>
          <w:highlight w:val="none"/>
        </w:rPr>
        <w:fldChar w:fldCharType="separate"/>
      </w:r>
      <w:r>
        <w:rPr>
          <w:rStyle w:val="26"/>
          <w:rFonts w:hint="eastAsia" w:ascii="宋体" w:hAnsi="宋体"/>
          <w:b/>
          <w:color w:val="auto"/>
          <w:sz w:val="30"/>
          <w:szCs w:val="30"/>
          <w:highlight w:val="none"/>
        </w:rPr>
        <w:t>第二章 投标人须知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_Toc357178300 \h </w:instrText>
      </w:r>
      <w:r>
        <w:rPr>
          <w:color w:val="auto"/>
          <w:sz w:val="30"/>
          <w:szCs w:val="30"/>
          <w:highlight w:val="none"/>
        </w:rPr>
        <w:fldChar w:fldCharType="separate"/>
      </w:r>
      <w:r>
        <w:rPr>
          <w:color w:val="auto"/>
          <w:sz w:val="30"/>
          <w:szCs w:val="30"/>
          <w:highlight w:val="none"/>
        </w:rPr>
        <w:t>6</w:t>
      </w:r>
      <w:r>
        <w:rPr>
          <w:color w:val="auto"/>
          <w:sz w:val="30"/>
          <w:szCs w:val="30"/>
          <w:highlight w:val="none"/>
        </w:rPr>
        <w:fldChar w:fldCharType="end"/>
      </w:r>
      <w:r>
        <w:rPr>
          <w:color w:val="auto"/>
          <w:sz w:val="30"/>
          <w:szCs w:val="30"/>
          <w:highlight w:val="none"/>
        </w:rPr>
        <w:fldChar w:fldCharType="end"/>
      </w:r>
    </w:p>
    <w:p w14:paraId="551C6F3E">
      <w:pPr>
        <w:pStyle w:val="18"/>
        <w:tabs>
          <w:tab w:val="right" w:leader="dot" w:pos="9038"/>
        </w:tabs>
        <w:spacing w:line="720" w:lineRule="auto"/>
        <w:jc w:val="left"/>
        <w:rPr>
          <w:rStyle w:val="26"/>
          <w:color w:val="auto"/>
          <w:sz w:val="30"/>
          <w:szCs w:val="30"/>
          <w:highlight w:val="none"/>
        </w:rPr>
      </w:pPr>
      <w:r>
        <w:rPr>
          <w:color w:val="auto"/>
          <w:highlight w:val="none"/>
        </w:rPr>
        <w:fldChar w:fldCharType="begin"/>
      </w:r>
      <w:r>
        <w:rPr>
          <w:color w:val="auto"/>
          <w:highlight w:val="none"/>
        </w:rPr>
        <w:instrText xml:space="preserve"> HYPERLINK \l "_Toc357178301" </w:instrText>
      </w:r>
      <w:r>
        <w:rPr>
          <w:color w:val="auto"/>
          <w:highlight w:val="none"/>
        </w:rPr>
        <w:fldChar w:fldCharType="separate"/>
      </w:r>
      <w:r>
        <w:rPr>
          <w:rStyle w:val="26"/>
          <w:rFonts w:hint="eastAsia" w:ascii="宋体" w:hAnsi="宋体"/>
          <w:b/>
          <w:color w:val="auto"/>
          <w:sz w:val="30"/>
          <w:szCs w:val="30"/>
          <w:highlight w:val="none"/>
        </w:rPr>
        <w:t>第三章 合同条款</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_Toc357178301 \h </w:instrText>
      </w:r>
      <w:r>
        <w:rPr>
          <w:color w:val="auto"/>
          <w:sz w:val="30"/>
          <w:szCs w:val="30"/>
          <w:highlight w:val="none"/>
        </w:rPr>
        <w:fldChar w:fldCharType="separate"/>
      </w:r>
      <w:r>
        <w:rPr>
          <w:color w:val="auto"/>
          <w:sz w:val="30"/>
          <w:szCs w:val="30"/>
          <w:highlight w:val="none"/>
        </w:rPr>
        <w:t>21</w:t>
      </w:r>
      <w:r>
        <w:rPr>
          <w:color w:val="auto"/>
          <w:sz w:val="30"/>
          <w:szCs w:val="30"/>
          <w:highlight w:val="none"/>
        </w:rPr>
        <w:fldChar w:fldCharType="end"/>
      </w:r>
      <w:r>
        <w:rPr>
          <w:color w:val="auto"/>
          <w:sz w:val="30"/>
          <w:szCs w:val="30"/>
          <w:highlight w:val="none"/>
        </w:rPr>
        <w:fldChar w:fldCharType="end"/>
      </w:r>
    </w:p>
    <w:p w14:paraId="4B5EDD1A">
      <w:pPr>
        <w:pStyle w:val="18"/>
        <w:tabs>
          <w:tab w:val="right" w:leader="dot" w:pos="9038"/>
        </w:tabs>
        <w:spacing w:line="720" w:lineRule="auto"/>
        <w:jc w:val="left"/>
        <w:rPr>
          <w:rStyle w:val="26"/>
          <w:color w:val="auto"/>
          <w:sz w:val="30"/>
          <w:szCs w:val="30"/>
          <w:highlight w:val="none"/>
        </w:rPr>
      </w:pPr>
      <w:r>
        <w:rPr>
          <w:color w:val="auto"/>
          <w:highlight w:val="none"/>
        </w:rPr>
        <w:fldChar w:fldCharType="begin"/>
      </w:r>
      <w:r>
        <w:rPr>
          <w:color w:val="auto"/>
          <w:highlight w:val="none"/>
        </w:rPr>
        <w:instrText xml:space="preserve"> HYPERLINK \l "_Toc357178302" </w:instrText>
      </w:r>
      <w:r>
        <w:rPr>
          <w:color w:val="auto"/>
          <w:highlight w:val="none"/>
        </w:rPr>
        <w:fldChar w:fldCharType="separate"/>
      </w:r>
      <w:r>
        <w:rPr>
          <w:rStyle w:val="26"/>
          <w:rFonts w:hint="eastAsia" w:ascii="宋体" w:hAnsi="宋体"/>
          <w:b/>
          <w:color w:val="auto"/>
          <w:sz w:val="30"/>
          <w:szCs w:val="30"/>
          <w:highlight w:val="none"/>
        </w:rPr>
        <w:t>第四章 合同格式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_Toc357178302 \h </w:instrText>
      </w:r>
      <w:r>
        <w:rPr>
          <w:color w:val="auto"/>
          <w:sz w:val="30"/>
          <w:szCs w:val="30"/>
          <w:highlight w:val="none"/>
        </w:rPr>
        <w:fldChar w:fldCharType="separate"/>
      </w:r>
      <w:r>
        <w:rPr>
          <w:color w:val="auto"/>
          <w:sz w:val="30"/>
          <w:szCs w:val="30"/>
          <w:highlight w:val="none"/>
        </w:rPr>
        <w:t>26</w:t>
      </w:r>
      <w:r>
        <w:rPr>
          <w:color w:val="auto"/>
          <w:sz w:val="30"/>
          <w:szCs w:val="30"/>
          <w:highlight w:val="none"/>
        </w:rPr>
        <w:fldChar w:fldCharType="end"/>
      </w:r>
      <w:r>
        <w:rPr>
          <w:color w:val="auto"/>
          <w:sz w:val="30"/>
          <w:szCs w:val="30"/>
          <w:highlight w:val="none"/>
        </w:rPr>
        <w:fldChar w:fldCharType="end"/>
      </w:r>
    </w:p>
    <w:p w14:paraId="7BD45ABF">
      <w:pPr>
        <w:pStyle w:val="18"/>
        <w:tabs>
          <w:tab w:val="right" w:leader="dot" w:pos="9038"/>
        </w:tabs>
        <w:spacing w:line="720" w:lineRule="auto"/>
        <w:jc w:val="left"/>
        <w:rPr>
          <w:rStyle w:val="26"/>
          <w:color w:val="auto"/>
          <w:sz w:val="30"/>
          <w:szCs w:val="30"/>
          <w:highlight w:val="none"/>
        </w:rPr>
      </w:pPr>
      <w:r>
        <w:rPr>
          <w:color w:val="auto"/>
          <w:highlight w:val="none"/>
        </w:rPr>
        <w:fldChar w:fldCharType="begin"/>
      </w:r>
      <w:r>
        <w:rPr>
          <w:color w:val="auto"/>
          <w:highlight w:val="none"/>
        </w:rPr>
        <w:instrText xml:space="preserve"> HYPERLINK \l "_Toc357178303" </w:instrText>
      </w:r>
      <w:r>
        <w:rPr>
          <w:color w:val="auto"/>
          <w:highlight w:val="none"/>
        </w:rPr>
        <w:fldChar w:fldCharType="separate"/>
      </w:r>
      <w:r>
        <w:rPr>
          <w:rStyle w:val="26"/>
          <w:rFonts w:hint="eastAsia" w:ascii="宋体" w:hAnsi="宋体"/>
          <w:b/>
          <w:color w:val="auto"/>
          <w:sz w:val="30"/>
          <w:szCs w:val="30"/>
          <w:highlight w:val="none"/>
        </w:rPr>
        <w:t>第五章 附件</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_Toc357178303 \h </w:instrText>
      </w:r>
      <w:r>
        <w:rPr>
          <w:color w:val="auto"/>
          <w:sz w:val="30"/>
          <w:szCs w:val="30"/>
          <w:highlight w:val="none"/>
        </w:rPr>
        <w:fldChar w:fldCharType="separate"/>
      </w:r>
      <w:r>
        <w:rPr>
          <w:color w:val="auto"/>
          <w:sz w:val="30"/>
          <w:szCs w:val="30"/>
          <w:highlight w:val="none"/>
        </w:rPr>
        <w:t>32</w:t>
      </w:r>
      <w:r>
        <w:rPr>
          <w:color w:val="auto"/>
          <w:sz w:val="30"/>
          <w:szCs w:val="30"/>
          <w:highlight w:val="none"/>
        </w:rPr>
        <w:fldChar w:fldCharType="end"/>
      </w:r>
      <w:r>
        <w:rPr>
          <w:color w:val="auto"/>
          <w:sz w:val="30"/>
          <w:szCs w:val="30"/>
          <w:highlight w:val="none"/>
        </w:rPr>
        <w:fldChar w:fldCharType="end"/>
      </w:r>
    </w:p>
    <w:p w14:paraId="3697034A">
      <w:pPr>
        <w:pStyle w:val="18"/>
        <w:tabs>
          <w:tab w:val="right" w:leader="dot" w:pos="9038"/>
        </w:tabs>
        <w:spacing w:line="720" w:lineRule="auto"/>
        <w:jc w:val="left"/>
        <w:rPr>
          <w:color w:val="auto"/>
          <w:sz w:val="30"/>
          <w:szCs w:val="30"/>
          <w:highlight w:val="none"/>
        </w:rPr>
      </w:pPr>
      <w:r>
        <w:rPr>
          <w:color w:val="auto"/>
          <w:highlight w:val="none"/>
        </w:rPr>
        <w:fldChar w:fldCharType="begin"/>
      </w:r>
      <w:r>
        <w:rPr>
          <w:color w:val="auto"/>
          <w:highlight w:val="none"/>
        </w:rPr>
        <w:instrText xml:space="preserve"> HYPERLINK \l "_Toc357178305" </w:instrText>
      </w:r>
      <w:r>
        <w:rPr>
          <w:color w:val="auto"/>
          <w:highlight w:val="none"/>
        </w:rPr>
        <w:fldChar w:fldCharType="separate"/>
      </w:r>
      <w:r>
        <w:rPr>
          <w:rStyle w:val="26"/>
          <w:rFonts w:hint="eastAsia" w:ascii="宋体" w:hAnsi="宋体"/>
          <w:b/>
          <w:color w:val="auto"/>
          <w:sz w:val="30"/>
          <w:szCs w:val="30"/>
          <w:highlight w:val="none"/>
        </w:rPr>
        <w:t>第六章 技术规范书</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_Toc357178305 \h </w:instrText>
      </w:r>
      <w:r>
        <w:rPr>
          <w:color w:val="auto"/>
          <w:sz w:val="30"/>
          <w:szCs w:val="30"/>
          <w:highlight w:val="none"/>
        </w:rPr>
        <w:fldChar w:fldCharType="separate"/>
      </w:r>
      <w:r>
        <w:rPr>
          <w:color w:val="auto"/>
          <w:sz w:val="30"/>
          <w:szCs w:val="30"/>
          <w:highlight w:val="none"/>
        </w:rPr>
        <w:t>58</w:t>
      </w:r>
      <w:r>
        <w:rPr>
          <w:color w:val="auto"/>
          <w:sz w:val="30"/>
          <w:szCs w:val="30"/>
          <w:highlight w:val="none"/>
        </w:rPr>
        <w:fldChar w:fldCharType="end"/>
      </w:r>
      <w:r>
        <w:rPr>
          <w:color w:val="auto"/>
          <w:sz w:val="30"/>
          <w:szCs w:val="30"/>
          <w:highlight w:val="none"/>
        </w:rPr>
        <w:fldChar w:fldCharType="end"/>
      </w:r>
    </w:p>
    <w:p w14:paraId="2401DF4D">
      <w:pPr>
        <w:spacing w:line="360" w:lineRule="auto"/>
        <w:ind w:firstLine="602" w:firstLineChars="200"/>
        <w:jc w:val="center"/>
        <w:rPr>
          <w:rFonts w:ascii="黑体" w:hAnsi="宋体" w:eastAsia="黑体"/>
          <w:b/>
          <w:color w:val="auto"/>
          <w:sz w:val="52"/>
          <w:highlight w:val="none"/>
        </w:rPr>
      </w:pPr>
      <w:r>
        <w:rPr>
          <w:rFonts w:ascii="黑体" w:hAnsi="宋体" w:eastAsia="黑体"/>
          <w:b/>
          <w:color w:val="auto"/>
          <w:sz w:val="30"/>
          <w:szCs w:val="30"/>
          <w:highlight w:val="none"/>
        </w:rPr>
        <w:fldChar w:fldCharType="end"/>
      </w:r>
    </w:p>
    <w:p w14:paraId="7AD7DA47">
      <w:pPr>
        <w:spacing w:line="360" w:lineRule="auto"/>
        <w:ind w:firstLine="1044" w:firstLineChars="200"/>
        <w:jc w:val="center"/>
        <w:rPr>
          <w:rFonts w:ascii="黑体" w:hAnsi="宋体" w:eastAsia="黑体"/>
          <w:b/>
          <w:color w:val="auto"/>
          <w:sz w:val="52"/>
          <w:highlight w:val="none"/>
        </w:rPr>
      </w:pPr>
    </w:p>
    <w:p w14:paraId="4F171489">
      <w:pPr>
        <w:spacing w:line="360" w:lineRule="auto"/>
        <w:ind w:firstLine="1044" w:firstLineChars="200"/>
        <w:jc w:val="center"/>
        <w:rPr>
          <w:rFonts w:ascii="黑体" w:hAnsi="宋体" w:eastAsia="黑体"/>
          <w:b/>
          <w:color w:val="auto"/>
          <w:sz w:val="52"/>
          <w:highlight w:val="none"/>
        </w:rPr>
      </w:pPr>
    </w:p>
    <w:p w14:paraId="29261B98">
      <w:pPr>
        <w:spacing w:line="360" w:lineRule="auto"/>
        <w:ind w:firstLine="1044" w:firstLineChars="200"/>
        <w:jc w:val="center"/>
        <w:rPr>
          <w:rFonts w:ascii="黑体" w:hAnsi="宋体" w:eastAsia="黑体"/>
          <w:b/>
          <w:color w:val="auto"/>
          <w:sz w:val="52"/>
          <w:highlight w:val="none"/>
        </w:rPr>
      </w:pPr>
    </w:p>
    <w:p w14:paraId="31B1D30C">
      <w:pPr>
        <w:spacing w:line="360" w:lineRule="auto"/>
        <w:ind w:firstLine="1044" w:firstLineChars="200"/>
        <w:jc w:val="center"/>
        <w:rPr>
          <w:rFonts w:ascii="黑体" w:hAnsi="宋体" w:eastAsia="黑体"/>
          <w:b/>
          <w:color w:val="auto"/>
          <w:sz w:val="52"/>
          <w:highlight w:val="none"/>
        </w:rPr>
      </w:pPr>
    </w:p>
    <w:p w14:paraId="2A7C196D">
      <w:pPr>
        <w:spacing w:line="360" w:lineRule="auto"/>
        <w:ind w:firstLine="1044" w:firstLineChars="200"/>
        <w:jc w:val="center"/>
        <w:rPr>
          <w:rFonts w:ascii="黑体" w:hAnsi="宋体" w:eastAsia="黑体"/>
          <w:b/>
          <w:color w:val="auto"/>
          <w:sz w:val="52"/>
          <w:highlight w:val="none"/>
        </w:rPr>
      </w:pPr>
    </w:p>
    <w:p w14:paraId="61C4602F">
      <w:pPr>
        <w:spacing w:line="360" w:lineRule="auto"/>
        <w:ind w:firstLine="1044" w:firstLineChars="200"/>
        <w:jc w:val="center"/>
        <w:rPr>
          <w:rFonts w:ascii="黑体" w:hAnsi="宋体" w:eastAsia="黑体"/>
          <w:b/>
          <w:color w:val="auto"/>
          <w:sz w:val="52"/>
          <w:highlight w:val="none"/>
        </w:rPr>
      </w:pPr>
    </w:p>
    <w:p w14:paraId="06737F8D">
      <w:pPr>
        <w:pStyle w:val="4"/>
        <w:spacing w:line="360" w:lineRule="auto"/>
        <w:ind w:left="0" w:firstLine="0"/>
        <w:jc w:val="center"/>
        <w:rPr>
          <w:rFonts w:ascii="宋体" w:hAnsi="宋体" w:eastAsia="宋体"/>
          <w:b/>
          <w:color w:val="auto"/>
          <w:sz w:val="36"/>
          <w:szCs w:val="36"/>
          <w:highlight w:val="none"/>
        </w:rPr>
      </w:pPr>
      <w:bookmarkStart w:id="0" w:name="_Toc285552063"/>
      <w:bookmarkStart w:id="1" w:name="_Toc160960590"/>
      <w:bookmarkStart w:id="2" w:name="_Toc357178299"/>
      <w:r>
        <w:rPr>
          <w:rFonts w:hint="eastAsia" w:ascii="宋体" w:hAnsi="宋体" w:eastAsia="宋体"/>
          <w:b/>
          <w:color w:val="auto"/>
          <w:sz w:val="36"/>
          <w:szCs w:val="36"/>
          <w:highlight w:val="none"/>
        </w:rPr>
        <w:t xml:space="preserve">第一章 </w:t>
      </w:r>
      <w:bookmarkEnd w:id="0"/>
      <w:bookmarkEnd w:id="1"/>
      <w:r>
        <w:rPr>
          <w:rFonts w:hint="eastAsia" w:ascii="宋体" w:hAnsi="宋体" w:eastAsia="宋体"/>
          <w:b/>
          <w:color w:val="auto"/>
          <w:sz w:val="36"/>
          <w:szCs w:val="36"/>
          <w:highlight w:val="none"/>
        </w:rPr>
        <w:t xml:space="preserve"> 招标公告</w:t>
      </w:r>
      <w:bookmarkEnd w:id="2"/>
    </w:p>
    <w:p w14:paraId="5FD8285A">
      <w:pPr>
        <w:tabs>
          <w:tab w:val="left" w:pos="210"/>
        </w:tabs>
        <w:spacing w:line="360" w:lineRule="auto"/>
        <w:ind w:right="286" w:rightChars="119" w:firstLine="480" w:firstLineChars="200"/>
        <w:jc w:val="left"/>
        <w:rPr>
          <w:color w:val="auto"/>
          <w:highlight w:val="none"/>
        </w:rPr>
      </w:pPr>
      <w:bookmarkStart w:id="3" w:name="OLE_LINK4"/>
      <w:bookmarkStart w:id="4" w:name="OLE_LINK1"/>
      <w:bookmarkStart w:id="5" w:name="_Toc246910804"/>
      <w:bookmarkStart w:id="6" w:name="_Toc160960592"/>
      <w:bookmarkStart w:id="7" w:name="_Toc285552065"/>
      <w:r>
        <w:rPr>
          <w:rFonts w:hint="eastAsia"/>
          <w:color w:val="auto"/>
          <w:highlight w:val="none"/>
        </w:rPr>
        <w:t>江西省机电设备招标有限公司（以下简称“招标机构”）受招标人委托，就</w:t>
      </w:r>
      <w:r>
        <w:rPr>
          <w:rFonts w:hint="eastAsia"/>
          <w:color w:val="auto"/>
          <w:highlight w:val="none"/>
          <w:lang w:eastAsia="zh-CN"/>
        </w:rPr>
        <w:t>江西赣能股份有限公司丰城发电厂</w:t>
      </w:r>
      <w:r>
        <w:rPr>
          <w:rFonts w:hint="eastAsia"/>
          <w:color w:val="auto"/>
          <w:highlight w:val="none"/>
          <w:lang w:val="en-US" w:eastAsia="zh-CN"/>
        </w:rPr>
        <w:t>10万吨</w:t>
      </w:r>
      <w:r>
        <w:rPr>
          <w:rFonts w:hint="eastAsia"/>
          <w:color w:val="auto"/>
          <w:highlight w:val="none"/>
          <w:lang w:eastAsia="zh-CN"/>
        </w:rPr>
        <w:t>脱硫石膏处置</w:t>
      </w:r>
      <w:r>
        <w:rPr>
          <w:rFonts w:hint="eastAsia"/>
          <w:color w:val="auto"/>
          <w:highlight w:val="none"/>
          <w:lang w:val="en-US" w:eastAsia="zh-CN"/>
        </w:rPr>
        <w:t>6.2万吨炉渣处置</w:t>
      </w:r>
      <w:r>
        <w:rPr>
          <w:rFonts w:hint="eastAsia"/>
          <w:color w:val="auto"/>
          <w:highlight w:val="none"/>
          <w:lang w:eastAsia="zh-CN"/>
        </w:rPr>
        <w:t>项目</w:t>
      </w:r>
      <w:r>
        <w:rPr>
          <w:rFonts w:hint="eastAsia"/>
          <w:color w:val="auto"/>
          <w:highlight w:val="none"/>
        </w:rPr>
        <w:t>进行国内公开</w:t>
      </w:r>
      <w:r>
        <w:rPr>
          <w:rFonts w:hint="eastAsia"/>
          <w:color w:val="auto"/>
          <w:highlight w:val="none"/>
          <w:lang w:eastAsia="zh-CN"/>
        </w:rPr>
        <w:t>询比</w:t>
      </w:r>
      <w:r>
        <w:rPr>
          <w:rFonts w:hint="eastAsia"/>
          <w:color w:val="auto"/>
          <w:highlight w:val="none"/>
        </w:rPr>
        <w:t>招标。</w:t>
      </w:r>
    </w:p>
    <w:p w14:paraId="51BC83B5">
      <w:pPr>
        <w:spacing w:line="360" w:lineRule="auto"/>
        <w:ind w:left="567" w:hanging="567"/>
        <w:rPr>
          <w:rFonts w:ascii="宋体" w:hAnsi="宋体"/>
          <w:b/>
          <w:color w:val="auto"/>
          <w:highlight w:val="none"/>
        </w:rPr>
      </w:pPr>
      <w:r>
        <w:rPr>
          <w:rFonts w:hint="eastAsia" w:ascii="宋体" w:hAnsi="宋体"/>
          <w:b/>
          <w:color w:val="auto"/>
          <w:highlight w:val="none"/>
        </w:rPr>
        <w:t>一、项目概况：</w:t>
      </w:r>
    </w:p>
    <w:p w14:paraId="0EA1C0C6">
      <w:pPr>
        <w:spacing w:before="62"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赣能股份丰城发电厂5、6号机组建设规模为2×700MW超临界燃煤发电机组。每台机组配备1台最大连续蒸发量2102t/h的锅炉，每台锅炉同步配套建设1套石灰石-石膏湿法脱硫设施，全烟气脱硫。</w:t>
      </w:r>
    </w:p>
    <w:p w14:paraId="743C8BD0">
      <w:pPr>
        <w:spacing w:before="62"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赣能股份丰城发电厂7、8号机组建设规模为2×1000MW超超临界燃煤发电机组，每台机组配备1台最大连续蒸发量(BMCR)2765t/h的锅炉，每台锅炉同步配套建设1套石灰石-石膏湿法脱硫设施，全烟气脱硫。</w:t>
      </w:r>
    </w:p>
    <w:p w14:paraId="7BC3E688">
      <w:pPr>
        <w:spacing w:before="62"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赣能股份丰城发电厂位于丰城市西面石上村，厂区距丰城市区8公里，距南昌市约60km，南临赣江约0.5km，东距丰高公路约0.6km，北距丰城水泥厂2.8km，交通便利。</w:t>
      </w:r>
    </w:p>
    <w:p w14:paraId="1D91D539">
      <w:pPr>
        <w:spacing w:before="62"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赣能股份丰城发电厂5、6号机组脱硫装置采用石灰石作为吸收剂、生产副产品二水石膏（CaSO4·2H2O）的石灰石—石膏湿法脱硫工艺。脱硫超低排放改造后，锅炉设计煤种含硫量为1.62%，经脱硫装置后脱硫率不小于99.02%，石灰石耗量15.7t/h，石膏产量28.2t/h (以上均为单台700MW机组)。</w:t>
      </w:r>
    </w:p>
    <w:p w14:paraId="78297F04">
      <w:pPr>
        <w:spacing w:before="62"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赣能股份丰城发电厂7、8号机组脱硫装置采用石灰石作为吸收剂、生产副产品二水石膏（CaSO4·2H2O）的石灰石—石膏湿法脱硫工艺。江西赣能股份丰城发电厂7、8号机组脱硫设计煤种含硫量为1.25%，经脱硫装置后脱硫率不小于99.02%，石灰石耗量17.5T/h，石膏产量34.8T/h (以上均为单台1000MW机组)。</w:t>
      </w:r>
    </w:p>
    <w:p w14:paraId="469B83ED">
      <w:pPr>
        <w:spacing w:before="62" w:line="360" w:lineRule="auto"/>
        <w:ind w:firstLine="42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本技术规范所述石膏系赣能股份丰城发电厂烟气脱硫系统产生的附属品脱硫石膏。</w:t>
      </w:r>
    </w:p>
    <w:p w14:paraId="21507DF3">
      <w:pPr>
        <w:spacing w:before="62" w:line="360" w:lineRule="auto"/>
        <w:rPr>
          <w:rFonts w:hint="eastAsia" w:ascii="宋体" w:hAnsi="宋体"/>
          <w:color w:val="auto"/>
          <w:sz w:val="24"/>
          <w:highlight w:val="none"/>
        </w:rPr>
      </w:pPr>
      <w:r>
        <w:rPr>
          <w:rFonts w:ascii="宋体" w:hAnsi="宋体"/>
          <w:color w:val="auto"/>
          <w:sz w:val="24"/>
          <w:highlight w:val="none"/>
        </w:rPr>
        <w:t>江西</w:t>
      </w:r>
      <w:r>
        <w:rPr>
          <w:rFonts w:hint="eastAsia" w:ascii="宋体" w:hAnsi="宋体"/>
          <w:color w:val="auto"/>
          <w:sz w:val="24"/>
          <w:highlight w:val="none"/>
        </w:rPr>
        <w:t>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w:t>
      </w:r>
      <w:r>
        <w:rPr>
          <w:rFonts w:hint="eastAsia" w:ascii="宋体" w:hAnsi="宋体"/>
          <w:color w:val="auto"/>
          <w:sz w:val="24"/>
          <w:highlight w:val="none"/>
        </w:rPr>
        <w:t>石膏品质</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2"/>
        <w:gridCol w:w="2637"/>
        <w:gridCol w:w="3523"/>
      </w:tblGrid>
      <w:tr w14:paraId="5267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top"/>
          </w:tcPr>
          <w:p w14:paraId="3E552BE2">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检测项目</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top"/>
          </w:tcPr>
          <w:p w14:paraId="7982A53B">
            <w:pPr>
              <w:keepNext w:val="0"/>
              <w:keepLines w:val="0"/>
              <w:widowControl/>
              <w:suppressLineNumbers w:val="0"/>
              <w:jc w:val="left"/>
              <w:textAlignment w:val="top"/>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指标</w:t>
            </w:r>
          </w:p>
        </w:tc>
        <w:tc>
          <w:tcPr>
            <w:tcW w:w="1901" w:type="pct"/>
            <w:tcBorders>
              <w:top w:val="single" w:color="000000" w:sz="4" w:space="0"/>
              <w:left w:val="single" w:color="000000" w:sz="4" w:space="0"/>
              <w:bottom w:val="single" w:color="000000" w:sz="4" w:space="0"/>
              <w:right w:val="single" w:color="000000" w:sz="4" w:space="0"/>
            </w:tcBorders>
            <w:shd w:val="clear" w:color="auto" w:fill="auto"/>
            <w:vAlign w:val="top"/>
          </w:tcPr>
          <w:p w14:paraId="569A99F6">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03E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top"/>
          </w:tcPr>
          <w:p w14:paraId="14AA6EA7">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SO</w:t>
            </w:r>
            <w:r>
              <w:rPr>
                <w:rFonts w:hint="eastAsia" w:ascii="宋体" w:hAnsi="宋体" w:eastAsia="宋体" w:cs="宋体"/>
                <w:i w:val="0"/>
                <w:iCs w:val="0"/>
                <w:color w:val="auto"/>
                <w:kern w:val="0"/>
                <w:sz w:val="24"/>
                <w:szCs w:val="24"/>
                <w:highlight w:val="none"/>
                <w:u w:val="none"/>
                <w:vertAlign w:val="subscript"/>
                <w:lang w:val="en-US" w:eastAsia="zh-CN" w:bidi="ar"/>
              </w:rPr>
              <w:t>3</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8B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01" w:type="pct"/>
            <w:vMerge w:val="restart"/>
            <w:tcBorders>
              <w:top w:val="single" w:color="000000" w:sz="4" w:space="0"/>
              <w:left w:val="single" w:color="000000" w:sz="4" w:space="0"/>
              <w:right w:val="single" w:color="000000" w:sz="4" w:space="0"/>
            </w:tcBorders>
            <w:shd w:val="clear" w:color="auto" w:fill="auto"/>
            <w:vAlign w:val="center"/>
          </w:tcPr>
          <w:p w14:paraId="63C5B774">
            <w:pPr>
              <w:bidi w:val="0"/>
              <w:jc w:val="center"/>
              <w:rPr>
                <w:rFonts w:hint="default"/>
                <w:color w:val="auto"/>
                <w:highlight w:val="none"/>
                <w:lang w:val="en-US" w:eastAsia="zh-CN"/>
              </w:rPr>
            </w:pPr>
          </w:p>
        </w:tc>
      </w:tr>
      <w:tr w14:paraId="7FCB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top"/>
          </w:tcPr>
          <w:p w14:paraId="5420EAE4">
            <w:pPr>
              <w:keepNext w:val="0"/>
              <w:keepLines w:val="0"/>
              <w:widowControl/>
              <w:suppressLineNumbers w:val="0"/>
              <w:jc w:val="left"/>
              <w:textAlignment w:val="top"/>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结晶水</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top"/>
          </w:tcPr>
          <w:p w14:paraId="29EEE094">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01" w:type="pct"/>
            <w:vMerge w:val="continue"/>
            <w:tcBorders>
              <w:left w:val="single" w:color="000000" w:sz="4" w:space="0"/>
              <w:right w:val="single" w:color="000000" w:sz="4" w:space="0"/>
            </w:tcBorders>
            <w:shd w:val="clear" w:color="auto" w:fill="auto"/>
            <w:vAlign w:val="top"/>
          </w:tcPr>
          <w:p w14:paraId="6B7974AE">
            <w:pPr>
              <w:jc w:val="left"/>
              <w:rPr>
                <w:rFonts w:hint="eastAsia" w:ascii="宋体" w:hAnsi="宋体" w:eastAsia="宋体" w:cs="宋体"/>
                <w:i w:val="0"/>
                <w:iCs w:val="0"/>
                <w:color w:val="auto"/>
                <w:sz w:val="24"/>
                <w:szCs w:val="24"/>
                <w:highlight w:val="none"/>
                <w:u w:val="none"/>
              </w:rPr>
            </w:pPr>
          </w:p>
        </w:tc>
      </w:tr>
      <w:tr w14:paraId="5341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top"/>
          </w:tcPr>
          <w:p w14:paraId="3B14EE73">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default" w:ascii="Times New Roman" w:hAnsi="Times New Roman" w:eastAsia="宋体" w:cs="Times New Roman"/>
                <w:color w:val="auto"/>
                <w:sz w:val="24"/>
                <w:szCs w:val="24"/>
                <w:highlight w:val="none"/>
              </w:rPr>
              <w:t>附着水含量</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8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01" w:type="pct"/>
            <w:vMerge w:val="continue"/>
            <w:tcBorders>
              <w:left w:val="single" w:color="000000" w:sz="4" w:space="0"/>
              <w:right w:val="single" w:color="000000" w:sz="4" w:space="0"/>
            </w:tcBorders>
            <w:shd w:val="clear" w:color="auto" w:fill="auto"/>
            <w:vAlign w:val="top"/>
          </w:tcPr>
          <w:p w14:paraId="7AF93F11">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p>
        </w:tc>
      </w:tr>
      <w:tr w14:paraId="6F5A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01F3">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pH</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A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1901" w:type="pct"/>
            <w:vMerge w:val="continue"/>
            <w:tcBorders>
              <w:left w:val="single" w:color="000000" w:sz="4" w:space="0"/>
              <w:right w:val="single" w:color="000000" w:sz="4" w:space="0"/>
            </w:tcBorders>
            <w:shd w:val="clear" w:color="auto" w:fill="auto"/>
            <w:vAlign w:val="top"/>
          </w:tcPr>
          <w:p w14:paraId="05448641">
            <w:pPr>
              <w:jc w:val="left"/>
              <w:rPr>
                <w:rFonts w:hint="eastAsia" w:ascii="宋体" w:hAnsi="宋体" w:eastAsia="宋体" w:cs="宋体"/>
                <w:i w:val="0"/>
                <w:iCs w:val="0"/>
                <w:color w:val="auto"/>
                <w:sz w:val="24"/>
                <w:szCs w:val="24"/>
                <w:highlight w:val="none"/>
                <w:u w:val="none"/>
              </w:rPr>
            </w:pPr>
          </w:p>
        </w:tc>
      </w:tr>
      <w:tr w14:paraId="59CA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A9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氯离子(Cl)</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2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p>
        </w:tc>
        <w:tc>
          <w:tcPr>
            <w:tcW w:w="1901" w:type="pct"/>
            <w:vMerge w:val="continue"/>
            <w:tcBorders>
              <w:left w:val="single" w:color="000000" w:sz="4" w:space="0"/>
              <w:bottom w:val="single" w:color="000000" w:sz="4" w:space="0"/>
              <w:right w:val="single" w:color="000000" w:sz="4" w:space="0"/>
            </w:tcBorders>
            <w:shd w:val="clear" w:color="auto" w:fill="auto"/>
            <w:vAlign w:val="center"/>
          </w:tcPr>
          <w:p w14:paraId="099174F6">
            <w:pPr>
              <w:jc w:val="left"/>
              <w:rPr>
                <w:rFonts w:hint="eastAsia" w:ascii="宋体" w:hAnsi="宋体" w:eastAsia="宋体" w:cs="宋体"/>
                <w:i w:val="0"/>
                <w:iCs w:val="0"/>
                <w:color w:val="auto"/>
                <w:sz w:val="24"/>
                <w:szCs w:val="24"/>
                <w:highlight w:val="none"/>
                <w:u w:val="none"/>
              </w:rPr>
            </w:pPr>
          </w:p>
        </w:tc>
      </w:tr>
    </w:tbl>
    <w:p w14:paraId="1EFEF6B8">
      <w:pPr>
        <w:spacing w:before="62" w:line="360" w:lineRule="auto"/>
        <w:rPr>
          <w:rFonts w:ascii="宋体" w:hAnsi="宋体"/>
          <w:color w:val="auto"/>
          <w:highlight w:val="none"/>
        </w:rPr>
      </w:pPr>
      <w:r>
        <w:rPr>
          <w:rFonts w:hint="eastAsia" w:ascii="宋体" w:hAnsi="宋体" w:cs="Times New Roman"/>
          <w:color w:val="auto"/>
          <w:sz w:val="24"/>
          <w:highlight w:val="none"/>
          <w:lang w:eastAsia="zh-CN"/>
        </w:rPr>
        <w:t>招标人</w:t>
      </w:r>
      <w:r>
        <w:rPr>
          <w:rFonts w:hint="eastAsia" w:ascii="宋体" w:hAnsi="宋体" w:eastAsia="宋体" w:cs="Times New Roman"/>
          <w:color w:val="auto"/>
          <w:sz w:val="24"/>
          <w:highlight w:val="none"/>
        </w:rPr>
        <w:t>对产出的石膏颜色不作任何承诺。</w:t>
      </w:r>
    </w:p>
    <w:p w14:paraId="7131970E">
      <w:pPr>
        <w:spacing w:line="460" w:lineRule="exact"/>
        <w:rPr>
          <w:b/>
          <w:color w:val="auto"/>
          <w:highlight w:val="none"/>
        </w:rPr>
      </w:pPr>
      <w:r>
        <w:rPr>
          <w:rFonts w:hint="eastAsia"/>
          <w:b/>
          <w:color w:val="auto"/>
          <w:highlight w:val="none"/>
        </w:rPr>
        <w:t>二．招标内容（具体要求见技术规范书）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076"/>
        <w:gridCol w:w="1996"/>
        <w:gridCol w:w="3656"/>
      </w:tblGrid>
      <w:tr w14:paraId="75CB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0" w:type="auto"/>
            <w:vAlign w:val="center"/>
          </w:tcPr>
          <w:p w14:paraId="1606C59D">
            <w:pPr>
              <w:autoSpaceDN w:val="0"/>
              <w:spacing w:line="360" w:lineRule="auto"/>
              <w:jc w:val="center"/>
              <w:rPr>
                <w:rFonts w:ascii="宋体" w:hAnsi="宋体"/>
                <w:color w:val="auto"/>
                <w:highlight w:val="none"/>
              </w:rPr>
            </w:pPr>
            <w:r>
              <w:rPr>
                <w:rFonts w:hint="eastAsia" w:ascii="宋体" w:hAnsi="宋体"/>
                <w:color w:val="auto"/>
                <w:highlight w:val="none"/>
              </w:rPr>
              <w:t>序号</w:t>
            </w:r>
          </w:p>
        </w:tc>
        <w:tc>
          <w:tcPr>
            <w:tcW w:w="0" w:type="auto"/>
            <w:vAlign w:val="center"/>
          </w:tcPr>
          <w:p w14:paraId="68A0FF82">
            <w:pPr>
              <w:autoSpaceDN w:val="0"/>
              <w:spacing w:line="360" w:lineRule="auto"/>
              <w:jc w:val="center"/>
              <w:rPr>
                <w:rFonts w:ascii="宋体" w:hAnsi="宋体"/>
                <w:color w:val="auto"/>
                <w:highlight w:val="none"/>
              </w:rPr>
            </w:pPr>
            <w:r>
              <w:rPr>
                <w:rFonts w:hint="eastAsia" w:ascii="宋体" w:hAnsi="宋体"/>
                <w:color w:val="auto"/>
                <w:highlight w:val="none"/>
              </w:rPr>
              <w:t>服务名称</w:t>
            </w:r>
          </w:p>
        </w:tc>
        <w:tc>
          <w:tcPr>
            <w:tcW w:w="0" w:type="auto"/>
            <w:vAlign w:val="center"/>
          </w:tcPr>
          <w:p w14:paraId="4D10636C">
            <w:pPr>
              <w:autoSpaceDN w:val="0"/>
              <w:spacing w:line="360" w:lineRule="auto"/>
              <w:jc w:val="center"/>
              <w:rPr>
                <w:rFonts w:ascii="宋体" w:hAnsi="宋体"/>
                <w:color w:val="auto"/>
                <w:highlight w:val="none"/>
              </w:rPr>
            </w:pPr>
            <w:r>
              <w:rPr>
                <w:rFonts w:hint="eastAsia" w:ascii="宋体" w:hAnsi="宋体"/>
                <w:color w:val="auto"/>
                <w:highlight w:val="none"/>
              </w:rPr>
              <w:t>服务期限</w:t>
            </w:r>
          </w:p>
        </w:tc>
        <w:tc>
          <w:tcPr>
            <w:tcW w:w="0" w:type="auto"/>
            <w:vAlign w:val="center"/>
          </w:tcPr>
          <w:p w14:paraId="5DC6E8C6">
            <w:pPr>
              <w:autoSpaceDN w:val="0"/>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备注</w:t>
            </w:r>
          </w:p>
        </w:tc>
      </w:tr>
      <w:tr w14:paraId="47BF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Align w:val="center"/>
          </w:tcPr>
          <w:p w14:paraId="34DF690F">
            <w:pPr>
              <w:autoSpaceDN w:val="0"/>
              <w:spacing w:line="360" w:lineRule="auto"/>
              <w:jc w:val="center"/>
              <w:rPr>
                <w:rFonts w:ascii="宋体" w:hAnsi="宋体"/>
                <w:color w:val="auto"/>
                <w:highlight w:val="none"/>
              </w:rPr>
            </w:pPr>
            <w:r>
              <w:rPr>
                <w:rFonts w:hint="eastAsia" w:ascii="宋体" w:hAnsi="宋体"/>
                <w:color w:val="auto"/>
                <w:highlight w:val="none"/>
              </w:rPr>
              <w:t>1</w:t>
            </w:r>
          </w:p>
        </w:tc>
        <w:tc>
          <w:tcPr>
            <w:tcW w:w="0" w:type="auto"/>
            <w:vAlign w:val="center"/>
          </w:tcPr>
          <w:p w14:paraId="65A87251">
            <w:pPr>
              <w:autoSpaceDN w:val="0"/>
              <w:spacing w:line="360" w:lineRule="auto"/>
              <w:jc w:val="center"/>
              <w:rPr>
                <w:rFonts w:ascii="宋体" w:hAnsi="宋体"/>
                <w:color w:val="auto"/>
                <w:highlight w:val="none"/>
              </w:rPr>
            </w:pPr>
            <w:r>
              <w:rPr>
                <w:rFonts w:hint="eastAsia" w:ascii="宋体" w:hAnsi="宋体"/>
                <w:color w:val="auto"/>
                <w:highlight w:val="none"/>
              </w:rPr>
              <w:t>江西赣能股份有限公司丰城发电厂</w:t>
            </w:r>
            <w:r>
              <w:rPr>
                <w:rFonts w:hint="eastAsia"/>
                <w:color w:val="auto"/>
                <w:highlight w:val="none"/>
                <w:lang w:val="en-US" w:eastAsia="zh-CN"/>
              </w:rPr>
              <w:t>10万吨</w:t>
            </w:r>
            <w:r>
              <w:rPr>
                <w:rFonts w:hint="eastAsia"/>
                <w:color w:val="auto"/>
                <w:highlight w:val="none"/>
                <w:lang w:eastAsia="zh-CN"/>
              </w:rPr>
              <w:t>脱硫石膏处置</w:t>
            </w:r>
            <w:r>
              <w:rPr>
                <w:rFonts w:hint="eastAsia"/>
                <w:color w:val="auto"/>
                <w:highlight w:val="none"/>
                <w:lang w:val="en-US" w:eastAsia="zh-CN"/>
              </w:rPr>
              <w:t>6.2万吨炉渣处置</w:t>
            </w:r>
            <w:r>
              <w:rPr>
                <w:rFonts w:hint="eastAsia" w:ascii="宋体" w:hAnsi="宋体"/>
                <w:color w:val="auto"/>
                <w:highlight w:val="none"/>
              </w:rPr>
              <w:t>项目</w:t>
            </w:r>
          </w:p>
        </w:tc>
        <w:tc>
          <w:tcPr>
            <w:tcW w:w="0" w:type="auto"/>
            <w:vAlign w:val="center"/>
          </w:tcPr>
          <w:p w14:paraId="3AFEA8F5">
            <w:pPr>
              <w:snapToGrid w:val="0"/>
              <w:spacing w:line="360" w:lineRule="auto"/>
              <w:rPr>
                <w:rFonts w:hint="eastAsia" w:ascii="宋体" w:hAnsi="宋体" w:eastAsia="宋体"/>
                <w:color w:val="auto"/>
                <w:highlight w:val="none"/>
                <w:lang w:val="en-US" w:eastAsia="zh-CN"/>
              </w:rPr>
            </w:pPr>
            <w:r>
              <w:rPr>
                <w:rFonts w:hint="eastAsia" w:ascii="宋体" w:hAnsi="宋体"/>
                <w:color w:val="auto"/>
                <w:highlight w:val="none"/>
              </w:rPr>
              <w:t>合同签订之日--202</w:t>
            </w:r>
            <w:r>
              <w:rPr>
                <w:rFonts w:hint="eastAsia" w:ascii="宋体" w:hAnsi="宋体"/>
                <w:color w:val="auto"/>
                <w:highlight w:val="none"/>
                <w:lang w:val="en-US" w:eastAsia="zh-CN"/>
              </w:rPr>
              <w:t>6</w:t>
            </w:r>
            <w:r>
              <w:rPr>
                <w:rFonts w:hint="eastAsia" w:ascii="宋体" w:hAnsi="宋体"/>
                <w:color w:val="auto"/>
                <w:highlight w:val="none"/>
              </w:rPr>
              <w:t>年12月31日</w:t>
            </w:r>
            <w:r>
              <w:rPr>
                <w:rFonts w:hint="eastAsia" w:ascii="宋体" w:hAnsi="宋体"/>
                <w:color w:val="auto"/>
                <w:highlight w:val="none"/>
                <w:lang w:eastAsia="zh-CN"/>
              </w:rPr>
              <w:t>。</w:t>
            </w:r>
          </w:p>
        </w:tc>
        <w:tc>
          <w:tcPr>
            <w:tcW w:w="0" w:type="auto"/>
            <w:vAlign w:val="center"/>
          </w:tcPr>
          <w:p w14:paraId="212C933B">
            <w:pPr>
              <w:snapToGrid w:val="0"/>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成交后本标段石膏</w:t>
            </w:r>
            <w:r>
              <w:rPr>
                <w:rFonts w:hint="eastAsia" w:ascii="宋体" w:hAnsi="宋体" w:cs="宋体"/>
                <w:color w:val="auto"/>
                <w:highlight w:val="none"/>
                <w:lang w:eastAsia="zh-CN"/>
              </w:rPr>
              <w:t>、炉渣</w:t>
            </w:r>
            <w:r>
              <w:rPr>
                <w:rFonts w:hint="eastAsia" w:ascii="宋体" w:hAnsi="宋体" w:cs="宋体"/>
                <w:color w:val="auto"/>
                <w:highlight w:val="none"/>
              </w:rPr>
              <w:t>所有权归成交</w:t>
            </w:r>
            <w:r>
              <w:rPr>
                <w:rFonts w:hint="eastAsia" w:ascii="宋体" w:hAnsi="宋体" w:cs="宋体"/>
                <w:color w:val="auto"/>
                <w:highlight w:val="none"/>
                <w:lang w:eastAsia="zh-CN"/>
              </w:rPr>
              <w:t>投标人</w:t>
            </w:r>
            <w:r>
              <w:rPr>
                <w:rFonts w:hint="eastAsia" w:ascii="宋体" w:hAnsi="宋体" w:cs="宋体"/>
                <w:color w:val="auto"/>
                <w:highlight w:val="none"/>
              </w:rPr>
              <w:t>，负责石膏</w:t>
            </w:r>
            <w:r>
              <w:rPr>
                <w:rFonts w:hint="eastAsia" w:ascii="宋体" w:hAnsi="宋体" w:cs="宋体"/>
                <w:color w:val="auto"/>
                <w:highlight w:val="none"/>
                <w:lang w:eastAsia="zh-CN"/>
              </w:rPr>
              <w:t>、炉渣</w:t>
            </w:r>
            <w:r>
              <w:rPr>
                <w:rFonts w:hint="eastAsia" w:ascii="宋体" w:hAnsi="宋体" w:cs="宋体"/>
                <w:color w:val="auto"/>
                <w:highlight w:val="none"/>
              </w:rPr>
              <w:t>运输出电厂及后续处置</w:t>
            </w:r>
            <w:r>
              <w:rPr>
                <w:rFonts w:hint="eastAsia" w:ascii="宋体" w:hAnsi="宋体" w:cs="宋体"/>
                <w:color w:val="auto"/>
                <w:highlight w:val="none"/>
                <w:lang w:eastAsia="zh-CN"/>
              </w:rPr>
              <w:t>。</w:t>
            </w:r>
          </w:p>
        </w:tc>
      </w:tr>
    </w:tbl>
    <w:p w14:paraId="6496798A">
      <w:pPr>
        <w:autoSpaceDN w:val="0"/>
        <w:spacing w:line="360" w:lineRule="auto"/>
        <w:ind w:firstLine="482" w:firstLineChars="200"/>
        <w:rPr>
          <w:rFonts w:hint="eastAsia"/>
          <w:b/>
          <w:color w:val="auto"/>
          <w:highlight w:val="none"/>
        </w:rPr>
      </w:pPr>
      <w:r>
        <w:rPr>
          <w:rFonts w:hint="eastAsia"/>
          <w:b/>
          <w:color w:val="auto"/>
          <w:highlight w:val="none"/>
        </w:rPr>
        <w:t>本标段</w:t>
      </w:r>
      <w:r>
        <w:rPr>
          <w:rFonts w:hint="eastAsia"/>
          <w:b/>
          <w:color w:val="auto"/>
          <w:highlight w:val="none"/>
          <w:lang w:val="en-US" w:eastAsia="zh-CN"/>
        </w:rPr>
        <w:t>石膏</w:t>
      </w:r>
      <w:r>
        <w:rPr>
          <w:rFonts w:hint="eastAsia"/>
          <w:b/>
          <w:color w:val="auto"/>
          <w:highlight w:val="none"/>
        </w:rPr>
        <w:t>投标最高综合单价限价为</w:t>
      </w:r>
      <w:r>
        <w:rPr>
          <w:rFonts w:hint="eastAsia"/>
          <w:b/>
          <w:color w:val="auto"/>
          <w:highlight w:val="none"/>
          <w:lang w:val="en-US" w:eastAsia="zh-CN"/>
        </w:rPr>
        <w:t>45</w:t>
      </w:r>
      <w:r>
        <w:rPr>
          <w:rFonts w:hint="eastAsia"/>
          <w:b/>
          <w:color w:val="auto"/>
          <w:highlight w:val="none"/>
        </w:rPr>
        <w:t>元</w:t>
      </w:r>
      <w:r>
        <w:rPr>
          <w:rFonts w:hint="eastAsia"/>
          <w:b/>
          <w:color w:val="auto"/>
          <w:highlight w:val="none"/>
        </w:rPr>
        <w:t>/吨，不得高于本限价</w:t>
      </w:r>
      <w:r>
        <w:rPr>
          <w:rFonts w:hint="eastAsia"/>
          <w:b/>
          <w:color w:val="auto"/>
          <w:highlight w:val="none"/>
          <w:lang w:eastAsia="zh-CN"/>
        </w:rPr>
        <w:t>，投标方</w:t>
      </w:r>
      <w:r>
        <w:rPr>
          <w:rFonts w:hint="eastAsia"/>
          <w:b/>
          <w:color w:val="auto"/>
          <w:highlight w:val="none"/>
          <w:lang w:val="en-US" w:eastAsia="zh-CN"/>
        </w:rPr>
        <w:t>进行报量报价，投标方最小投标量1万吨，1万吨为加量单位。</w:t>
      </w:r>
      <w:r>
        <w:rPr>
          <w:rFonts w:hint="eastAsia"/>
          <w:b/>
          <w:color w:val="auto"/>
          <w:highlight w:val="none"/>
        </w:rPr>
        <w:t>由采购人向成交</w:t>
      </w:r>
      <w:r>
        <w:rPr>
          <w:rFonts w:hint="eastAsia"/>
          <w:b/>
          <w:color w:val="auto"/>
          <w:highlight w:val="none"/>
          <w:lang w:eastAsia="zh-CN"/>
        </w:rPr>
        <w:t>投标人</w:t>
      </w:r>
      <w:r>
        <w:rPr>
          <w:rFonts w:hint="eastAsia"/>
          <w:b/>
          <w:color w:val="auto"/>
          <w:highlight w:val="none"/>
        </w:rPr>
        <w:t>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采购人脱硫石膏采购总量10万吨。</w:t>
      </w:r>
    </w:p>
    <w:p w14:paraId="5CE63ABB">
      <w:pPr>
        <w:autoSpaceDN w:val="0"/>
        <w:spacing w:line="360" w:lineRule="auto"/>
        <w:ind w:firstLine="482" w:firstLineChars="200"/>
        <w:rPr>
          <w:rFonts w:hint="eastAsia"/>
          <w:b/>
          <w:color w:val="auto"/>
          <w:highlight w:val="none"/>
        </w:rPr>
      </w:pPr>
      <w:r>
        <w:rPr>
          <w:rFonts w:hint="eastAsia"/>
          <w:b/>
          <w:color w:val="auto"/>
          <w:highlight w:val="none"/>
        </w:rPr>
        <w:t>本标段</w:t>
      </w:r>
      <w:r>
        <w:rPr>
          <w:rFonts w:hint="eastAsia"/>
          <w:b/>
          <w:color w:val="auto"/>
          <w:highlight w:val="none"/>
          <w:lang w:eastAsia="zh-CN"/>
        </w:rPr>
        <w:t>干</w:t>
      </w:r>
      <w:r>
        <w:rPr>
          <w:rFonts w:hint="eastAsia"/>
          <w:b/>
          <w:color w:val="auto"/>
          <w:highlight w:val="none"/>
          <w:lang w:val="en-US" w:eastAsia="zh-CN"/>
        </w:rPr>
        <w:t>炉渣</w:t>
      </w:r>
      <w:r>
        <w:rPr>
          <w:rFonts w:hint="eastAsia"/>
          <w:b/>
          <w:color w:val="auto"/>
          <w:highlight w:val="none"/>
        </w:rPr>
        <w:t>投标最</w:t>
      </w:r>
      <w:r>
        <w:rPr>
          <w:rFonts w:hint="eastAsia"/>
          <w:b/>
          <w:color w:val="auto"/>
          <w:highlight w:val="none"/>
          <w:lang w:eastAsia="zh-CN"/>
        </w:rPr>
        <w:t>低</w:t>
      </w:r>
      <w:r>
        <w:rPr>
          <w:rFonts w:hint="eastAsia"/>
          <w:b/>
          <w:color w:val="auto"/>
          <w:highlight w:val="none"/>
        </w:rPr>
        <w:t>综合单价限价为</w:t>
      </w:r>
      <w:r>
        <w:rPr>
          <w:rFonts w:hint="eastAsia"/>
          <w:b/>
          <w:color w:val="auto"/>
          <w:highlight w:val="none"/>
          <w:lang w:val="en-US" w:eastAsia="zh-CN"/>
        </w:rPr>
        <w:t>5</w:t>
      </w:r>
      <w:r>
        <w:rPr>
          <w:rFonts w:hint="eastAsia"/>
          <w:b/>
          <w:color w:val="auto"/>
          <w:highlight w:val="none"/>
        </w:rPr>
        <w:t>元</w:t>
      </w:r>
      <w:r>
        <w:rPr>
          <w:rFonts w:hint="eastAsia"/>
          <w:b/>
          <w:color w:val="auto"/>
          <w:highlight w:val="none"/>
        </w:rPr>
        <w:t>/吨，不得</w:t>
      </w:r>
      <w:r>
        <w:rPr>
          <w:rFonts w:hint="eastAsia"/>
          <w:b/>
          <w:color w:val="auto"/>
          <w:highlight w:val="none"/>
          <w:lang w:eastAsia="zh-CN"/>
        </w:rPr>
        <w:t>低</w:t>
      </w:r>
      <w:r>
        <w:rPr>
          <w:rFonts w:hint="eastAsia"/>
          <w:b/>
          <w:color w:val="auto"/>
          <w:highlight w:val="none"/>
        </w:rPr>
        <w:t>于本限价</w:t>
      </w:r>
      <w:r>
        <w:rPr>
          <w:rFonts w:hint="eastAsia"/>
          <w:b/>
          <w:color w:val="auto"/>
          <w:highlight w:val="none"/>
          <w:lang w:eastAsia="zh-CN"/>
        </w:rPr>
        <w:t>，投标方</w:t>
      </w:r>
      <w:r>
        <w:rPr>
          <w:rFonts w:hint="eastAsia"/>
          <w:b/>
          <w:color w:val="auto"/>
          <w:highlight w:val="none"/>
          <w:lang w:val="en-US" w:eastAsia="zh-CN"/>
        </w:rPr>
        <w:t>进行报量报价，投标方最小投标量1万吨，0.2万吨为加量单位。</w:t>
      </w:r>
      <w:r>
        <w:rPr>
          <w:rFonts w:hint="eastAsia"/>
          <w:b/>
          <w:color w:val="auto"/>
          <w:highlight w:val="none"/>
        </w:rPr>
        <w:t>由成交</w:t>
      </w:r>
      <w:r>
        <w:rPr>
          <w:rFonts w:hint="eastAsia"/>
          <w:b/>
          <w:color w:val="auto"/>
          <w:highlight w:val="none"/>
          <w:lang w:eastAsia="zh-CN"/>
        </w:rPr>
        <w:t>投标人</w:t>
      </w:r>
      <w:r>
        <w:rPr>
          <w:rFonts w:hint="eastAsia"/>
          <w:b/>
          <w:color w:val="auto"/>
          <w:highlight w:val="none"/>
        </w:rPr>
        <w:t>向采购人支付销售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w:t>
      </w:r>
      <w:r>
        <w:rPr>
          <w:rFonts w:hint="eastAsia"/>
          <w:b/>
          <w:color w:val="auto"/>
          <w:highlight w:val="none"/>
          <w:lang w:eastAsia="zh-CN"/>
        </w:rPr>
        <w:t>干</w:t>
      </w:r>
      <w:r>
        <w:rPr>
          <w:rFonts w:hint="eastAsia"/>
          <w:b/>
          <w:color w:val="auto"/>
          <w:highlight w:val="none"/>
          <w:lang w:val="en-US" w:eastAsia="zh-CN"/>
        </w:rPr>
        <w:t>炉渣采购总量4.2万吨。</w:t>
      </w:r>
    </w:p>
    <w:p w14:paraId="7FFCA1A3">
      <w:pPr>
        <w:autoSpaceDN w:val="0"/>
        <w:spacing w:line="360" w:lineRule="auto"/>
        <w:ind w:firstLine="482" w:firstLineChars="200"/>
        <w:rPr>
          <w:rFonts w:hint="eastAsia"/>
          <w:b/>
          <w:color w:val="auto"/>
          <w:highlight w:val="none"/>
          <w:lang w:val="en-US" w:eastAsia="zh-CN"/>
        </w:rPr>
      </w:pPr>
      <w:r>
        <w:rPr>
          <w:rFonts w:hint="eastAsia"/>
          <w:b/>
          <w:color w:val="auto"/>
          <w:highlight w:val="none"/>
        </w:rPr>
        <w:t>本标段</w:t>
      </w:r>
      <w:r>
        <w:rPr>
          <w:rFonts w:hint="eastAsia"/>
          <w:b/>
          <w:color w:val="auto"/>
          <w:highlight w:val="none"/>
          <w:lang w:eastAsia="zh-CN"/>
        </w:rPr>
        <w:t>湿</w:t>
      </w:r>
      <w:r>
        <w:rPr>
          <w:rFonts w:hint="eastAsia"/>
          <w:b/>
          <w:color w:val="auto"/>
          <w:highlight w:val="none"/>
          <w:lang w:val="en-US" w:eastAsia="zh-CN"/>
        </w:rPr>
        <w:t>炉渣</w:t>
      </w:r>
      <w:r>
        <w:rPr>
          <w:rFonts w:hint="eastAsia"/>
          <w:b/>
          <w:color w:val="auto"/>
          <w:highlight w:val="none"/>
        </w:rPr>
        <w:t>投标最</w:t>
      </w:r>
      <w:r>
        <w:rPr>
          <w:rFonts w:hint="eastAsia"/>
          <w:b/>
          <w:color w:val="auto"/>
          <w:highlight w:val="none"/>
          <w:lang w:eastAsia="zh-CN"/>
        </w:rPr>
        <w:t>低</w:t>
      </w:r>
      <w:r>
        <w:rPr>
          <w:rFonts w:hint="eastAsia"/>
          <w:b/>
          <w:color w:val="auto"/>
          <w:highlight w:val="none"/>
        </w:rPr>
        <w:t>综合单价限价为</w:t>
      </w:r>
      <w:r>
        <w:rPr>
          <w:rFonts w:hint="eastAsia"/>
          <w:b/>
          <w:color w:val="auto"/>
          <w:highlight w:val="none"/>
          <w:lang w:val="en-US" w:eastAsia="zh-CN"/>
        </w:rPr>
        <w:t>1</w:t>
      </w:r>
      <w:r>
        <w:rPr>
          <w:rFonts w:hint="eastAsia"/>
          <w:b/>
          <w:color w:val="auto"/>
          <w:highlight w:val="none"/>
        </w:rPr>
        <w:t>元</w:t>
      </w:r>
      <w:r>
        <w:rPr>
          <w:rFonts w:hint="eastAsia"/>
          <w:b/>
          <w:color w:val="auto"/>
          <w:highlight w:val="none"/>
        </w:rPr>
        <w:t>/吨，不得</w:t>
      </w:r>
      <w:r>
        <w:rPr>
          <w:rFonts w:hint="eastAsia"/>
          <w:b/>
          <w:color w:val="auto"/>
          <w:highlight w:val="none"/>
          <w:lang w:eastAsia="zh-CN"/>
        </w:rPr>
        <w:t>低</w:t>
      </w:r>
      <w:r>
        <w:rPr>
          <w:rFonts w:hint="eastAsia"/>
          <w:b/>
          <w:color w:val="auto"/>
          <w:highlight w:val="none"/>
        </w:rPr>
        <w:t>于本限价</w:t>
      </w:r>
      <w:r>
        <w:rPr>
          <w:rFonts w:hint="eastAsia"/>
          <w:b/>
          <w:color w:val="auto"/>
          <w:highlight w:val="none"/>
          <w:lang w:eastAsia="zh-CN"/>
        </w:rPr>
        <w:t>，投标方</w:t>
      </w:r>
      <w:r>
        <w:rPr>
          <w:rFonts w:hint="eastAsia"/>
          <w:b/>
          <w:color w:val="auto"/>
          <w:highlight w:val="none"/>
          <w:lang w:val="en-US" w:eastAsia="zh-CN"/>
        </w:rPr>
        <w:t>进行报量报价，投标方最小投标量0.5万吨，0.1万吨为加量单位。</w:t>
      </w:r>
      <w:r>
        <w:rPr>
          <w:rFonts w:hint="eastAsia"/>
          <w:b/>
          <w:color w:val="auto"/>
          <w:highlight w:val="none"/>
        </w:rPr>
        <w:t>由成交</w:t>
      </w:r>
      <w:r>
        <w:rPr>
          <w:rFonts w:hint="eastAsia"/>
          <w:b/>
          <w:color w:val="auto"/>
          <w:highlight w:val="none"/>
          <w:lang w:eastAsia="zh-CN"/>
        </w:rPr>
        <w:t>投标人</w:t>
      </w:r>
      <w:r>
        <w:rPr>
          <w:rFonts w:hint="eastAsia"/>
          <w:b/>
          <w:color w:val="auto"/>
          <w:highlight w:val="none"/>
        </w:rPr>
        <w:t>向采购人支付销售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w:t>
      </w:r>
      <w:r>
        <w:rPr>
          <w:rFonts w:hint="eastAsia"/>
          <w:b/>
          <w:color w:val="auto"/>
          <w:highlight w:val="none"/>
          <w:lang w:eastAsia="zh-CN"/>
        </w:rPr>
        <w:t>湿</w:t>
      </w:r>
      <w:r>
        <w:rPr>
          <w:rFonts w:hint="eastAsia"/>
          <w:b/>
          <w:color w:val="auto"/>
          <w:highlight w:val="none"/>
          <w:lang w:val="en-US" w:eastAsia="zh-CN"/>
        </w:rPr>
        <w:t>炉渣采购总量2万吨。</w:t>
      </w:r>
    </w:p>
    <w:p w14:paraId="388EAC7F">
      <w:pPr>
        <w:pStyle w:val="2"/>
        <w:rPr>
          <w:rFonts w:hint="default"/>
          <w:color w:val="auto"/>
          <w:highlight w:val="none"/>
          <w:lang w:val="en-US"/>
        </w:rPr>
      </w:pPr>
      <w:r>
        <w:rPr>
          <w:rFonts w:hint="eastAsia"/>
          <w:b/>
          <w:color w:val="auto"/>
          <w:highlight w:val="none"/>
          <w:lang w:val="en-US" w:eastAsia="zh-CN"/>
        </w:rPr>
        <w:t xml:space="preserve">  </w:t>
      </w:r>
      <w:r>
        <w:rPr>
          <w:rFonts w:hint="eastAsia"/>
          <w:b/>
          <w:color w:val="auto"/>
          <w:highlight w:val="none"/>
          <w:lang w:val="en-US" w:eastAsia="zh-CN"/>
        </w:rPr>
        <w:t xml:space="preserve"> 投标人根据自身生产需求，可以分别选择石膏、</w:t>
      </w:r>
      <w:r>
        <w:rPr>
          <w:rFonts w:hint="eastAsia"/>
          <w:b/>
          <w:color w:val="auto"/>
          <w:highlight w:val="none"/>
          <w:lang w:eastAsia="zh-CN"/>
        </w:rPr>
        <w:t>干</w:t>
      </w:r>
      <w:r>
        <w:rPr>
          <w:rFonts w:hint="eastAsia"/>
          <w:b/>
          <w:color w:val="auto"/>
          <w:highlight w:val="none"/>
          <w:lang w:val="en-US" w:eastAsia="zh-CN"/>
        </w:rPr>
        <w:t>炉渣、</w:t>
      </w:r>
      <w:r>
        <w:rPr>
          <w:rFonts w:hint="eastAsia"/>
          <w:b/>
          <w:color w:val="auto"/>
          <w:highlight w:val="none"/>
          <w:lang w:eastAsia="zh-CN"/>
        </w:rPr>
        <w:t>湿</w:t>
      </w:r>
      <w:r>
        <w:rPr>
          <w:rFonts w:hint="eastAsia"/>
          <w:b/>
          <w:color w:val="auto"/>
          <w:highlight w:val="none"/>
          <w:lang w:val="en-US" w:eastAsia="zh-CN"/>
        </w:rPr>
        <w:t>炉渣报价保量，无需对所有副产品强制性的全部报价。</w:t>
      </w:r>
    </w:p>
    <w:p w14:paraId="02DF29A0">
      <w:pPr>
        <w:autoSpaceDN w:val="0"/>
        <w:spacing w:line="360" w:lineRule="auto"/>
        <w:rPr>
          <w:rFonts w:ascii="宋体" w:hAnsi="宋体" w:cs="宋体"/>
          <w:b/>
          <w:color w:val="auto"/>
          <w:kern w:val="0"/>
          <w:highlight w:val="none"/>
        </w:rPr>
      </w:pPr>
      <w:r>
        <w:rPr>
          <w:rFonts w:hint="eastAsia" w:ascii="宋体" w:hAnsi="宋体" w:cs="宋体"/>
          <w:color w:val="auto"/>
          <w:kern w:val="0"/>
          <w:highlight w:val="none"/>
        </w:rPr>
        <w:t>三．</w:t>
      </w:r>
      <w:r>
        <w:rPr>
          <w:rFonts w:hint="eastAsia" w:ascii="宋体" w:hAnsi="宋体" w:cs="宋体"/>
          <w:b/>
          <w:color w:val="auto"/>
          <w:kern w:val="0"/>
          <w:highlight w:val="none"/>
        </w:rPr>
        <w:t>投标人资格标准：</w:t>
      </w:r>
    </w:p>
    <w:bookmarkEnd w:id="3"/>
    <w:p w14:paraId="40179A01">
      <w:pPr>
        <w:autoSpaceDN w:val="0"/>
        <w:spacing w:line="360" w:lineRule="auto"/>
        <w:rPr>
          <w:rFonts w:hint="eastAsia" w:ascii="宋体" w:hAnsi="宋体"/>
          <w:color w:val="auto"/>
          <w:sz w:val="24"/>
          <w:highlight w:val="none"/>
          <w:lang w:val="en-US" w:eastAsia="zh-CN"/>
        </w:rPr>
      </w:pPr>
      <w:bookmarkStart w:id="8" w:name="_Toc357178300"/>
      <w:r>
        <w:rPr>
          <w:rFonts w:hint="eastAsia" w:ascii="宋体" w:hAnsi="宋体"/>
          <w:b/>
          <w:bCs/>
          <w:color w:val="auto"/>
          <w:sz w:val="24"/>
          <w:highlight w:val="none"/>
          <w:lang w:val="en-US" w:eastAsia="zh-CN"/>
        </w:rPr>
        <w:t>详见询比公告</w:t>
      </w:r>
    </w:p>
    <w:p w14:paraId="635D63E9">
      <w:pPr>
        <w:autoSpaceDN w:val="0"/>
        <w:spacing w:line="360" w:lineRule="auto"/>
        <w:rPr>
          <w:rFonts w:hint="eastAsia" w:ascii="宋体" w:hAnsi="宋体" w:eastAsia="宋体" w:cs="宋体"/>
          <w:b/>
          <w:color w:val="auto"/>
          <w:kern w:val="0"/>
          <w:sz w:val="24"/>
          <w:highlight w:val="none"/>
          <w:shd w:val="clear" w:color="auto" w:fill="FFFFFF"/>
          <w:lang w:eastAsia="zh-CN"/>
        </w:rPr>
      </w:pPr>
      <w:r>
        <w:rPr>
          <w:rFonts w:hint="eastAsia" w:ascii="宋体" w:hAnsi="宋体" w:eastAsia="宋体" w:cs="宋体"/>
          <w:b/>
          <w:color w:val="auto"/>
          <w:kern w:val="0"/>
          <w:sz w:val="24"/>
          <w:highlight w:val="none"/>
          <w:shd w:val="clear" w:color="auto" w:fill="FFFFFF"/>
        </w:rPr>
        <w:t>四.</w:t>
      </w:r>
      <w:r>
        <w:rPr>
          <w:rFonts w:hint="eastAsia" w:ascii="宋体" w:hAnsi="宋体" w:cs="宋体"/>
          <w:b/>
          <w:color w:val="auto"/>
          <w:kern w:val="0"/>
          <w:sz w:val="24"/>
          <w:highlight w:val="none"/>
          <w:shd w:val="clear" w:color="auto" w:fill="FFFFFF"/>
          <w:lang w:val="en-US" w:eastAsia="zh-CN"/>
        </w:rPr>
        <w:t>项目参与方式</w:t>
      </w:r>
    </w:p>
    <w:p w14:paraId="6C284D60">
      <w:pPr>
        <w:autoSpaceDN w:val="0"/>
        <w:spacing w:line="360" w:lineRule="auto"/>
        <w:rPr>
          <w:rFonts w:hint="eastAsia" w:ascii="宋体" w:hAnsi="宋体" w:cs="宋体"/>
          <w:b/>
          <w:color w:val="auto"/>
          <w:kern w:val="0"/>
          <w:sz w:val="24"/>
          <w:highlight w:val="none"/>
          <w:shd w:val="clear" w:color="auto" w:fill="FFFFFF"/>
          <w:lang w:val="en-US" w:eastAsia="zh-CN"/>
        </w:rPr>
      </w:pPr>
      <w:r>
        <w:rPr>
          <w:rFonts w:hint="eastAsia" w:ascii="宋体" w:hAnsi="宋体" w:cs="宋体"/>
          <w:b/>
          <w:color w:val="auto"/>
          <w:kern w:val="0"/>
          <w:sz w:val="24"/>
          <w:highlight w:val="none"/>
          <w:shd w:val="clear" w:color="auto" w:fill="FFFFFF"/>
          <w:lang w:val="en-US" w:eastAsia="zh-CN"/>
        </w:rPr>
        <w:t>详见询比公告</w:t>
      </w:r>
      <w:bookmarkStart w:id="13" w:name="_GoBack"/>
      <w:bookmarkEnd w:id="13"/>
    </w:p>
    <w:p w14:paraId="2B914AE1">
      <w:pPr>
        <w:autoSpaceDN w:val="0"/>
        <w:spacing w:line="360" w:lineRule="auto"/>
        <w:rPr>
          <w:rFonts w:hint="eastAsia" w:ascii="宋体" w:hAnsi="宋体" w:eastAsia="宋体" w:cs="宋体"/>
          <w:b/>
          <w:color w:val="auto"/>
          <w:kern w:val="0"/>
          <w:sz w:val="24"/>
          <w:highlight w:val="none"/>
          <w:shd w:val="clear" w:color="auto" w:fill="FFFFFF"/>
        </w:rPr>
      </w:pPr>
      <w:r>
        <w:rPr>
          <w:rFonts w:hint="eastAsia" w:ascii="宋体" w:hAnsi="宋体" w:eastAsia="宋体" w:cs="宋体"/>
          <w:b/>
          <w:color w:val="auto"/>
          <w:kern w:val="0"/>
          <w:sz w:val="24"/>
          <w:highlight w:val="none"/>
          <w:shd w:val="clear" w:color="auto" w:fill="FFFFFF"/>
        </w:rPr>
        <w:t>六.发布公告的媒介</w:t>
      </w:r>
    </w:p>
    <w:p w14:paraId="44C25A72">
      <w:pPr>
        <w:spacing w:line="460" w:lineRule="exact"/>
        <w:ind w:firstLine="489" w:firstLineChars="2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中国招标投标公共服务平台、江西省国有企业采购交易服务平台、江西投资集团电子采购平台、精彩纵横云采购平台网站和江西省机电设备招标有限公司网站上发布。因轻信其他组织、个人或媒体提供的信息而造成损失的，招标人、招标代理概不负责。</w:t>
      </w:r>
    </w:p>
    <w:p w14:paraId="27497443">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招标机构名称：江西省机电设备招标有限公司</w:t>
      </w:r>
    </w:p>
    <w:p w14:paraId="01597B4F">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详细地址：江西省南昌市省府大院北二路92号咨询大厦</w:t>
      </w:r>
    </w:p>
    <w:p w14:paraId="78AB0694">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编：330046 </w:t>
      </w:r>
    </w:p>
    <w:p w14:paraId="3F644869">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val="en-US" w:eastAsia="zh-CN"/>
        </w:rPr>
        <w:t>徐俊云</w:t>
      </w:r>
    </w:p>
    <w:p w14:paraId="630BA547">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话：0791-86209833</w:t>
      </w:r>
    </w:p>
    <w:p w14:paraId="1788F40A">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电子函件：zbyb1@jxbidding.com</w:t>
      </w:r>
    </w:p>
    <w:p w14:paraId="4A2B57C4">
      <w:pPr>
        <w:spacing w:line="400" w:lineRule="atLeast"/>
        <w:rPr>
          <w:rFonts w:hint="eastAsia" w:ascii="宋体" w:hAnsi="宋体" w:eastAsia="宋体" w:cs="宋体"/>
          <w:color w:val="auto"/>
          <w:sz w:val="24"/>
          <w:szCs w:val="24"/>
          <w:highlight w:val="none"/>
        </w:rPr>
      </w:pPr>
    </w:p>
    <w:p w14:paraId="16E96A21">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招标人名称：江西赣能股份有限公司</w:t>
      </w:r>
      <w:r>
        <w:rPr>
          <w:rFonts w:hint="eastAsia" w:ascii="宋体" w:hAnsi="宋体" w:eastAsia="宋体" w:cs="宋体"/>
          <w:color w:val="auto"/>
          <w:sz w:val="24"/>
          <w:szCs w:val="24"/>
          <w:highlight w:val="none"/>
          <w:lang w:eastAsia="zh-CN"/>
        </w:rPr>
        <w:t>丰城发电厂</w:t>
      </w:r>
      <w:r>
        <w:rPr>
          <w:rFonts w:hint="eastAsia" w:ascii="宋体" w:hAnsi="宋体" w:eastAsia="宋体" w:cs="宋体"/>
          <w:color w:val="auto"/>
          <w:sz w:val="24"/>
          <w:szCs w:val="24"/>
          <w:highlight w:val="none"/>
        </w:rPr>
        <w:t xml:space="preserve">      </w:t>
      </w:r>
    </w:p>
    <w:p w14:paraId="4E243E51">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地  址：丰城市石上   </w:t>
      </w:r>
    </w:p>
    <w:p w14:paraId="16E72661">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联系人：李女士            </w:t>
      </w:r>
    </w:p>
    <w:p w14:paraId="4E80CD18">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话：0795-6402058</w:t>
      </w:r>
    </w:p>
    <w:p w14:paraId="75B71CD1">
      <w:pPr>
        <w:spacing w:line="460" w:lineRule="exact"/>
        <w:ind w:left="1"/>
        <w:jc w:val="left"/>
        <w:rPr>
          <w:rFonts w:ascii="宋体" w:hAnsi="宋体"/>
          <w:b/>
          <w:color w:val="auto"/>
          <w:sz w:val="36"/>
          <w:szCs w:val="36"/>
          <w:highlight w:val="none"/>
        </w:rPr>
      </w:pPr>
    </w:p>
    <w:bookmarkEnd w:id="4"/>
    <w:p w14:paraId="66A58AC7">
      <w:pPr>
        <w:spacing w:line="460" w:lineRule="exact"/>
        <w:ind w:left="1"/>
        <w:jc w:val="center"/>
        <w:rPr>
          <w:rFonts w:ascii="宋体" w:hAnsi="宋体"/>
          <w:b/>
          <w:color w:val="auto"/>
          <w:sz w:val="36"/>
          <w:szCs w:val="36"/>
          <w:highlight w:val="none"/>
        </w:rPr>
      </w:pPr>
    </w:p>
    <w:p w14:paraId="746085A5">
      <w:pPr>
        <w:spacing w:line="460" w:lineRule="exact"/>
        <w:ind w:left="1"/>
        <w:jc w:val="center"/>
        <w:rPr>
          <w:rFonts w:ascii="宋体" w:hAnsi="宋体"/>
          <w:b/>
          <w:color w:val="auto"/>
          <w:sz w:val="36"/>
          <w:szCs w:val="36"/>
          <w:highlight w:val="none"/>
        </w:rPr>
      </w:pPr>
    </w:p>
    <w:p w14:paraId="413CCF49">
      <w:pPr>
        <w:spacing w:line="460" w:lineRule="exact"/>
        <w:ind w:left="1"/>
        <w:jc w:val="center"/>
        <w:rPr>
          <w:rFonts w:ascii="宋体" w:hAnsi="宋体"/>
          <w:b/>
          <w:color w:val="auto"/>
          <w:sz w:val="36"/>
          <w:szCs w:val="36"/>
          <w:highlight w:val="none"/>
        </w:rPr>
        <w:sectPr>
          <w:footerReference r:id="rId6" w:type="default"/>
          <w:pgSz w:w="11906" w:h="16838"/>
          <w:pgMar w:top="1440" w:right="1418" w:bottom="1418" w:left="1440" w:header="851" w:footer="992" w:gutter="0"/>
          <w:cols w:space="720" w:num="1"/>
          <w:docGrid w:type="lines" w:linePitch="312" w:charSpace="0"/>
        </w:sectPr>
      </w:pPr>
    </w:p>
    <w:p w14:paraId="63BDA7D1">
      <w:pPr>
        <w:spacing w:line="460" w:lineRule="exact"/>
        <w:ind w:left="1"/>
        <w:jc w:val="center"/>
        <w:rPr>
          <w:rFonts w:ascii="宋体" w:hAnsi="宋体"/>
          <w:b/>
          <w:color w:val="auto"/>
          <w:sz w:val="36"/>
          <w:szCs w:val="36"/>
          <w:highlight w:val="none"/>
        </w:rPr>
      </w:pPr>
      <w:r>
        <w:rPr>
          <w:rFonts w:hint="eastAsia" w:ascii="宋体" w:hAnsi="宋体"/>
          <w:b/>
          <w:color w:val="auto"/>
          <w:sz w:val="36"/>
          <w:szCs w:val="36"/>
          <w:highlight w:val="none"/>
        </w:rPr>
        <w:t>第二章 投标人须知</w:t>
      </w:r>
      <w:bookmarkEnd w:id="8"/>
    </w:p>
    <w:p w14:paraId="4BAAE9D5">
      <w:pPr>
        <w:spacing w:line="360" w:lineRule="auto"/>
        <w:ind w:left="479"/>
        <w:jc w:val="center"/>
        <w:rPr>
          <w:rFonts w:ascii="宋体" w:hAnsi="宋体"/>
          <w:b/>
          <w:color w:val="auto"/>
          <w:sz w:val="32"/>
          <w:szCs w:val="32"/>
          <w:highlight w:val="none"/>
        </w:rPr>
      </w:pPr>
      <w:r>
        <w:rPr>
          <w:rFonts w:hint="eastAsia" w:ascii="宋体" w:hAnsi="宋体"/>
          <w:b/>
          <w:color w:val="auto"/>
          <w:sz w:val="32"/>
          <w:szCs w:val="32"/>
          <w:highlight w:val="none"/>
        </w:rPr>
        <w:t>投标须知前附表</w:t>
      </w:r>
      <w:bookmarkEnd w:id="5"/>
    </w:p>
    <w:tbl>
      <w:tblPr>
        <w:tblStyle w:val="2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877"/>
      </w:tblGrid>
      <w:tr w14:paraId="310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4" w:space="0"/>
              <w:bottom w:val="single" w:color="auto" w:sz="4" w:space="0"/>
              <w:right w:val="single" w:color="auto" w:sz="4" w:space="0"/>
            </w:tcBorders>
            <w:vAlign w:val="center"/>
          </w:tcPr>
          <w:p w14:paraId="1C40ACAF">
            <w:pPr>
              <w:autoSpaceDE w:val="0"/>
              <w:autoSpaceDN w:val="0"/>
              <w:spacing w:line="360" w:lineRule="auto"/>
              <w:jc w:val="center"/>
              <w:textAlignment w:val="bottom"/>
              <w:rPr>
                <w:rFonts w:ascii="宋体" w:hAnsi="宋体"/>
                <w:color w:val="auto"/>
                <w:highlight w:val="none"/>
              </w:rPr>
            </w:pPr>
            <w:r>
              <w:rPr>
                <w:rFonts w:hint="eastAsia" w:ascii="宋体" w:hAnsi="宋体"/>
                <w:color w:val="auto"/>
                <w:highlight w:val="none"/>
              </w:rPr>
              <w:t>序号</w:t>
            </w:r>
          </w:p>
        </w:tc>
        <w:tc>
          <w:tcPr>
            <w:tcW w:w="8877" w:type="dxa"/>
            <w:tcBorders>
              <w:top w:val="single" w:color="auto" w:sz="4" w:space="0"/>
              <w:left w:val="single" w:color="auto" w:sz="4" w:space="0"/>
              <w:bottom w:val="single" w:color="auto" w:sz="4" w:space="0"/>
              <w:right w:val="single" w:color="auto" w:sz="4" w:space="0"/>
            </w:tcBorders>
            <w:vAlign w:val="center"/>
          </w:tcPr>
          <w:p w14:paraId="31A9A512">
            <w:pPr>
              <w:autoSpaceDE w:val="0"/>
              <w:autoSpaceDN w:val="0"/>
              <w:spacing w:line="360" w:lineRule="auto"/>
              <w:ind w:firstLine="480" w:firstLineChars="200"/>
              <w:jc w:val="center"/>
              <w:textAlignment w:val="bottom"/>
              <w:rPr>
                <w:rFonts w:ascii="宋体" w:hAnsi="宋体"/>
                <w:color w:val="auto"/>
                <w:highlight w:val="none"/>
              </w:rPr>
            </w:pPr>
            <w:r>
              <w:rPr>
                <w:rFonts w:hint="eastAsia" w:ascii="宋体" w:hAnsi="宋体"/>
                <w:color w:val="auto"/>
                <w:highlight w:val="none"/>
              </w:rPr>
              <w:t>内容</w:t>
            </w:r>
          </w:p>
        </w:tc>
      </w:tr>
      <w:tr w14:paraId="1D0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73085F9">
            <w:pPr>
              <w:autoSpaceDE w:val="0"/>
              <w:autoSpaceDN w:val="0"/>
              <w:spacing w:line="360" w:lineRule="auto"/>
              <w:ind w:right="-74" w:rightChars="-31"/>
              <w:textAlignment w:val="bottom"/>
              <w:rPr>
                <w:rFonts w:ascii="宋体" w:hAnsi="宋体"/>
                <w:color w:val="auto"/>
                <w:highlight w:val="none"/>
              </w:rPr>
            </w:pPr>
            <w:r>
              <w:rPr>
                <w:rFonts w:ascii="宋体" w:hAnsi="宋体"/>
                <w:color w:val="auto"/>
                <w:highlight w:val="none"/>
              </w:rPr>
              <w:t>1</w:t>
            </w:r>
          </w:p>
        </w:tc>
        <w:tc>
          <w:tcPr>
            <w:tcW w:w="8877" w:type="dxa"/>
            <w:tcBorders>
              <w:top w:val="single" w:color="auto" w:sz="4" w:space="0"/>
              <w:left w:val="single" w:color="auto" w:sz="4" w:space="0"/>
              <w:bottom w:val="single" w:color="auto" w:sz="4" w:space="0"/>
              <w:right w:val="single" w:color="auto" w:sz="4" w:space="0"/>
            </w:tcBorders>
            <w:vAlign w:val="center"/>
          </w:tcPr>
          <w:p w14:paraId="09674C2F">
            <w:pPr>
              <w:spacing w:line="360" w:lineRule="auto"/>
              <w:ind w:left="1200" w:hanging="1200" w:hangingChars="500"/>
              <w:rPr>
                <w:rFonts w:hint="default" w:ascii="宋体" w:hAnsi="宋体" w:eastAsia="宋体"/>
                <w:color w:val="auto"/>
                <w:highlight w:val="none"/>
                <w:lang w:val="en-US" w:eastAsia="zh-CN"/>
              </w:rPr>
            </w:pPr>
            <w:r>
              <w:rPr>
                <w:rFonts w:hint="eastAsia" w:ascii="宋体" w:hAnsi="宋体"/>
                <w:color w:val="auto"/>
                <w:highlight w:val="none"/>
              </w:rPr>
              <w:t>项目名称：</w:t>
            </w:r>
            <w:r>
              <w:rPr>
                <w:rFonts w:hint="eastAsia" w:ascii="宋体" w:hAnsi="宋体"/>
                <w:color w:val="auto"/>
                <w:highlight w:val="none"/>
                <w:lang w:eastAsia="zh-CN"/>
              </w:rPr>
              <w:t>江西赣能股份有限公司丰城发电厂10万吨脱硫石膏处置6.2万吨炉渣处置项目</w:t>
            </w:r>
          </w:p>
        </w:tc>
      </w:tr>
      <w:tr w14:paraId="5602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5E6050F3">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2</w:t>
            </w:r>
          </w:p>
        </w:tc>
        <w:tc>
          <w:tcPr>
            <w:tcW w:w="8877" w:type="dxa"/>
            <w:tcBorders>
              <w:top w:val="single" w:color="auto" w:sz="4" w:space="0"/>
              <w:left w:val="single" w:color="auto" w:sz="4" w:space="0"/>
              <w:bottom w:val="single" w:color="auto" w:sz="4" w:space="0"/>
              <w:right w:val="single" w:color="auto" w:sz="4" w:space="0"/>
            </w:tcBorders>
            <w:vAlign w:val="center"/>
          </w:tcPr>
          <w:p w14:paraId="16220DF9">
            <w:pPr>
              <w:spacing w:line="360" w:lineRule="auto"/>
              <w:rPr>
                <w:rFonts w:hint="eastAsia" w:ascii="宋体" w:hAnsi="宋体" w:eastAsia="宋体"/>
                <w:color w:val="auto"/>
                <w:highlight w:val="none"/>
                <w:lang w:eastAsia="zh-CN"/>
              </w:rPr>
            </w:pPr>
            <w:r>
              <w:rPr>
                <w:rFonts w:hint="eastAsia" w:ascii="宋体" w:hAnsi="宋体"/>
                <w:color w:val="auto"/>
                <w:highlight w:val="none"/>
              </w:rPr>
              <w:t>招标人名称：</w:t>
            </w:r>
            <w:r>
              <w:rPr>
                <w:rFonts w:hint="eastAsia" w:ascii="宋体" w:hAnsi="宋体"/>
                <w:color w:val="auto"/>
                <w:highlight w:val="none"/>
                <w:lang w:eastAsia="zh-CN"/>
              </w:rPr>
              <w:t>江西赣能股份有限公司丰城发电厂</w:t>
            </w:r>
          </w:p>
          <w:p w14:paraId="3E367E5A">
            <w:pPr>
              <w:spacing w:line="360" w:lineRule="auto"/>
              <w:rPr>
                <w:rFonts w:ascii="宋体" w:hAnsi="宋体"/>
                <w:color w:val="auto"/>
                <w:highlight w:val="none"/>
              </w:rPr>
            </w:pPr>
            <w:r>
              <w:rPr>
                <w:rFonts w:hint="eastAsia" w:ascii="宋体" w:hAnsi="宋体"/>
                <w:color w:val="auto"/>
                <w:highlight w:val="none"/>
              </w:rPr>
              <w:t>电      话：</w:t>
            </w:r>
            <w:r>
              <w:rPr>
                <w:rFonts w:ascii="宋体" w:hAnsi="宋体"/>
                <w:color w:val="auto"/>
                <w:highlight w:val="none"/>
              </w:rPr>
              <w:t>0795-640205</w:t>
            </w:r>
            <w:r>
              <w:rPr>
                <w:rFonts w:hint="eastAsia" w:ascii="宋体" w:hAnsi="宋体"/>
                <w:color w:val="auto"/>
                <w:highlight w:val="none"/>
              </w:rPr>
              <w:t>8</w:t>
            </w:r>
          </w:p>
          <w:p w14:paraId="7F5920D2">
            <w:pPr>
              <w:spacing w:line="360" w:lineRule="auto"/>
              <w:rPr>
                <w:rFonts w:ascii="宋体" w:hAnsi="宋体"/>
                <w:color w:val="auto"/>
                <w:highlight w:val="none"/>
              </w:rPr>
            </w:pPr>
            <w:r>
              <w:rPr>
                <w:rFonts w:hint="eastAsia" w:ascii="宋体" w:hAnsi="宋体"/>
                <w:color w:val="auto"/>
                <w:highlight w:val="none"/>
              </w:rPr>
              <w:t>招标人地址：江西省丰城市石上</w:t>
            </w:r>
          </w:p>
        </w:tc>
      </w:tr>
      <w:tr w14:paraId="4FE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4FBE687E">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3</w:t>
            </w:r>
          </w:p>
        </w:tc>
        <w:tc>
          <w:tcPr>
            <w:tcW w:w="8877" w:type="dxa"/>
            <w:tcBorders>
              <w:top w:val="single" w:color="auto" w:sz="4" w:space="0"/>
              <w:left w:val="single" w:color="auto" w:sz="4" w:space="0"/>
              <w:bottom w:val="single" w:color="auto" w:sz="4" w:space="0"/>
              <w:right w:val="single" w:color="auto" w:sz="4" w:space="0"/>
            </w:tcBorders>
            <w:vAlign w:val="center"/>
          </w:tcPr>
          <w:p w14:paraId="76B220B9">
            <w:pPr>
              <w:snapToGrid w:val="0"/>
              <w:spacing w:line="360" w:lineRule="auto"/>
              <w:rPr>
                <w:rFonts w:ascii="宋体" w:hAnsi="宋体"/>
                <w:color w:val="auto"/>
                <w:highlight w:val="none"/>
              </w:rPr>
            </w:pPr>
            <w:r>
              <w:rPr>
                <w:rFonts w:hint="eastAsia" w:ascii="宋体" w:hAnsi="宋体"/>
                <w:b/>
                <w:color w:val="auto"/>
                <w:highlight w:val="none"/>
              </w:rPr>
              <w:t>合同期限：</w:t>
            </w:r>
            <w:r>
              <w:rPr>
                <w:rFonts w:hint="eastAsia" w:ascii="宋体" w:hAnsi="宋体"/>
                <w:color w:val="auto"/>
                <w:highlight w:val="none"/>
              </w:rPr>
              <w:t>合同签订之日--202</w:t>
            </w:r>
            <w:r>
              <w:rPr>
                <w:rFonts w:hint="eastAsia" w:ascii="宋体" w:hAnsi="宋体"/>
                <w:color w:val="auto"/>
                <w:highlight w:val="none"/>
                <w:lang w:val="en-US" w:eastAsia="zh-CN"/>
              </w:rPr>
              <w:t>6</w:t>
            </w:r>
            <w:r>
              <w:rPr>
                <w:rFonts w:hint="eastAsia" w:ascii="宋体" w:hAnsi="宋体"/>
                <w:color w:val="auto"/>
                <w:highlight w:val="none"/>
              </w:rPr>
              <w:t>年12月31日</w:t>
            </w:r>
            <w:r>
              <w:rPr>
                <w:rFonts w:hint="eastAsia" w:ascii="宋体" w:hAnsi="宋体" w:cs="宋体"/>
                <w:color w:val="auto"/>
                <w:highlight w:val="none"/>
              </w:rPr>
              <w:t>。</w:t>
            </w:r>
          </w:p>
        </w:tc>
      </w:tr>
      <w:tr w14:paraId="15C8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256E12B0">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4</w:t>
            </w:r>
          </w:p>
        </w:tc>
        <w:tc>
          <w:tcPr>
            <w:tcW w:w="8877" w:type="dxa"/>
            <w:tcBorders>
              <w:top w:val="single" w:color="auto" w:sz="4" w:space="0"/>
              <w:left w:val="single" w:color="auto" w:sz="4" w:space="0"/>
              <w:bottom w:val="single" w:color="auto" w:sz="4" w:space="0"/>
              <w:right w:val="single" w:color="auto" w:sz="4" w:space="0"/>
            </w:tcBorders>
            <w:vAlign w:val="center"/>
          </w:tcPr>
          <w:p w14:paraId="15D5815D">
            <w:pPr>
              <w:spacing w:line="360" w:lineRule="auto"/>
              <w:rPr>
                <w:rFonts w:ascii="宋体" w:hAnsi="宋体"/>
                <w:b/>
                <w:color w:val="auto"/>
                <w:highlight w:val="none"/>
              </w:rPr>
            </w:pPr>
            <w:r>
              <w:rPr>
                <w:rFonts w:hint="eastAsia" w:ascii="宋体" w:hAnsi="宋体"/>
                <w:b/>
                <w:color w:val="auto"/>
                <w:highlight w:val="none"/>
              </w:rPr>
              <w:t>资格标准：</w:t>
            </w:r>
          </w:p>
          <w:p w14:paraId="0458881C">
            <w:pPr>
              <w:spacing w:line="360" w:lineRule="auto"/>
              <w:jc w:val="left"/>
              <w:rPr>
                <w:rFonts w:hint="eastAsia" w:ascii="宋体" w:hAnsi="宋体"/>
                <w:b/>
                <w:color w:val="auto"/>
                <w:highlight w:val="none"/>
                <w:lang w:val="en-US" w:eastAsia="zh-CN"/>
              </w:rPr>
            </w:pPr>
            <w:r>
              <w:rPr>
                <w:rFonts w:hint="eastAsia" w:ascii="宋体" w:hAnsi="宋体"/>
                <w:b/>
                <w:color w:val="auto"/>
                <w:highlight w:val="none"/>
                <w:lang w:val="en-US" w:eastAsia="zh-CN"/>
              </w:rPr>
              <w:t>详见询比公告</w:t>
            </w:r>
          </w:p>
          <w:p w14:paraId="4C5EA417">
            <w:pPr>
              <w:spacing w:line="360" w:lineRule="auto"/>
              <w:jc w:val="left"/>
              <w:rPr>
                <w:rFonts w:ascii="宋体" w:hAnsi="宋体"/>
                <w:color w:val="auto"/>
                <w:highlight w:val="none"/>
              </w:rPr>
            </w:pPr>
            <w:r>
              <w:rPr>
                <w:rFonts w:hint="eastAsia" w:ascii="宋体" w:hAnsi="宋体"/>
                <w:b/>
                <w:color w:val="auto"/>
                <w:highlight w:val="none"/>
              </w:rPr>
              <w:t>注：以上证明材料复印件加盖投标人公章均需体现在投标文件中。在投标活动中发现弄虚作假者，其投标保证金将不予退还，并将报送政府相关部门严肃处理。</w:t>
            </w:r>
          </w:p>
        </w:tc>
      </w:tr>
      <w:tr w14:paraId="33F0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075C8B75">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5</w:t>
            </w:r>
          </w:p>
        </w:tc>
        <w:tc>
          <w:tcPr>
            <w:tcW w:w="8877" w:type="dxa"/>
            <w:tcBorders>
              <w:top w:val="single" w:color="auto" w:sz="4" w:space="0"/>
              <w:left w:val="single" w:color="auto" w:sz="4" w:space="0"/>
              <w:bottom w:val="single" w:color="auto" w:sz="4" w:space="0"/>
              <w:right w:val="single" w:color="auto" w:sz="4" w:space="0"/>
            </w:tcBorders>
            <w:vAlign w:val="center"/>
          </w:tcPr>
          <w:p w14:paraId="1301C90B">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投标有效期：开标之日起90个日历日</w:t>
            </w:r>
          </w:p>
        </w:tc>
      </w:tr>
      <w:tr w14:paraId="776E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1420C604">
            <w:pPr>
              <w:autoSpaceDE w:val="0"/>
              <w:autoSpaceDN w:val="0"/>
              <w:spacing w:line="360" w:lineRule="auto"/>
              <w:jc w:val="center"/>
              <w:textAlignment w:val="bottom"/>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8877" w:type="dxa"/>
            <w:tcBorders>
              <w:top w:val="single" w:color="auto" w:sz="4" w:space="0"/>
              <w:left w:val="single" w:color="auto" w:sz="4" w:space="0"/>
              <w:bottom w:val="single" w:color="auto" w:sz="4" w:space="0"/>
              <w:right w:val="single" w:color="auto" w:sz="4" w:space="0"/>
            </w:tcBorders>
            <w:vAlign w:val="center"/>
          </w:tcPr>
          <w:p w14:paraId="443964C6">
            <w:pPr>
              <w:autoSpaceDE w:val="0"/>
              <w:autoSpaceDN w:val="0"/>
              <w:spacing w:line="360" w:lineRule="auto"/>
              <w:textAlignment w:val="bottom"/>
              <w:rPr>
                <w:rFonts w:hint="eastAsia" w:ascii="宋体" w:hAnsi="宋体"/>
                <w:color w:val="auto"/>
                <w:highlight w:val="none"/>
              </w:rPr>
            </w:pPr>
            <w:r>
              <w:rPr>
                <w:rFonts w:hint="eastAsia" w:ascii="宋体" w:hAnsi="宋体"/>
                <w:color w:val="auto"/>
                <w:highlight w:val="none"/>
              </w:rPr>
              <w:t>履约保证金金额：人民币</w:t>
            </w:r>
            <w:r>
              <w:rPr>
                <w:rFonts w:hint="eastAsia" w:ascii="宋体" w:hAnsi="宋体"/>
                <w:color w:val="auto"/>
                <w:highlight w:val="none"/>
                <w:lang w:val="en-US" w:eastAsia="zh-CN"/>
              </w:rPr>
              <w:t>2</w:t>
            </w:r>
            <w:r>
              <w:rPr>
                <w:rFonts w:hint="eastAsia" w:ascii="宋体" w:hAnsi="宋体"/>
                <w:color w:val="auto"/>
                <w:highlight w:val="none"/>
              </w:rPr>
              <w:t>万元整，签订合同前递交，在项目履约完成以后无息退还；</w:t>
            </w:r>
          </w:p>
          <w:p w14:paraId="6C9EE893">
            <w:pPr>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履约保证金方式：电汇</w:t>
            </w:r>
          </w:p>
        </w:tc>
      </w:tr>
      <w:tr w14:paraId="4AF3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6079705D">
            <w:pPr>
              <w:autoSpaceDE w:val="0"/>
              <w:autoSpaceDN w:val="0"/>
              <w:spacing w:line="360" w:lineRule="auto"/>
              <w:jc w:val="center"/>
              <w:textAlignment w:val="bottom"/>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8877" w:type="dxa"/>
            <w:tcBorders>
              <w:top w:val="single" w:color="auto" w:sz="4" w:space="0"/>
              <w:left w:val="single" w:color="auto" w:sz="4" w:space="0"/>
              <w:bottom w:val="single" w:color="auto" w:sz="4" w:space="0"/>
              <w:right w:val="single" w:color="auto" w:sz="4" w:space="0"/>
            </w:tcBorders>
            <w:vAlign w:val="center"/>
          </w:tcPr>
          <w:p w14:paraId="0A859D97">
            <w:pPr>
              <w:pStyle w:val="42"/>
              <w:numPr>
                <w:ilvl w:val="0"/>
                <w:numId w:val="0"/>
              </w:numPr>
              <w:autoSpaceDN w:val="0"/>
              <w:spacing w:line="360" w:lineRule="auto"/>
              <w:jc w:val="left"/>
              <w:rPr>
                <w:rFonts w:hint="eastAsia" w:ascii="宋体" w:hAnsi="宋体"/>
                <w:color w:val="auto"/>
                <w:highlight w:val="none"/>
              </w:rPr>
            </w:pPr>
            <w:r>
              <w:rPr>
                <w:rFonts w:hint="eastAsia" w:ascii="宋体" w:hAnsi="宋体" w:eastAsia="宋体" w:cs="Times New Roman"/>
                <w:b/>
                <w:color w:val="auto"/>
                <w:sz w:val="24"/>
                <w:szCs w:val="24"/>
                <w:highlight w:val="none"/>
              </w:rPr>
              <w:t>结算方式为：</w:t>
            </w:r>
            <w:r>
              <w:rPr>
                <w:rFonts w:hint="eastAsia" w:ascii="宋体" w:hAnsi="宋体" w:eastAsia="宋体" w:cs="Times New Roman"/>
                <w:b/>
                <w:color w:val="auto"/>
                <w:sz w:val="24"/>
                <w:szCs w:val="24"/>
                <w:highlight w:val="none"/>
                <w:lang w:eastAsia="zh-CN"/>
              </w:rPr>
              <w:t>由</w:t>
            </w:r>
            <w:r>
              <w:rPr>
                <w:rFonts w:hint="eastAsia" w:ascii="宋体" w:hAnsi="宋体" w:cs="Times New Roman"/>
                <w:b/>
                <w:color w:val="auto"/>
                <w:sz w:val="24"/>
                <w:szCs w:val="24"/>
                <w:highlight w:val="none"/>
                <w:lang w:eastAsia="zh-CN"/>
              </w:rPr>
              <w:t>招标人</w:t>
            </w:r>
            <w:r>
              <w:rPr>
                <w:rFonts w:hint="eastAsia" w:ascii="宋体" w:hAnsi="宋体" w:eastAsia="宋体" w:cs="Times New Roman"/>
                <w:b/>
                <w:color w:val="auto"/>
                <w:sz w:val="24"/>
                <w:szCs w:val="24"/>
                <w:highlight w:val="none"/>
                <w:lang w:eastAsia="zh-CN"/>
              </w:rPr>
              <w:t>向</w:t>
            </w:r>
            <w:r>
              <w:rPr>
                <w:rFonts w:hint="eastAsia" w:ascii="宋体" w:hAnsi="宋体" w:cs="Times New Roman"/>
                <w:b/>
                <w:color w:val="auto"/>
                <w:sz w:val="24"/>
                <w:szCs w:val="24"/>
                <w:highlight w:val="none"/>
                <w:lang w:eastAsia="zh-CN"/>
              </w:rPr>
              <w:t>中标人</w:t>
            </w:r>
            <w:r>
              <w:rPr>
                <w:rFonts w:hint="eastAsia" w:ascii="宋体" w:hAnsi="宋体" w:eastAsia="宋体" w:cs="Times New Roman"/>
                <w:b/>
                <w:color w:val="auto"/>
                <w:sz w:val="24"/>
                <w:szCs w:val="24"/>
                <w:highlight w:val="none"/>
                <w:lang w:eastAsia="zh-CN"/>
              </w:rPr>
              <w:t>支付销售及处置费用，</w:t>
            </w:r>
            <w:r>
              <w:rPr>
                <w:rFonts w:hint="eastAsia" w:ascii="宋体" w:hAnsi="宋体" w:eastAsia="宋体" w:cs="Times New Roman"/>
                <w:b/>
                <w:color w:val="auto"/>
                <w:sz w:val="24"/>
                <w:szCs w:val="24"/>
                <w:highlight w:val="none"/>
              </w:rPr>
              <w:t>按石膏实际结算量×石膏</w:t>
            </w:r>
            <w:r>
              <w:rPr>
                <w:rFonts w:hint="eastAsia" w:ascii="宋体" w:hAnsi="宋体" w:eastAsia="宋体" w:cs="Times New Roman"/>
                <w:b/>
                <w:color w:val="auto"/>
                <w:sz w:val="24"/>
                <w:szCs w:val="24"/>
                <w:highlight w:val="none"/>
                <w:lang w:eastAsia="zh-CN"/>
              </w:rPr>
              <w:t>销售及处置单价</w:t>
            </w:r>
            <w:r>
              <w:rPr>
                <w:rFonts w:hint="eastAsia" w:ascii="宋体" w:hAnsi="宋体" w:eastAsia="宋体" w:cs="Times New Roman"/>
                <w:b/>
                <w:color w:val="auto"/>
                <w:sz w:val="24"/>
                <w:szCs w:val="24"/>
                <w:highlight w:val="none"/>
              </w:rPr>
              <w:t>支付货款（开具增值税专票）</w:t>
            </w:r>
            <w:r>
              <w:rPr>
                <w:rFonts w:hint="eastAsia" w:ascii="宋体" w:hAnsi="宋体" w:cs="Times New Roman"/>
                <w:b/>
                <w:color w:val="auto"/>
                <w:sz w:val="24"/>
                <w:szCs w:val="24"/>
                <w:highlight w:val="none"/>
                <w:lang w:eastAsia="zh-CN"/>
              </w:rPr>
              <w:t>。项目结算时</w:t>
            </w:r>
            <w:r>
              <w:rPr>
                <w:rFonts w:hint="eastAsia" w:ascii="宋体" w:hAnsi="宋体" w:cs="Times New Roman"/>
                <w:b/>
                <w:color w:val="auto"/>
                <w:sz w:val="24"/>
                <w:szCs w:val="24"/>
                <w:highlight w:val="none"/>
                <w:lang w:val="en-US" w:eastAsia="zh-CN"/>
              </w:rPr>
              <w:t>中标人</w:t>
            </w:r>
            <w:r>
              <w:rPr>
                <w:rFonts w:hint="eastAsia" w:ascii="宋体" w:hAnsi="宋体" w:cs="Times New Roman"/>
                <w:b/>
                <w:color w:val="auto"/>
                <w:sz w:val="24"/>
                <w:szCs w:val="24"/>
                <w:highlight w:val="none"/>
                <w:lang w:eastAsia="zh-CN"/>
              </w:rPr>
              <w:t>应提供终端用户签字盖章资料。</w:t>
            </w:r>
            <w:r>
              <w:rPr>
                <w:rFonts w:hint="eastAsia" w:ascii="宋体" w:hAnsi="宋体"/>
                <w:color w:val="auto"/>
                <w:sz w:val="24"/>
                <w:highlight w:val="none"/>
                <w:lang w:val="en-US" w:eastAsia="zh-CN"/>
              </w:rPr>
              <w:t>石膏超额完成投标量部分增加2元/吨补贴。</w:t>
            </w:r>
          </w:p>
        </w:tc>
      </w:tr>
      <w:tr w14:paraId="625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749C40F8">
            <w:pPr>
              <w:autoSpaceDE w:val="0"/>
              <w:autoSpaceDN w:val="0"/>
              <w:spacing w:line="360" w:lineRule="auto"/>
              <w:jc w:val="center"/>
              <w:textAlignment w:val="bottom"/>
              <w:rPr>
                <w:rFonts w:hint="default" w:ascii="宋体" w:hAnsi="宋体" w:eastAsia="宋体"/>
                <w:color w:val="auto"/>
                <w:highlight w:val="none"/>
                <w:lang w:val="en-US" w:eastAsia="zh-CN"/>
              </w:rPr>
            </w:pPr>
            <w:r>
              <w:rPr>
                <w:rFonts w:hint="eastAsia" w:ascii="宋体" w:hAnsi="宋体"/>
                <w:color w:val="auto"/>
                <w:highlight w:val="none"/>
                <w:lang w:val="en-US" w:eastAsia="zh-CN"/>
              </w:rPr>
              <w:t>8</w:t>
            </w:r>
          </w:p>
        </w:tc>
        <w:tc>
          <w:tcPr>
            <w:tcW w:w="8877" w:type="dxa"/>
            <w:tcBorders>
              <w:top w:val="single" w:color="auto" w:sz="4" w:space="0"/>
              <w:left w:val="single" w:color="auto" w:sz="4" w:space="0"/>
              <w:bottom w:val="single" w:color="auto" w:sz="4" w:space="0"/>
              <w:right w:val="single" w:color="auto" w:sz="4" w:space="0"/>
            </w:tcBorders>
            <w:vAlign w:val="center"/>
          </w:tcPr>
          <w:p w14:paraId="626C91B2">
            <w:pPr>
              <w:spacing w:line="360" w:lineRule="auto"/>
              <w:textAlignment w:val="bottom"/>
              <w:rPr>
                <w:rFonts w:hint="eastAsia" w:ascii="宋体" w:hAnsi="宋体"/>
                <w:b/>
                <w:color w:val="auto"/>
                <w:highlight w:val="none"/>
              </w:rPr>
            </w:pPr>
            <w:r>
              <w:rPr>
                <w:rFonts w:hint="eastAsia" w:ascii="宋体" w:hAnsi="宋体" w:eastAsia="宋体" w:cs="Times New Roman"/>
                <w:b/>
                <w:color w:val="auto"/>
                <w:sz w:val="24"/>
                <w:szCs w:val="24"/>
                <w:highlight w:val="none"/>
              </w:rPr>
              <w:t>脱硫石膏厂内装车由</w:t>
            </w:r>
            <w:r>
              <w:rPr>
                <w:rFonts w:hint="eastAsia" w:ascii="宋体" w:hAnsi="宋体" w:cs="Times New Roman"/>
                <w:b/>
                <w:color w:val="auto"/>
                <w:sz w:val="24"/>
                <w:szCs w:val="24"/>
                <w:highlight w:val="none"/>
                <w:lang w:val="en-US" w:eastAsia="zh-CN"/>
              </w:rPr>
              <w:t>招标人</w:t>
            </w:r>
            <w:r>
              <w:rPr>
                <w:rFonts w:hint="eastAsia" w:ascii="宋体" w:hAnsi="宋体" w:eastAsia="宋体" w:cs="Times New Roman"/>
                <w:b/>
                <w:color w:val="auto"/>
                <w:sz w:val="24"/>
                <w:szCs w:val="24"/>
                <w:highlight w:val="none"/>
              </w:rPr>
              <w:t>负责。</w:t>
            </w:r>
          </w:p>
        </w:tc>
      </w:tr>
      <w:tr w14:paraId="6112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41C35D64">
            <w:pPr>
              <w:autoSpaceDE w:val="0"/>
              <w:autoSpaceDN w:val="0"/>
              <w:spacing w:line="360" w:lineRule="auto"/>
              <w:jc w:val="center"/>
              <w:textAlignment w:val="bottom"/>
              <w:rPr>
                <w:rFonts w:hint="default" w:ascii="宋体" w:hAnsi="宋体" w:eastAsia="宋体"/>
                <w:color w:val="auto"/>
                <w:highlight w:val="none"/>
                <w:lang w:val="en-US" w:eastAsia="zh-CN"/>
              </w:rPr>
            </w:pPr>
            <w:r>
              <w:rPr>
                <w:rFonts w:hint="eastAsia" w:ascii="宋体" w:hAnsi="宋体"/>
                <w:color w:val="auto"/>
                <w:highlight w:val="none"/>
                <w:lang w:val="en-US" w:eastAsia="zh-CN"/>
              </w:rPr>
              <w:t>9</w:t>
            </w:r>
          </w:p>
        </w:tc>
        <w:tc>
          <w:tcPr>
            <w:tcW w:w="8877" w:type="dxa"/>
            <w:tcBorders>
              <w:top w:val="single" w:color="auto" w:sz="4" w:space="0"/>
              <w:left w:val="single" w:color="auto" w:sz="4" w:space="0"/>
              <w:bottom w:val="single" w:color="auto" w:sz="4" w:space="0"/>
              <w:right w:val="single" w:color="auto" w:sz="4" w:space="0"/>
            </w:tcBorders>
            <w:vAlign w:val="center"/>
          </w:tcPr>
          <w:p w14:paraId="51B25506">
            <w:pPr>
              <w:spacing w:line="360" w:lineRule="auto"/>
              <w:textAlignment w:val="bottom"/>
              <w:rPr>
                <w:rFonts w:hint="eastAsia" w:ascii="宋体" w:hAnsi="宋体"/>
                <w:b/>
                <w:color w:val="auto"/>
                <w:highlight w:val="none"/>
              </w:rPr>
            </w:pPr>
            <w:r>
              <w:rPr>
                <w:rFonts w:hint="eastAsia" w:ascii="宋体" w:hAnsi="宋体" w:eastAsia="宋体" w:cs="Times New Roman"/>
                <w:b/>
                <w:color w:val="auto"/>
                <w:sz w:val="24"/>
                <w:szCs w:val="24"/>
                <w:highlight w:val="none"/>
              </w:rPr>
              <w:t>本标段</w:t>
            </w:r>
            <w:r>
              <w:rPr>
                <w:rFonts w:hint="eastAsia" w:ascii="宋体" w:hAnsi="宋体"/>
                <w:b/>
                <w:color w:val="auto"/>
                <w:sz w:val="24"/>
                <w:szCs w:val="24"/>
                <w:highlight w:val="none"/>
              </w:rPr>
              <w:t>投标</w:t>
            </w:r>
            <w:r>
              <w:rPr>
                <w:rFonts w:hint="eastAsia" w:ascii="宋体" w:hAnsi="宋体"/>
                <w:b/>
                <w:color w:val="auto"/>
                <w:sz w:val="24"/>
                <w:szCs w:val="24"/>
                <w:highlight w:val="none"/>
                <w:lang w:eastAsia="zh-CN"/>
              </w:rPr>
              <w:t>石膏</w:t>
            </w:r>
            <w:r>
              <w:rPr>
                <w:rFonts w:hint="eastAsia" w:ascii="宋体" w:hAnsi="宋体"/>
                <w:b/>
                <w:color w:val="auto"/>
                <w:sz w:val="24"/>
                <w:szCs w:val="24"/>
                <w:highlight w:val="none"/>
                <w:lang w:eastAsia="zh-CN"/>
              </w:rPr>
              <w:t>最</w:t>
            </w:r>
            <w:r>
              <w:rPr>
                <w:rFonts w:hint="eastAsia" w:ascii="宋体" w:hAnsi="宋体"/>
                <w:b/>
                <w:color w:val="auto"/>
                <w:sz w:val="24"/>
                <w:szCs w:val="24"/>
                <w:highlight w:val="none"/>
                <w:lang w:val="en-US" w:eastAsia="zh-CN"/>
              </w:rPr>
              <w:t>高</w:t>
            </w:r>
            <w:r>
              <w:rPr>
                <w:rFonts w:hint="eastAsia" w:ascii="宋体" w:hAnsi="宋体"/>
                <w:b/>
                <w:color w:val="auto"/>
                <w:sz w:val="24"/>
                <w:szCs w:val="24"/>
                <w:highlight w:val="none"/>
              </w:rPr>
              <w:t>综合单价限价为</w:t>
            </w:r>
            <w:r>
              <w:rPr>
                <w:rFonts w:hint="eastAsia" w:ascii="宋体" w:hAnsi="宋体"/>
                <w:b/>
                <w:color w:val="auto"/>
                <w:sz w:val="24"/>
                <w:szCs w:val="24"/>
                <w:highlight w:val="none"/>
                <w:lang w:val="en-US" w:eastAsia="zh-CN"/>
              </w:rPr>
              <w:t>45</w:t>
            </w:r>
            <w:r>
              <w:rPr>
                <w:rFonts w:hint="eastAsia" w:ascii="宋体" w:hAnsi="宋体"/>
                <w:b/>
                <w:color w:val="auto"/>
                <w:sz w:val="24"/>
                <w:szCs w:val="24"/>
                <w:highlight w:val="none"/>
              </w:rPr>
              <w:t>元/吨</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不得</w:t>
            </w:r>
            <w:r>
              <w:rPr>
                <w:rFonts w:hint="eastAsia" w:ascii="宋体" w:hAnsi="宋体"/>
                <w:b/>
                <w:color w:val="auto"/>
                <w:sz w:val="24"/>
                <w:szCs w:val="24"/>
                <w:highlight w:val="none"/>
                <w:lang w:eastAsia="zh-CN"/>
              </w:rPr>
              <w:t>高于</w:t>
            </w:r>
            <w:r>
              <w:rPr>
                <w:rFonts w:hint="eastAsia" w:ascii="宋体" w:hAnsi="宋体"/>
                <w:b/>
                <w:color w:val="auto"/>
                <w:sz w:val="24"/>
                <w:szCs w:val="24"/>
                <w:highlight w:val="none"/>
              </w:rPr>
              <w:t>本限价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eastAsia="zh-CN"/>
              </w:rPr>
              <w:t>干</w:t>
            </w:r>
            <w:r>
              <w:rPr>
                <w:rFonts w:hint="eastAsia" w:ascii="宋体" w:hAnsi="宋体"/>
                <w:b/>
                <w:color w:val="auto"/>
                <w:sz w:val="24"/>
                <w:szCs w:val="24"/>
                <w:highlight w:val="none"/>
                <w:lang w:val="en-US" w:eastAsia="zh-CN"/>
              </w:rPr>
              <w:t>炉渣</w:t>
            </w:r>
            <w:r>
              <w:rPr>
                <w:rFonts w:hint="eastAsia" w:ascii="宋体" w:hAnsi="宋体"/>
                <w:b/>
                <w:color w:val="auto"/>
                <w:sz w:val="24"/>
                <w:szCs w:val="24"/>
                <w:highlight w:val="none"/>
                <w:lang w:eastAsia="zh-CN"/>
              </w:rPr>
              <w:t>最</w:t>
            </w:r>
            <w:r>
              <w:rPr>
                <w:rFonts w:hint="eastAsia" w:ascii="宋体" w:hAnsi="宋体"/>
                <w:b/>
                <w:color w:val="auto"/>
                <w:sz w:val="24"/>
                <w:szCs w:val="24"/>
                <w:highlight w:val="none"/>
                <w:lang w:val="en-US" w:eastAsia="zh-CN"/>
              </w:rPr>
              <w:t>低</w:t>
            </w:r>
            <w:r>
              <w:rPr>
                <w:rFonts w:hint="eastAsia" w:ascii="宋体" w:hAnsi="宋体"/>
                <w:b/>
                <w:color w:val="auto"/>
                <w:sz w:val="24"/>
                <w:szCs w:val="24"/>
                <w:highlight w:val="none"/>
              </w:rPr>
              <w:t>综合单价限价为</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元/吨</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不得</w:t>
            </w:r>
            <w:r>
              <w:rPr>
                <w:rFonts w:hint="eastAsia" w:ascii="宋体" w:hAnsi="宋体"/>
                <w:b/>
                <w:color w:val="auto"/>
                <w:sz w:val="24"/>
                <w:szCs w:val="24"/>
                <w:highlight w:val="none"/>
                <w:lang w:eastAsia="zh-CN"/>
              </w:rPr>
              <w:t>低于</w:t>
            </w:r>
            <w:r>
              <w:rPr>
                <w:rFonts w:hint="eastAsia" w:ascii="宋体" w:hAnsi="宋体"/>
                <w:b/>
                <w:color w:val="auto"/>
                <w:sz w:val="24"/>
                <w:szCs w:val="24"/>
                <w:highlight w:val="none"/>
              </w:rPr>
              <w:t>本限价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湿炉渣</w:t>
            </w:r>
            <w:r>
              <w:rPr>
                <w:rFonts w:hint="eastAsia" w:ascii="宋体" w:hAnsi="宋体"/>
                <w:b/>
                <w:color w:val="auto"/>
                <w:sz w:val="24"/>
                <w:szCs w:val="24"/>
                <w:highlight w:val="none"/>
                <w:lang w:eastAsia="zh-CN"/>
              </w:rPr>
              <w:t>最</w:t>
            </w:r>
            <w:r>
              <w:rPr>
                <w:rFonts w:hint="eastAsia" w:ascii="宋体" w:hAnsi="宋体"/>
                <w:b/>
                <w:color w:val="auto"/>
                <w:sz w:val="24"/>
                <w:szCs w:val="24"/>
                <w:highlight w:val="none"/>
                <w:lang w:val="en-US" w:eastAsia="zh-CN"/>
              </w:rPr>
              <w:t>低</w:t>
            </w:r>
            <w:r>
              <w:rPr>
                <w:rFonts w:hint="eastAsia" w:ascii="宋体" w:hAnsi="宋体"/>
                <w:b/>
                <w:color w:val="auto"/>
                <w:sz w:val="24"/>
                <w:szCs w:val="24"/>
                <w:highlight w:val="none"/>
              </w:rPr>
              <w:t>综合单价限价为</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元/吨</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不得</w:t>
            </w:r>
            <w:r>
              <w:rPr>
                <w:rFonts w:hint="eastAsia" w:ascii="宋体" w:hAnsi="宋体"/>
                <w:b/>
                <w:color w:val="auto"/>
                <w:sz w:val="24"/>
                <w:szCs w:val="24"/>
                <w:highlight w:val="none"/>
                <w:lang w:val="en-US" w:eastAsia="zh-CN"/>
              </w:rPr>
              <w:t>低</w:t>
            </w:r>
            <w:r>
              <w:rPr>
                <w:rFonts w:hint="eastAsia" w:ascii="宋体" w:hAnsi="宋体"/>
                <w:b/>
                <w:color w:val="auto"/>
                <w:sz w:val="24"/>
                <w:szCs w:val="24"/>
                <w:highlight w:val="none"/>
                <w:lang w:eastAsia="zh-CN"/>
              </w:rPr>
              <w:t>于</w:t>
            </w:r>
            <w:r>
              <w:rPr>
                <w:rFonts w:hint="eastAsia" w:ascii="宋体" w:hAnsi="宋体"/>
                <w:b/>
                <w:color w:val="auto"/>
                <w:sz w:val="24"/>
                <w:szCs w:val="24"/>
                <w:highlight w:val="none"/>
              </w:rPr>
              <w:t>本限价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中标</w:t>
            </w:r>
            <w:r>
              <w:rPr>
                <w:rFonts w:hint="eastAsia" w:ascii="宋体" w:hAnsi="宋体"/>
                <w:b/>
                <w:color w:val="auto"/>
                <w:sz w:val="24"/>
                <w:szCs w:val="24"/>
                <w:highlight w:val="none"/>
              </w:rPr>
              <w:t>通知书发出后7天之内必须交纳履约保证金，逾期不交视为放弃此项目。</w:t>
            </w:r>
            <w:r>
              <w:rPr>
                <w:rFonts w:hint="eastAsia" w:ascii="宋体" w:hAnsi="宋体"/>
                <w:b/>
                <w:color w:val="auto"/>
                <w:sz w:val="24"/>
                <w:szCs w:val="24"/>
                <w:highlight w:val="none"/>
                <w:lang w:eastAsia="zh-CN"/>
              </w:rPr>
              <w:t>招标人</w:t>
            </w:r>
            <w:r>
              <w:rPr>
                <w:rFonts w:hint="eastAsia" w:ascii="宋体" w:hAnsi="宋体"/>
                <w:b/>
                <w:color w:val="auto"/>
                <w:sz w:val="24"/>
                <w:szCs w:val="24"/>
                <w:highlight w:val="none"/>
              </w:rPr>
              <w:t>可以顺延确定中标单位。</w:t>
            </w:r>
          </w:p>
        </w:tc>
      </w:tr>
      <w:tr w14:paraId="6BEE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115E3C6B">
            <w:pPr>
              <w:autoSpaceDE w:val="0"/>
              <w:autoSpaceDN w:val="0"/>
              <w:spacing w:line="360" w:lineRule="auto"/>
              <w:jc w:val="center"/>
              <w:textAlignment w:val="bottom"/>
              <w:rPr>
                <w:rFonts w:hint="default" w:ascii="宋体" w:hAnsi="宋体"/>
                <w:color w:val="auto"/>
                <w:highlight w:val="none"/>
                <w:lang w:val="en-US" w:eastAsia="zh-CN"/>
              </w:rPr>
            </w:pPr>
            <w:r>
              <w:rPr>
                <w:rFonts w:hint="eastAsia" w:ascii="宋体" w:hAnsi="宋体"/>
                <w:color w:val="auto"/>
                <w:highlight w:val="none"/>
                <w:lang w:val="en-US" w:eastAsia="zh-CN"/>
              </w:rPr>
              <w:t>10</w:t>
            </w:r>
          </w:p>
        </w:tc>
        <w:tc>
          <w:tcPr>
            <w:tcW w:w="8877" w:type="dxa"/>
            <w:tcBorders>
              <w:top w:val="single" w:color="auto" w:sz="4" w:space="0"/>
              <w:left w:val="single" w:color="auto" w:sz="4" w:space="0"/>
              <w:bottom w:val="single" w:color="auto" w:sz="4" w:space="0"/>
              <w:right w:val="single" w:color="auto" w:sz="4" w:space="0"/>
            </w:tcBorders>
            <w:vAlign w:val="center"/>
          </w:tcPr>
          <w:p w14:paraId="3867556F">
            <w:pPr>
              <w:spacing w:line="360" w:lineRule="auto"/>
              <w:textAlignment w:val="bottom"/>
              <w:rPr>
                <w:rFonts w:hint="eastAsia" w:ascii="宋体" w:hAnsi="宋体" w:eastAsia="宋体" w:cs="Times New Roman"/>
                <w:b/>
                <w:color w:val="auto"/>
                <w:sz w:val="24"/>
                <w:szCs w:val="24"/>
                <w:highlight w:val="none"/>
              </w:rPr>
            </w:pPr>
            <w:r>
              <w:rPr>
                <w:rFonts w:hint="eastAsia" w:ascii="宋体" w:hAnsi="宋体" w:cs="Times New Roman"/>
                <w:b/>
                <w:bCs/>
                <w:color w:val="auto"/>
                <w:sz w:val="24"/>
                <w:highlight w:val="none"/>
                <w:lang w:eastAsia="zh-CN"/>
              </w:rPr>
              <w:t>投标人</w:t>
            </w:r>
            <w:r>
              <w:rPr>
                <w:rFonts w:hint="eastAsia" w:ascii="宋体" w:hAnsi="宋体" w:eastAsia="宋体" w:cs="Times New Roman"/>
                <w:b/>
                <w:bCs/>
                <w:color w:val="auto"/>
                <w:sz w:val="24"/>
                <w:highlight w:val="none"/>
              </w:rPr>
              <w:t>石膏</w:t>
            </w:r>
            <w:r>
              <w:rPr>
                <w:rFonts w:hint="eastAsia" w:ascii="宋体" w:hAnsi="宋体" w:cs="Times New Roman"/>
                <w:b/>
                <w:bCs/>
                <w:color w:val="auto"/>
                <w:sz w:val="24"/>
                <w:highlight w:val="none"/>
                <w:lang w:eastAsia="zh-CN"/>
              </w:rPr>
              <w:t>、</w:t>
            </w:r>
            <w:r>
              <w:rPr>
                <w:rFonts w:hint="eastAsia" w:ascii="宋体" w:hAnsi="宋体"/>
                <w:b/>
                <w:color w:val="auto"/>
                <w:sz w:val="24"/>
                <w:szCs w:val="24"/>
                <w:highlight w:val="none"/>
                <w:lang w:val="en-US" w:eastAsia="zh-CN"/>
              </w:rPr>
              <w:t>炉渣</w:t>
            </w:r>
            <w:r>
              <w:rPr>
                <w:rFonts w:hint="eastAsia" w:ascii="宋体" w:hAnsi="宋体" w:eastAsia="宋体" w:cs="Times New Roman"/>
                <w:b/>
                <w:bCs/>
                <w:color w:val="auto"/>
                <w:sz w:val="24"/>
                <w:highlight w:val="none"/>
              </w:rPr>
              <w:t>运输车辆</w:t>
            </w:r>
            <w:r>
              <w:rPr>
                <w:rFonts w:hint="eastAsia" w:ascii="宋体" w:hAnsi="宋体" w:cs="Times New Roman"/>
                <w:b/>
                <w:bCs/>
                <w:color w:val="auto"/>
                <w:sz w:val="24"/>
                <w:highlight w:val="none"/>
                <w:lang w:val="en-US" w:eastAsia="zh-CN"/>
              </w:rPr>
              <w:t>必须有行驶证且每年度经过交通部门年检合格</w:t>
            </w:r>
            <w:r>
              <w:rPr>
                <w:rFonts w:hint="eastAsia" w:ascii="宋体" w:hAnsi="宋体" w:cs="Times New Roman"/>
                <w:b/>
                <w:bCs/>
                <w:color w:val="auto"/>
                <w:sz w:val="24"/>
                <w:highlight w:val="none"/>
                <w:lang w:val="en-US" w:eastAsia="zh-CN"/>
              </w:rPr>
              <w:t>，车辆</w:t>
            </w:r>
            <w:r>
              <w:rPr>
                <w:rFonts w:hint="eastAsia" w:ascii="宋体" w:hAnsi="宋体" w:eastAsia="宋体" w:cs="Times New Roman"/>
                <w:b/>
                <w:bCs/>
                <w:color w:val="auto"/>
                <w:sz w:val="24"/>
                <w:highlight w:val="none"/>
              </w:rPr>
              <w:t>证件、手续齐全有效，随车携带，</w:t>
            </w:r>
            <w:r>
              <w:rPr>
                <w:rFonts w:hint="eastAsia" w:ascii="宋体" w:hAnsi="宋体" w:eastAsia="宋体" w:cs="Times New Roman"/>
                <w:b/>
                <w:bCs/>
                <w:color w:val="auto"/>
                <w:sz w:val="24"/>
                <w:highlight w:val="none"/>
                <w:lang w:eastAsia="zh-CN"/>
              </w:rPr>
              <w:t>运输车辆要求</w:t>
            </w:r>
            <w:r>
              <w:rPr>
                <w:rFonts w:hint="eastAsia" w:ascii="宋体" w:hAnsi="宋体" w:cs="Times New Roman"/>
                <w:b/>
                <w:bCs/>
                <w:color w:val="auto"/>
                <w:sz w:val="24"/>
                <w:highlight w:val="none"/>
                <w:lang w:val="en-US" w:eastAsia="zh-CN"/>
              </w:rPr>
              <w:t>为环保运输车，</w:t>
            </w:r>
            <w:r>
              <w:rPr>
                <w:rFonts w:hint="eastAsia" w:ascii="宋体" w:hAnsi="宋体" w:eastAsia="宋体" w:cs="Times New Roman"/>
                <w:b/>
                <w:bCs/>
                <w:color w:val="auto"/>
                <w:sz w:val="24"/>
                <w:highlight w:val="none"/>
                <w:lang w:eastAsia="zh-CN"/>
              </w:rPr>
              <w:t>密封性能好，防洒漏、渗漏，装备自动篷布机，</w:t>
            </w:r>
            <w:r>
              <w:rPr>
                <w:rFonts w:hint="eastAsia" w:ascii="宋体" w:hAnsi="宋体" w:cs="Times New Roman"/>
                <w:b/>
                <w:bCs/>
                <w:color w:val="auto"/>
                <w:sz w:val="24"/>
                <w:highlight w:val="none"/>
                <w:lang w:val="en-US" w:eastAsia="zh-CN"/>
              </w:rPr>
              <w:t>运输车辆必须提供≥100万的第三者责任险保单复印件</w:t>
            </w:r>
            <w:r>
              <w:rPr>
                <w:rFonts w:hint="eastAsia" w:ascii="宋体" w:hAnsi="宋体" w:cs="Times New Roman"/>
                <w:b/>
                <w:bCs/>
                <w:color w:val="auto"/>
                <w:sz w:val="24"/>
                <w:highlight w:val="none"/>
                <w:lang w:val="en-US" w:eastAsia="zh-CN"/>
              </w:rPr>
              <w:t>，</w:t>
            </w:r>
            <w:r>
              <w:rPr>
                <w:rFonts w:hint="eastAsia" w:ascii="宋体" w:hAnsi="宋体" w:eastAsia="宋体" w:cs="Times New Roman"/>
                <w:b/>
                <w:bCs/>
                <w:color w:val="auto"/>
                <w:sz w:val="24"/>
                <w:highlight w:val="none"/>
              </w:rPr>
              <w:t>运输司机必须为专职驾驶员，取得相应驾驶证。</w:t>
            </w:r>
            <w:r>
              <w:rPr>
                <w:rFonts w:hint="eastAsia" w:ascii="宋体" w:hAnsi="宋体" w:cs="Times New Roman"/>
                <w:b/>
                <w:bCs/>
                <w:color w:val="auto"/>
                <w:sz w:val="24"/>
                <w:highlight w:val="none"/>
                <w:lang w:eastAsia="zh-CN"/>
              </w:rPr>
              <w:t>投标人</w:t>
            </w:r>
            <w:r>
              <w:rPr>
                <w:rFonts w:hint="eastAsia" w:ascii="宋体" w:hAnsi="宋体" w:eastAsia="宋体" w:cs="Times New Roman"/>
                <w:b/>
                <w:bCs/>
                <w:color w:val="auto"/>
                <w:sz w:val="24"/>
                <w:highlight w:val="none"/>
              </w:rPr>
              <w:t>拟派的运输队伍须具有道路运输经营许可证，如因无证运输经营等行为产生的所有处罚及给招标人造成的损失均由投标人承担</w:t>
            </w:r>
            <w:r>
              <w:rPr>
                <w:rFonts w:hint="eastAsia" w:ascii="宋体" w:hAnsi="宋体" w:eastAsia="宋体" w:cs="Times New Roman"/>
                <w:b/>
                <w:bCs/>
                <w:color w:val="auto"/>
                <w:sz w:val="24"/>
                <w:szCs w:val="24"/>
                <w:highlight w:val="none"/>
                <w:lang w:val="en-US" w:eastAsia="zh-CN"/>
              </w:rPr>
              <w:t>。</w:t>
            </w:r>
          </w:p>
        </w:tc>
      </w:tr>
      <w:bookmarkEnd w:id="6"/>
      <w:bookmarkEnd w:id="7"/>
    </w:tbl>
    <w:p w14:paraId="6E078734">
      <w:pPr>
        <w:pStyle w:val="2"/>
        <w:spacing w:after="0" w:line="360" w:lineRule="auto"/>
        <w:rPr>
          <w:rFonts w:ascii="宋体" w:hAnsi="宋体"/>
          <w:b/>
          <w:color w:val="auto"/>
          <w:highlight w:val="none"/>
        </w:rPr>
        <w:sectPr>
          <w:pgSz w:w="11906" w:h="16838"/>
          <w:pgMar w:top="1440" w:right="1418" w:bottom="1418" w:left="1440" w:header="851" w:footer="992" w:gutter="0"/>
          <w:cols w:space="720" w:num="1"/>
          <w:docGrid w:type="lines" w:linePitch="312" w:charSpace="0"/>
        </w:sectPr>
      </w:pPr>
    </w:p>
    <w:p w14:paraId="13BEAD17">
      <w:pPr>
        <w:pStyle w:val="2"/>
        <w:spacing w:after="0" w:line="360" w:lineRule="auto"/>
        <w:rPr>
          <w:b/>
          <w:color w:val="auto"/>
          <w:highlight w:val="none"/>
        </w:rPr>
      </w:pPr>
      <w:r>
        <w:rPr>
          <w:rFonts w:hint="eastAsia" w:ascii="宋体" w:hAnsi="宋体"/>
          <w:b/>
          <w:color w:val="auto"/>
          <w:highlight w:val="none"/>
          <w:lang w:val="en-US" w:eastAsia="zh-CN"/>
        </w:rPr>
        <w:t>1</w:t>
      </w:r>
      <w:r>
        <w:rPr>
          <w:rFonts w:hint="eastAsia" w:ascii="宋体" w:hAnsi="宋体"/>
          <w:b/>
          <w:color w:val="auto"/>
          <w:highlight w:val="none"/>
        </w:rPr>
        <w:t>. 评标办法</w:t>
      </w:r>
    </w:p>
    <w:p w14:paraId="0AA330DC">
      <w:pPr>
        <w:autoSpaceDN w:val="0"/>
        <w:spacing w:line="360" w:lineRule="auto"/>
        <w:ind w:firstLine="482" w:firstLineChars="200"/>
        <w:rPr>
          <w:rFonts w:hint="eastAsia"/>
          <w:b/>
          <w:color w:val="auto"/>
          <w:highlight w:val="none"/>
        </w:rPr>
      </w:pPr>
      <w:r>
        <w:rPr>
          <w:rFonts w:hint="eastAsia"/>
          <w:b/>
          <w:color w:val="auto"/>
          <w:highlight w:val="none"/>
        </w:rPr>
        <w:t>本标段</w:t>
      </w:r>
      <w:r>
        <w:rPr>
          <w:rFonts w:hint="eastAsia"/>
          <w:b/>
          <w:color w:val="auto"/>
          <w:highlight w:val="none"/>
          <w:lang w:val="en-US" w:eastAsia="zh-CN"/>
        </w:rPr>
        <w:t>石膏</w:t>
      </w:r>
      <w:r>
        <w:rPr>
          <w:rFonts w:hint="eastAsia"/>
          <w:b/>
          <w:color w:val="auto"/>
          <w:highlight w:val="none"/>
        </w:rPr>
        <w:t>投标最高综合单价限价为</w:t>
      </w:r>
      <w:r>
        <w:rPr>
          <w:rFonts w:hint="eastAsia"/>
          <w:b/>
          <w:color w:val="auto"/>
          <w:highlight w:val="none"/>
          <w:lang w:val="en-US" w:eastAsia="zh-CN"/>
        </w:rPr>
        <w:t>45</w:t>
      </w:r>
      <w:r>
        <w:rPr>
          <w:rFonts w:hint="eastAsia"/>
          <w:b/>
          <w:color w:val="auto"/>
          <w:highlight w:val="none"/>
        </w:rPr>
        <w:t>元</w:t>
      </w:r>
      <w:r>
        <w:rPr>
          <w:rFonts w:hint="eastAsia"/>
          <w:b/>
          <w:color w:val="auto"/>
          <w:highlight w:val="none"/>
        </w:rPr>
        <w:t>/吨，不得高于本限价</w:t>
      </w:r>
      <w:r>
        <w:rPr>
          <w:rFonts w:hint="eastAsia"/>
          <w:b/>
          <w:color w:val="auto"/>
          <w:highlight w:val="none"/>
          <w:lang w:eastAsia="zh-CN"/>
        </w:rPr>
        <w:t>，投标方</w:t>
      </w:r>
      <w:r>
        <w:rPr>
          <w:rFonts w:hint="eastAsia"/>
          <w:b/>
          <w:color w:val="auto"/>
          <w:highlight w:val="none"/>
          <w:lang w:val="en-US" w:eastAsia="zh-CN"/>
        </w:rPr>
        <w:t>进行报量报价，投标方最小投标量1万吨，1万吨为加量单位。</w:t>
      </w:r>
      <w:r>
        <w:rPr>
          <w:rFonts w:hint="eastAsia"/>
          <w:b/>
          <w:color w:val="auto"/>
          <w:highlight w:val="none"/>
        </w:rPr>
        <w:t>由采购人向成交</w:t>
      </w:r>
      <w:r>
        <w:rPr>
          <w:rFonts w:hint="eastAsia"/>
          <w:b/>
          <w:color w:val="auto"/>
          <w:highlight w:val="none"/>
          <w:lang w:eastAsia="zh-CN"/>
        </w:rPr>
        <w:t>投标人</w:t>
      </w:r>
      <w:r>
        <w:rPr>
          <w:rFonts w:hint="eastAsia"/>
          <w:b/>
          <w:color w:val="auto"/>
          <w:highlight w:val="none"/>
        </w:rPr>
        <w:t>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采购人脱硫石膏采购总量10万吨。</w:t>
      </w:r>
    </w:p>
    <w:p w14:paraId="2B2E19CF">
      <w:pPr>
        <w:autoSpaceDN w:val="0"/>
        <w:spacing w:line="360" w:lineRule="auto"/>
        <w:ind w:firstLine="482" w:firstLineChars="200"/>
        <w:rPr>
          <w:rFonts w:hint="eastAsia"/>
          <w:b/>
          <w:color w:val="auto"/>
          <w:highlight w:val="none"/>
        </w:rPr>
      </w:pPr>
      <w:r>
        <w:rPr>
          <w:rFonts w:hint="eastAsia"/>
          <w:b/>
          <w:color w:val="auto"/>
          <w:highlight w:val="none"/>
        </w:rPr>
        <w:t>本标段</w:t>
      </w:r>
      <w:r>
        <w:rPr>
          <w:rFonts w:hint="eastAsia"/>
          <w:b/>
          <w:color w:val="auto"/>
          <w:highlight w:val="none"/>
          <w:lang w:eastAsia="zh-CN"/>
        </w:rPr>
        <w:t>干</w:t>
      </w:r>
      <w:r>
        <w:rPr>
          <w:rFonts w:hint="eastAsia"/>
          <w:b/>
          <w:color w:val="auto"/>
          <w:highlight w:val="none"/>
          <w:lang w:val="en-US" w:eastAsia="zh-CN"/>
        </w:rPr>
        <w:t>炉渣</w:t>
      </w:r>
      <w:r>
        <w:rPr>
          <w:rFonts w:hint="eastAsia"/>
          <w:b/>
          <w:color w:val="auto"/>
          <w:highlight w:val="none"/>
        </w:rPr>
        <w:t>投标最</w:t>
      </w:r>
      <w:r>
        <w:rPr>
          <w:rFonts w:hint="eastAsia"/>
          <w:b/>
          <w:color w:val="auto"/>
          <w:highlight w:val="none"/>
          <w:lang w:eastAsia="zh-CN"/>
        </w:rPr>
        <w:t>低</w:t>
      </w:r>
      <w:r>
        <w:rPr>
          <w:rFonts w:hint="eastAsia"/>
          <w:b/>
          <w:color w:val="auto"/>
          <w:highlight w:val="none"/>
        </w:rPr>
        <w:t>综合单价限价为</w:t>
      </w:r>
      <w:r>
        <w:rPr>
          <w:rFonts w:hint="eastAsia"/>
          <w:b/>
          <w:color w:val="auto"/>
          <w:highlight w:val="none"/>
          <w:lang w:val="en-US" w:eastAsia="zh-CN"/>
        </w:rPr>
        <w:t>5</w:t>
      </w:r>
      <w:r>
        <w:rPr>
          <w:rFonts w:hint="eastAsia"/>
          <w:b/>
          <w:color w:val="auto"/>
          <w:highlight w:val="none"/>
        </w:rPr>
        <w:t>元</w:t>
      </w:r>
      <w:r>
        <w:rPr>
          <w:rFonts w:hint="eastAsia"/>
          <w:b/>
          <w:color w:val="auto"/>
          <w:highlight w:val="none"/>
        </w:rPr>
        <w:t>/吨，不得</w:t>
      </w:r>
      <w:r>
        <w:rPr>
          <w:rFonts w:hint="eastAsia"/>
          <w:b/>
          <w:color w:val="auto"/>
          <w:highlight w:val="none"/>
          <w:lang w:eastAsia="zh-CN"/>
        </w:rPr>
        <w:t>低</w:t>
      </w:r>
      <w:r>
        <w:rPr>
          <w:rFonts w:hint="eastAsia"/>
          <w:b/>
          <w:color w:val="auto"/>
          <w:highlight w:val="none"/>
        </w:rPr>
        <w:t>于本限价</w:t>
      </w:r>
      <w:r>
        <w:rPr>
          <w:rFonts w:hint="eastAsia"/>
          <w:b/>
          <w:color w:val="auto"/>
          <w:highlight w:val="none"/>
          <w:lang w:eastAsia="zh-CN"/>
        </w:rPr>
        <w:t>，投标方</w:t>
      </w:r>
      <w:r>
        <w:rPr>
          <w:rFonts w:hint="eastAsia"/>
          <w:b/>
          <w:color w:val="auto"/>
          <w:highlight w:val="none"/>
          <w:lang w:val="en-US" w:eastAsia="zh-CN"/>
        </w:rPr>
        <w:t>进行报量报价，投标方最小投标量1万吨，0.2万吨为加量单位。</w:t>
      </w:r>
      <w:r>
        <w:rPr>
          <w:rFonts w:hint="eastAsia"/>
          <w:b/>
          <w:color w:val="auto"/>
          <w:highlight w:val="none"/>
        </w:rPr>
        <w:t>由成交</w:t>
      </w:r>
      <w:r>
        <w:rPr>
          <w:rFonts w:hint="eastAsia"/>
          <w:b/>
          <w:color w:val="auto"/>
          <w:highlight w:val="none"/>
          <w:lang w:eastAsia="zh-CN"/>
        </w:rPr>
        <w:t>投标人</w:t>
      </w:r>
      <w:r>
        <w:rPr>
          <w:rFonts w:hint="eastAsia"/>
          <w:b/>
          <w:color w:val="auto"/>
          <w:highlight w:val="none"/>
        </w:rPr>
        <w:t>向采购人支付销售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w:t>
      </w:r>
      <w:r>
        <w:rPr>
          <w:rFonts w:hint="eastAsia"/>
          <w:b/>
          <w:color w:val="auto"/>
          <w:highlight w:val="none"/>
          <w:lang w:eastAsia="zh-CN"/>
        </w:rPr>
        <w:t>干</w:t>
      </w:r>
      <w:r>
        <w:rPr>
          <w:rFonts w:hint="eastAsia"/>
          <w:b/>
          <w:color w:val="auto"/>
          <w:highlight w:val="none"/>
          <w:lang w:val="en-US" w:eastAsia="zh-CN"/>
        </w:rPr>
        <w:t>炉渣采购总量4.2万吨。</w:t>
      </w:r>
    </w:p>
    <w:p w14:paraId="045DB522">
      <w:pPr>
        <w:autoSpaceDN w:val="0"/>
        <w:spacing w:line="360" w:lineRule="auto"/>
        <w:ind w:firstLine="482" w:firstLineChars="200"/>
        <w:rPr>
          <w:rFonts w:hint="eastAsia"/>
          <w:b/>
          <w:color w:val="auto"/>
          <w:highlight w:val="none"/>
        </w:rPr>
      </w:pPr>
      <w:r>
        <w:rPr>
          <w:rFonts w:hint="eastAsia"/>
          <w:b/>
          <w:color w:val="auto"/>
          <w:highlight w:val="none"/>
        </w:rPr>
        <w:t>本标段</w:t>
      </w:r>
      <w:r>
        <w:rPr>
          <w:rFonts w:hint="eastAsia"/>
          <w:b/>
          <w:color w:val="auto"/>
          <w:highlight w:val="none"/>
          <w:lang w:eastAsia="zh-CN"/>
        </w:rPr>
        <w:t>湿</w:t>
      </w:r>
      <w:r>
        <w:rPr>
          <w:rFonts w:hint="eastAsia"/>
          <w:b/>
          <w:color w:val="auto"/>
          <w:highlight w:val="none"/>
          <w:lang w:val="en-US" w:eastAsia="zh-CN"/>
        </w:rPr>
        <w:t>炉渣</w:t>
      </w:r>
      <w:r>
        <w:rPr>
          <w:rFonts w:hint="eastAsia"/>
          <w:b/>
          <w:color w:val="auto"/>
          <w:highlight w:val="none"/>
        </w:rPr>
        <w:t>投标最</w:t>
      </w:r>
      <w:r>
        <w:rPr>
          <w:rFonts w:hint="eastAsia"/>
          <w:b/>
          <w:color w:val="auto"/>
          <w:highlight w:val="none"/>
          <w:lang w:eastAsia="zh-CN"/>
        </w:rPr>
        <w:t>低</w:t>
      </w:r>
      <w:r>
        <w:rPr>
          <w:rFonts w:hint="eastAsia"/>
          <w:b/>
          <w:color w:val="auto"/>
          <w:highlight w:val="none"/>
        </w:rPr>
        <w:t>综合单价限价为</w:t>
      </w:r>
      <w:r>
        <w:rPr>
          <w:rFonts w:hint="eastAsia"/>
          <w:b/>
          <w:color w:val="auto"/>
          <w:highlight w:val="none"/>
          <w:lang w:val="en-US" w:eastAsia="zh-CN"/>
        </w:rPr>
        <w:t>1</w:t>
      </w:r>
      <w:r>
        <w:rPr>
          <w:rFonts w:hint="eastAsia"/>
          <w:b/>
          <w:color w:val="auto"/>
          <w:highlight w:val="none"/>
        </w:rPr>
        <w:t>元</w:t>
      </w:r>
      <w:r>
        <w:rPr>
          <w:rFonts w:hint="eastAsia"/>
          <w:b/>
          <w:color w:val="auto"/>
          <w:highlight w:val="none"/>
        </w:rPr>
        <w:t>/吨，不得</w:t>
      </w:r>
      <w:r>
        <w:rPr>
          <w:rFonts w:hint="eastAsia"/>
          <w:b/>
          <w:color w:val="auto"/>
          <w:highlight w:val="none"/>
          <w:lang w:eastAsia="zh-CN"/>
        </w:rPr>
        <w:t>低</w:t>
      </w:r>
      <w:r>
        <w:rPr>
          <w:rFonts w:hint="eastAsia"/>
          <w:b/>
          <w:color w:val="auto"/>
          <w:highlight w:val="none"/>
        </w:rPr>
        <w:t>于本限价</w:t>
      </w:r>
      <w:r>
        <w:rPr>
          <w:rFonts w:hint="eastAsia"/>
          <w:b/>
          <w:color w:val="auto"/>
          <w:highlight w:val="none"/>
          <w:lang w:eastAsia="zh-CN"/>
        </w:rPr>
        <w:t>，投标方</w:t>
      </w:r>
      <w:r>
        <w:rPr>
          <w:rFonts w:hint="eastAsia"/>
          <w:b/>
          <w:color w:val="auto"/>
          <w:highlight w:val="none"/>
          <w:lang w:val="en-US" w:eastAsia="zh-CN"/>
        </w:rPr>
        <w:t>进行报量报价，投标方最小投标量0.5万吨，0.1万吨为加量单位。</w:t>
      </w:r>
      <w:r>
        <w:rPr>
          <w:rFonts w:hint="eastAsia"/>
          <w:b/>
          <w:color w:val="auto"/>
          <w:highlight w:val="none"/>
        </w:rPr>
        <w:t>由成交</w:t>
      </w:r>
      <w:r>
        <w:rPr>
          <w:rFonts w:hint="eastAsia"/>
          <w:b/>
          <w:color w:val="auto"/>
          <w:highlight w:val="none"/>
          <w:lang w:eastAsia="zh-CN"/>
        </w:rPr>
        <w:t>投标人</w:t>
      </w:r>
      <w:r>
        <w:rPr>
          <w:rFonts w:hint="eastAsia"/>
          <w:b/>
          <w:color w:val="auto"/>
          <w:highlight w:val="none"/>
        </w:rPr>
        <w:t>向采购人支付销售</w:t>
      </w:r>
      <w:r>
        <w:rPr>
          <w:rFonts w:hint="eastAsia"/>
          <w:b/>
          <w:color w:val="auto"/>
          <w:highlight w:val="none"/>
          <w:lang w:eastAsia="zh-CN"/>
        </w:rPr>
        <w:t>、运输</w:t>
      </w:r>
      <w:r>
        <w:rPr>
          <w:rFonts w:hint="eastAsia"/>
          <w:b/>
          <w:color w:val="auto"/>
          <w:highlight w:val="none"/>
        </w:rPr>
        <w:t>及处置费用。</w:t>
      </w:r>
      <w:r>
        <w:rPr>
          <w:rFonts w:hint="eastAsia"/>
          <w:b/>
          <w:color w:val="auto"/>
          <w:highlight w:val="none"/>
          <w:lang w:val="en-US" w:eastAsia="zh-CN"/>
        </w:rPr>
        <w:t>采购人</w:t>
      </w:r>
      <w:r>
        <w:rPr>
          <w:rFonts w:hint="eastAsia"/>
          <w:b/>
          <w:color w:val="auto"/>
          <w:highlight w:val="none"/>
          <w:lang w:eastAsia="zh-CN"/>
        </w:rPr>
        <w:t>湿</w:t>
      </w:r>
      <w:r>
        <w:rPr>
          <w:rFonts w:hint="eastAsia"/>
          <w:b/>
          <w:color w:val="auto"/>
          <w:highlight w:val="none"/>
          <w:lang w:val="en-US" w:eastAsia="zh-CN"/>
        </w:rPr>
        <w:t>炉渣采购总量2万吨。</w:t>
      </w:r>
    </w:p>
    <w:p w14:paraId="66468CEA">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宋体" w:hAnsi="宋体"/>
          <w:color w:val="auto"/>
          <w:sz w:val="24"/>
          <w:highlight w:val="none"/>
          <w:lang w:val="en-US" w:eastAsia="zh-CN"/>
        </w:rPr>
      </w:pPr>
      <w:r>
        <w:rPr>
          <w:rFonts w:hint="eastAsia" w:ascii="宋体" w:hAnsi="宋体"/>
          <w:color w:val="auto"/>
          <w:highlight w:val="none"/>
          <w:lang w:val="en-US" w:eastAsia="zh-CN"/>
        </w:rPr>
        <w:t>1</w:t>
      </w:r>
      <w:r>
        <w:rPr>
          <w:rFonts w:hint="eastAsia" w:ascii="宋体" w:hAnsi="宋体"/>
          <w:color w:val="auto"/>
          <w:highlight w:val="none"/>
        </w:rPr>
        <w:t>.1本次评标办法采用</w:t>
      </w:r>
      <w:r>
        <w:rPr>
          <w:rFonts w:hint="eastAsia" w:ascii="宋体" w:hAnsi="宋体"/>
          <w:color w:val="auto"/>
          <w:highlight w:val="none"/>
          <w:lang w:eastAsia="zh-CN"/>
        </w:rPr>
        <w:t>：</w:t>
      </w:r>
      <w:r>
        <w:rPr>
          <w:rFonts w:hint="eastAsia"/>
          <w:b/>
          <w:color w:val="auto"/>
          <w:highlight w:val="none"/>
          <w:lang w:val="en-US" w:eastAsia="zh-CN"/>
        </w:rPr>
        <w:t>满足招标文件条件的水泥厂均可作为中标侯选单位。</w:t>
      </w:r>
      <w:r>
        <w:rPr>
          <w:rFonts w:hint="eastAsia" w:ascii="宋体" w:hAnsi="宋体"/>
          <w:color w:val="auto"/>
          <w:sz w:val="24"/>
          <w:highlight w:val="none"/>
          <w:lang w:val="en-US" w:eastAsia="zh-CN"/>
        </w:rPr>
        <w:t>投标单位报价相同的，与江西赣能股份有限公司丰城发电厂有合作业绩的优先；</w:t>
      </w:r>
    </w:p>
    <w:p w14:paraId="6A4E9E4A">
      <w:pPr>
        <w:widowControl/>
        <w:spacing w:line="360" w:lineRule="auto"/>
        <w:rPr>
          <w:rFonts w:ascii="宋体" w:hAnsi="宋体"/>
          <w:color w:val="auto"/>
          <w:highlight w:val="none"/>
        </w:rPr>
      </w:pPr>
    </w:p>
    <w:p w14:paraId="4ACB748E">
      <w:pPr>
        <w:widowControl/>
        <w:spacing w:line="360" w:lineRule="auto"/>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.2</w:t>
      </w:r>
      <w:r>
        <w:rPr>
          <w:rFonts w:hint="eastAsia"/>
          <w:b/>
          <w:color w:val="auto"/>
          <w:highlight w:val="none"/>
          <w:lang w:val="en-US" w:eastAsia="zh-CN"/>
        </w:rPr>
        <w:t>中标办法</w:t>
      </w:r>
    </w:p>
    <w:p w14:paraId="004B1B7F">
      <w:pPr>
        <w:widowControl/>
        <w:spacing w:line="360" w:lineRule="auto"/>
        <w:ind w:firstLine="482" w:firstLineChars="200"/>
        <w:rPr>
          <w:rFonts w:hint="eastAsia" w:ascii="宋体" w:hAnsi="宋体"/>
          <w:color w:val="auto"/>
          <w:highlight w:val="none"/>
          <w:lang w:eastAsia="zh-CN"/>
        </w:rPr>
      </w:pPr>
      <w:r>
        <w:rPr>
          <w:rFonts w:hint="eastAsia"/>
          <w:b/>
          <w:color w:val="auto"/>
          <w:highlight w:val="none"/>
          <w:lang w:val="en-US" w:eastAsia="zh-CN"/>
        </w:rPr>
        <w:t>公开询比招标。满足招标文件条件的水泥厂均可作为中标侯选单位进行排序，排序规则：</w:t>
      </w:r>
    </w:p>
    <w:p w14:paraId="7246C0A0">
      <w:pPr>
        <w:widowControl/>
        <w:spacing w:line="360" w:lineRule="auto"/>
        <w:ind w:firstLine="482" w:firstLineChars="200"/>
        <w:rPr>
          <w:rFonts w:hint="eastAsia"/>
          <w:b/>
          <w:color w:val="auto"/>
          <w:highlight w:val="none"/>
          <w:lang w:val="en-US" w:eastAsia="zh-CN"/>
        </w:rPr>
      </w:pPr>
      <w:r>
        <w:rPr>
          <w:rFonts w:hint="eastAsia"/>
          <w:b/>
          <w:color w:val="auto"/>
          <w:highlight w:val="none"/>
          <w:lang w:val="en-US" w:eastAsia="zh-CN"/>
        </w:rPr>
        <w:t>石膏招标排序规则：按价格高低排序，价格低者排序靠前，至10万吨招标量。</w:t>
      </w:r>
    </w:p>
    <w:p w14:paraId="7DF1F570">
      <w:pPr>
        <w:widowControl/>
        <w:spacing w:line="360" w:lineRule="auto"/>
        <w:ind w:firstLine="482" w:firstLineChars="200"/>
        <w:rPr>
          <w:rFonts w:hint="eastAsia"/>
          <w:b/>
          <w:color w:val="auto"/>
          <w:highlight w:val="none"/>
          <w:lang w:val="en-US" w:eastAsia="zh-CN"/>
        </w:rPr>
      </w:pPr>
      <w:r>
        <w:rPr>
          <w:rFonts w:hint="eastAsia"/>
          <w:b/>
          <w:color w:val="auto"/>
          <w:highlight w:val="none"/>
          <w:lang w:val="en-US" w:eastAsia="zh-CN"/>
        </w:rPr>
        <w:t>干炉渣招标排序规则：按价格高低排序，价格高者排序靠前，至4.2万吨招标量。</w:t>
      </w:r>
    </w:p>
    <w:p w14:paraId="5CC3C13D">
      <w:pPr>
        <w:widowControl/>
        <w:spacing w:line="360" w:lineRule="auto"/>
        <w:ind w:firstLine="482" w:firstLineChars="200"/>
        <w:rPr>
          <w:rFonts w:hint="default"/>
          <w:b/>
          <w:color w:val="auto"/>
          <w:highlight w:val="none"/>
          <w:lang w:val="en-US" w:eastAsia="zh-CN"/>
        </w:rPr>
      </w:pPr>
      <w:r>
        <w:rPr>
          <w:rFonts w:hint="eastAsia"/>
          <w:b/>
          <w:color w:val="auto"/>
          <w:highlight w:val="none"/>
          <w:lang w:val="en-US" w:eastAsia="zh-CN"/>
        </w:rPr>
        <w:t>湿炉渣招标排序规则：按价格高低排序，价格高者排序靠前，至2万吨招标量。</w:t>
      </w:r>
    </w:p>
    <w:p w14:paraId="40C22A60">
      <w:pPr>
        <w:pStyle w:val="2"/>
        <w:spacing w:after="0" w:line="360" w:lineRule="auto"/>
        <w:jc w:val="left"/>
        <w:rPr>
          <w:rFonts w:ascii="宋体" w:hAnsi="宋体"/>
          <w:b/>
          <w:color w:val="auto"/>
          <w:szCs w:val="21"/>
          <w:highlight w:val="none"/>
        </w:rPr>
      </w:pPr>
      <w:r>
        <w:rPr>
          <w:rFonts w:hint="eastAsia" w:ascii="宋体" w:hAnsi="宋体"/>
          <w:b/>
          <w:color w:val="auto"/>
          <w:szCs w:val="21"/>
          <w:highlight w:val="none"/>
        </w:rPr>
        <w:t>备注：</w:t>
      </w:r>
    </w:p>
    <w:p w14:paraId="299C0E39">
      <w:pPr>
        <w:pStyle w:val="2"/>
        <w:numPr>
          <w:ilvl w:val="0"/>
          <w:numId w:val="1"/>
        </w:numPr>
        <w:spacing w:after="0" w:line="360" w:lineRule="auto"/>
        <w:jc w:val="left"/>
        <w:rPr>
          <w:rFonts w:ascii="宋体" w:hAnsi="宋体"/>
          <w:b/>
          <w:color w:val="auto"/>
          <w:szCs w:val="21"/>
          <w:highlight w:val="none"/>
        </w:rPr>
      </w:pPr>
      <w:r>
        <w:rPr>
          <w:rFonts w:hint="eastAsia" w:ascii="宋体" w:hAnsi="宋体"/>
          <w:b/>
          <w:color w:val="auto"/>
          <w:szCs w:val="21"/>
          <w:highlight w:val="none"/>
        </w:rPr>
        <w:t>上述</w:t>
      </w:r>
      <w:r>
        <w:rPr>
          <w:rFonts w:hint="eastAsia" w:ascii="宋体" w:hAnsi="宋体"/>
          <w:b/>
          <w:color w:val="auto"/>
          <w:szCs w:val="21"/>
          <w:highlight w:val="none"/>
          <w:lang w:eastAsia="zh-CN"/>
        </w:rPr>
        <w:t>中标办法</w:t>
      </w:r>
      <w:r>
        <w:rPr>
          <w:rFonts w:hint="eastAsia" w:ascii="宋体" w:hAnsi="宋体"/>
          <w:b/>
          <w:color w:val="auto"/>
          <w:szCs w:val="21"/>
          <w:highlight w:val="none"/>
        </w:rPr>
        <w:t>中的材料应在投标文件中提供复印件加盖公章，没有提供一律不计分。</w:t>
      </w:r>
    </w:p>
    <w:p w14:paraId="507ABFAC">
      <w:pPr>
        <w:pStyle w:val="2"/>
        <w:numPr>
          <w:ilvl w:val="0"/>
          <w:numId w:val="1"/>
        </w:numPr>
        <w:spacing w:after="0" w:line="360" w:lineRule="auto"/>
        <w:jc w:val="left"/>
        <w:rPr>
          <w:rFonts w:ascii="宋体" w:hAnsi="宋体"/>
          <w:b/>
          <w:color w:val="auto"/>
          <w:szCs w:val="21"/>
          <w:highlight w:val="none"/>
        </w:rPr>
      </w:pPr>
      <w:r>
        <w:rPr>
          <w:rFonts w:hint="eastAsia" w:ascii="宋体" w:hAnsi="宋体"/>
          <w:b/>
          <w:color w:val="auto"/>
          <w:szCs w:val="21"/>
          <w:highlight w:val="none"/>
        </w:rPr>
        <w:t xml:space="preserve">必要时，招标人将组织对中标排序人进行考察。任何时候发现投标人弄虚作假、欺诈方式谋取投标或者中标资格的，一经发现，招标人有权取消其投标资格，中标的取消中标资格，投标保证金不予退还。 </w:t>
      </w:r>
    </w:p>
    <w:p w14:paraId="3FE13B8A">
      <w:pPr>
        <w:spacing w:line="360" w:lineRule="auto"/>
        <w:rPr>
          <w:rFonts w:ascii="宋体" w:hAnsi="宋体"/>
          <w:color w:val="auto"/>
          <w:highlight w:val="none"/>
        </w:rPr>
      </w:pPr>
    </w:p>
    <w:p w14:paraId="70A4E552">
      <w:pPr>
        <w:rPr>
          <w:color w:val="auto"/>
          <w:highlight w:val="none"/>
        </w:rPr>
      </w:pPr>
      <w:bookmarkStart w:id="9" w:name="_Toc357178301"/>
    </w:p>
    <w:p w14:paraId="60872F40">
      <w:pPr>
        <w:pStyle w:val="4"/>
        <w:spacing w:line="360" w:lineRule="auto"/>
        <w:ind w:left="0" w:firstLine="0"/>
        <w:jc w:val="center"/>
        <w:rPr>
          <w:rFonts w:ascii="宋体" w:hAnsi="宋体" w:eastAsia="宋体"/>
          <w:b/>
          <w:color w:val="auto"/>
          <w:sz w:val="36"/>
          <w:szCs w:val="36"/>
          <w:highlight w:val="none"/>
        </w:rPr>
        <w:sectPr>
          <w:pgSz w:w="11906" w:h="16838"/>
          <w:pgMar w:top="1440" w:right="1418" w:bottom="1418" w:left="1440" w:header="851" w:footer="992" w:gutter="0"/>
          <w:cols w:space="720" w:num="1"/>
          <w:docGrid w:type="lines" w:linePitch="312" w:charSpace="0"/>
        </w:sectPr>
      </w:pPr>
    </w:p>
    <w:p w14:paraId="0564E3CD">
      <w:pPr>
        <w:pStyle w:val="4"/>
        <w:spacing w:line="360" w:lineRule="auto"/>
        <w:ind w:left="0" w:firstLine="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第三章  合同条款</w:t>
      </w:r>
      <w:bookmarkEnd w:id="9"/>
    </w:p>
    <w:p w14:paraId="1B21E1B5">
      <w:pPr>
        <w:pStyle w:val="27"/>
        <w:rPr>
          <w:color w:val="auto"/>
          <w:highlight w:val="none"/>
        </w:rPr>
      </w:pPr>
      <w:r>
        <w:rPr>
          <w:rFonts w:hint="eastAsia"/>
          <w:color w:val="auto"/>
          <w:highlight w:val="none"/>
        </w:rPr>
        <w:t>1. 总则</w:t>
      </w:r>
    </w:p>
    <w:p w14:paraId="2DEAFC97">
      <w:pPr>
        <w:pStyle w:val="27"/>
        <w:rPr>
          <w:color w:val="auto"/>
          <w:highlight w:val="none"/>
        </w:rPr>
      </w:pPr>
      <w:r>
        <w:rPr>
          <w:rFonts w:hint="eastAsia"/>
          <w:color w:val="auto"/>
          <w:highlight w:val="none"/>
        </w:rPr>
        <w:t>1.1.定义</w:t>
      </w:r>
    </w:p>
    <w:p w14:paraId="4B6F6097">
      <w:pPr>
        <w:pStyle w:val="27"/>
        <w:rPr>
          <w:color w:val="auto"/>
          <w:highlight w:val="none"/>
        </w:rPr>
      </w:pPr>
      <w:r>
        <w:rPr>
          <w:rFonts w:hint="eastAsia"/>
          <w:color w:val="auto"/>
          <w:highlight w:val="none"/>
        </w:rPr>
        <w:t>除非上下文另有要求，下列词汇，一旦用在本合同中，具有下列含义：</w:t>
      </w:r>
    </w:p>
    <w:p w14:paraId="7BE3B463">
      <w:pPr>
        <w:pStyle w:val="27"/>
        <w:rPr>
          <w:color w:val="auto"/>
          <w:highlight w:val="none"/>
        </w:rPr>
      </w:pPr>
      <w:r>
        <w:rPr>
          <w:rFonts w:hint="eastAsia"/>
          <w:color w:val="auto"/>
          <w:highlight w:val="none"/>
        </w:rPr>
        <w:t>（1）“合同”是指由发包人和承包人签定的合同，按由双方签字的合同格式加以记载，其中包括全部附件和附录以及以参考资料形式列人的全部文件。</w:t>
      </w:r>
    </w:p>
    <w:p w14:paraId="35F19107">
      <w:pPr>
        <w:pStyle w:val="27"/>
        <w:rPr>
          <w:color w:val="auto"/>
          <w:highlight w:val="none"/>
        </w:rPr>
      </w:pPr>
      <w:r>
        <w:rPr>
          <w:rFonts w:hint="eastAsia"/>
          <w:color w:val="auto"/>
          <w:highlight w:val="none"/>
        </w:rPr>
        <w:t>（2）“承包人”是指本项目</w:t>
      </w:r>
      <w:r>
        <w:rPr>
          <w:rFonts w:hint="eastAsia"/>
          <w:color w:val="auto"/>
          <w:highlight w:val="none"/>
          <w:lang w:eastAsia="zh-CN"/>
        </w:rPr>
        <w:t>成交供应商</w:t>
      </w:r>
      <w:r>
        <w:rPr>
          <w:rFonts w:hint="eastAsia"/>
          <w:color w:val="auto"/>
          <w:highlight w:val="none"/>
        </w:rPr>
        <w:t>并与采购人签订了合同的一方。</w:t>
      </w:r>
    </w:p>
    <w:p w14:paraId="19625C0B">
      <w:pPr>
        <w:pStyle w:val="27"/>
        <w:rPr>
          <w:color w:val="auto"/>
          <w:highlight w:val="none"/>
        </w:rPr>
      </w:pPr>
      <w:r>
        <w:rPr>
          <w:rFonts w:hint="eastAsia"/>
          <w:color w:val="auto"/>
          <w:highlight w:val="none"/>
        </w:rPr>
        <w:t>（3）“发包人”是指采购人。</w:t>
      </w:r>
    </w:p>
    <w:p w14:paraId="33B48C9F">
      <w:pPr>
        <w:pStyle w:val="27"/>
        <w:rPr>
          <w:color w:val="auto"/>
          <w:highlight w:val="none"/>
        </w:rPr>
      </w:pPr>
      <w:r>
        <w:rPr>
          <w:rFonts w:hint="eastAsia"/>
          <w:color w:val="auto"/>
          <w:highlight w:val="none"/>
        </w:rPr>
        <w:t>（4）“一方”是指发包人或承包人，视情况而定，而“双方”是指他们二者。</w:t>
      </w:r>
    </w:p>
    <w:p w14:paraId="7DA92D8B">
      <w:pPr>
        <w:pStyle w:val="27"/>
        <w:rPr>
          <w:color w:val="auto"/>
          <w:highlight w:val="none"/>
        </w:rPr>
      </w:pPr>
      <w:r>
        <w:rPr>
          <w:rFonts w:hint="eastAsia"/>
          <w:color w:val="auto"/>
          <w:highlight w:val="none"/>
        </w:rPr>
        <w:t>（5）“人员”是指承包人所雇用并被分配执行服务或其任何部分的人员。</w:t>
      </w:r>
    </w:p>
    <w:p w14:paraId="566E8D4A">
      <w:pPr>
        <w:pStyle w:val="27"/>
        <w:rPr>
          <w:color w:val="auto"/>
          <w:highlight w:val="none"/>
        </w:rPr>
      </w:pPr>
      <w:r>
        <w:rPr>
          <w:rFonts w:hint="eastAsia"/>
          <w:color w:val="auto"/>
          <w:highlight w:val="none"/>
        </w:rPr>
        <w:t>（6）“服务”是指由承包人根据合同所实施的工作。</w:t>
      </w:r>
    </w:p>
    <w:p w14:paraId="24E90499">
      <w:pPr>
        <w:pStyle w:val="27"/>
        <w:rPr>
          <w:color w:val="auto"/>
          <w:highlight w:val="none"/>
        </w:rPr>
      </w:pPr>
      <w:r>
        <w:rPr>
          <w:rFonts w:hint="eastAsia"/>
          <w:color w:val="auto"/>
          <w:highlight w:val="none"/>
        </w:rPr>
        <w:t>2. 服务</w:t>
      </w:r>
    </w:p>
    <w:p w14:paraId="1AEDA276">
      <w:pPr>
        <w:pStyle w:val="27"/>
        <w:rPr>
          <w:color w:val="auto"/>
          <w:highlight w:val="none"/>
        </w:rPr>
      </w:pPr>
      <w:r>
        <w:rPr>
          <w:rFonts w:hint="eastAsia"/>
          <w:color w:val="auto"/>
          <w:highlight w:val="none"/>
        </w:rPr>
        <w:t>2.1 服务的范围</w:t>
      </w:r>
    </w:p>
    <w:p w14:paraId="09D48ADA">
      <w:pPr>
        <w:pStyle w:val="27"/>
        <w:rPr>
          <w:color w:val="auto"/>
          <w:highlight w:val="none"/>
        </w:rPr>
      </w:pPr>
      <w:r>
        <w:rPr>
          <w:rFonts w:hint="eastAsia"/>
          <w:color w:val="auto"/>
          <w:highlight w:val="none"/>
        </w:rPr>
        <w:t>承包人将依据响应文件中所阐明的职责范围（TOR）／工作说明（SOW）的最终条款和本合同所有其他要求执行服务。</w:t>
      </w:r>
    </w:p>
    <w:p w14:paraId="44BA8D81">
      <w:pPr>
        <w:pStyle w:val="27"/>
        <w:rPr>
          <w:color w:val="auto"/>
          <w:highlight w:val="none"/>
        </w:rPr>
      </w:pPr>
      <w:r>
        <w:rPr>
          <w:rFonts w:hint="eastAsia"/>
          <w:color w:val="auto"/>
          <w:highlight w:val="none"/>
        </w:rPr>
        <w:t>2.2 服务的标准</w:t>
      </w:r>
    </w:p>
    <w:p w14:paraId="652FE79A">
      <w:pPr>
        <w:pStyle w:val="27"/>
        <w:rPr>
          <w:color w:val="auto"/>
          <w:highlight w:val="none"/>
        </w:rPr>
      </w:pPr>
      <w:r>
        <w:rPr>
          <w:rFonts w:hint="eastAsia"/>
          <w:color w:val="auto"/>
          <w:highlight w:val="none"/>
        </w:rPr>
        <w:t>承包人将利用其公司各种资源完成他在本合同项下的义务。经发包人的同意，承包人将应提供具有充分素质和经验的人员并为圆满完成服务提供所需的人数。关键人员的简历作为构成本合同的一部分。</w:t>
      </w:r>
    </w:p>
    <w:p w14:paraId="7D51179E">
      <w:pPr>
        <w:pStyle w:val="27"/>
        <w:rPr>
          <w:color w:val="auto"/>
          <w:highlight w:val="none"/>
        </w:rPr>
      </w:pPr>
      <w:r>
        <w:rPr>
          <w:rFonts w:hint="eastAsia"/>
          <w:color w:val="auto"/>
          <w:highlight w:val="none"/>
        </w:rPr>
        <w:t>3. 人员</w:t>
      </w:r>
    </w:p>
    <w:p w14:paraId="3E4BEEE3">
      <w:pPr>
        <w:pStyle w:val="27"/>
        <w:rPr>
          <w:color w:val="auto"/>
          <w:highlight w:val="none"/>
        </w:rPr>
      </w:pPr>
      <w:r>
        <w:rPr>
          <w:rFonts w:hint="eastAsia"/>
          <w:color w:val="auto"/>
          <w:highlight w:val="none"/>
        </w:rPr>
        <w:t>3.1 关键人员</w:t>
      </w:r>
    </w:p>
    <w:p w14:paraId="775DB752">
      <w:pPr>
        <w:pStyle w:val="27"/>
        <w:rPr>
          <w:color w:val="auto"/>
          <w:highlight w:val="none"/>
        </w:rPr>
      </w:pPr>
      <w:r>
        <w:rPr>
          <w:rFonts w:hint="eastAsia"/>
          <w:color w:val="auto"/>
          <w:highlight w:val="none"/>
        </w:rPr>
        <w:t>承包人将保证由一位经发包人书面批准的关键人员在执行服务期间的所有时间都对在现作业负责并负责承包人与发包人之间的联络。</w:t>
      </w:r>
    </w:p>
    <w:p w14:paraId="32FBBCF8">
      <w:pPr>
        <w:pStyle w:val="27"/>
        <w:rPr>
          <w:color w:val="auto"/>
          <w:highlight w:val="none"/>
        </w:rPr>
      </w:pPr>
      <w:r>
        <w:rPr>
          <w:rFonts w:hint="eastAsia"/>
          <w:color w:val="auto"/>
          <w:highlight w:val="none"/>
        </w:rPr>
        <w:t>3.2 身体健康</w:t>
      </w:r>
    </w:p>
    <w:p w14:paraId="26912790">
      <w:pPr>
        <w:pStyle w:val="27"/>
        <w:rPr>
          <w:color w:val="auto"/>
          <w:highlight w:val="none"/>
        </w:rPr>
      </w:pPr>
      <w:r>
        <w:rPr>
          <w:rFonts w:hint="eastAsia"/>
          <w:color w:val="auto"/>
          <w:highlight w:val="none"/>
        </w:rPr>
        <w:t>承包人负责确保其合同项下作业的工作人员都身体健康，能够提供在合同项下的服务。</w:t>
      </w:r>
    </w:p>
    <w:p w14:paraId="6A388C55">
      <w:pPr>
        <w:pStyle w:val="27"/>
        <w:rPr>
          <w:color w:val="auto"/>
          <w:highlight w:val="none"/>
        </w:rPr>
      </w:pPr>
      <w:r>
        <w:rPr>
          <w:rFonts w:hint="eastAsia"/>
          <w:color w:val="auto"/>
          <w:highlight w:val="none"/>
        </w:rPr>
        <w:t>★4. 对发包人的结算和付款</w:t>
      </w:r>
    </w:p>
    <w:p w14:paraId="4C487081">
      <w:pPr>
        <w:pStyle w:val="27"/>
        <w:rPr>
          <w:color w:val="auto"/>
          <w:highlight w:val="none"/>
        </w:rPr>
      </w:pPr>
      <w:r>
        <w:rPr>
          <w:rFonts w:hint="eastAsia"/>
          <w:color w:val="auto"/>
          <w:highlight w:val="none"/>
        </w:rPr>
        <w:t>4.1 对费用的计价和结算</w:t>
      </w:r>
    </w:p>
    <w:p w14:paraId="19034B8C">
      <w:pPr>
        <w:pStyle w:val="27"/>
        <w:rPr>
          <w:color w:val="auto"/>
          <w:highlight w:val="none"/>
        </w:rPr>
      </w:pPr>
      <w:r>
        <w:rPr>
          <w:rFonts w:hint="eastAsia"/>
          <w:color w:val="auto"/>
          <w:highlight w:val="none"/>
        </w:rPr>
        <w:t xml:space="preserve">4.1.1 </w:t>
      </w:r>
      <w:r>
        <w:rPr>
          <w:rFonts w:hint="eastAsia"/>
          <w:b/>
          <w:bCs/>
          <w:color w:val="auto"/>
          <w:highlight w:val="none"/>
        </w:rPr>
        <w:t>石膏销售</w:t>
      </w:r>
      <w:r>
        <w:rPr>
          <w:rFonts w:hint="eastAsia"/>
          <w:b/>
          <w:bCs/>
          <w:color w:val="auto"/>
          <w:highlight w:val="none"/>
          <w:lang w:eastAsia="zh-CN"/>
        </w:rPr>
        <w:t>及处置</w:t>
      </w:r>
      <w:r>
        <w:rPr>
          <w:rFonts w:hint="eastAsia"/>
          <w:b/>
          <w:bCs/>
          <w:color w:val="auto"/>
          <w:highlight w:val="none"/>
        </w:rPr>
        <w:t>价</w:t>
      </w:r>
      <w:r>
        <w:rPr>
          <w:rFonts w:hint="eastAsia"/>
          <w:color w:val="auto"/>
          <w:highlight w:val="none"/>
        </w:rPr>
        <w:t xml:space="preserve">     /吨(含增值税)(承包人支付)。</w:t>
      </w:r>
    </w:p>
    <w:p w14:paraId="7F97AA06">
      <w:pPr>
        <w:pStyle w:val="27"/>
        <w:rPr>
          <w:color w:val="auto"/>
          <w:highlight w:val="none"/>
        </w:rPr>
      </w:pPr>
      <w:r>
        <w:rPr>
          <w:rFonts w:hint="eastAsia"/>
          <w:color w:val="auto"/>
          <w:highlight w:val="none"/>
        </w:rPr>
        <w:t>4.2 货款支付</w:t>
      </w:r>
    </w:p>
    <w:p w14:paraId="5ED60FC0">
      <w:pPr>
        <w:pStyle w:val="27"/>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rPr>
        <w:t>4.2.1本合同期内采取</w:t>
      </w:r>
      <w:r>
        <w:rPr>
          <w:rFonts w:hint="eastAsia"/>
          <w:color w:val="auto"/>
          <w:highlight w:val="none"/>
          <w:lang w:eastAsia="zh-CN"/>
        </w:rPr>
        <w:t>季度</w:t>
      </w:r>
      <w:r>
        <w:rPr>
          <w:rFonts w:hint="eastAsia"/>
          <w:color w:val="auto"/>
          <w:highlight w:val="none"/>
        </w:rPr>
        <w:t>结算方式。</w:t>
      </w:r>
    </w:p>
    <w:p w14:paraId="53CD7F6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color w:val="auto"/>
          <w:highlight w:val="none"/>
        </w:rPr>
      </w:pPr>
      <w:r>
        <w:rPr>
          <w:rFonts w:hint="eastAsia"/>
          <w:color w:val="auto"/>
          <w:highlight w:val="none"/>
        </w:rPr>
        <w:t>4.2.2本合同期内</w:t>
      </w:r>
      <w:r>
        <w:rPr>
          <w:rFonts w:hint="eastAsia"/>
          <w:color w:val="auto"/>
          <w:highlight w:val="none"/>
          <w:lang w:eastAsia="zh-CN"/>
        </w:rPr>
        <w:t>按季度</w:t>
      </w:r>
      <w:r>
        <w:rPr>
          <w:rFonts w:hint="eastAsia"/>
          <w:color w:val="auto"/>
          <w:highlight w:val="none"/>
        </w:rPr>
        <w:t>办理结算，每</w:t>
      </w:r>
      <w:r>
        <w:rPr>
          <w:rFonts w:hint="eastAsia"/>
          <w:color w:val="auto"/>
          <w:highlight w:val="none"/>
          <w:lang w:eastAsia="zh-CN"/>
        </w:rPr>
        <w:t>季度最后一个</w:t>
      </w:r>
      <w:r>
        <w:rPr>
          <w:rFonts w:hint="eastAsia"/>
          <w:color w:val="auto"/>
          <w:highlight w:val="none"/>
        </w:rPr>
        <w:t>月27日为结算截止日（2月份为25日），结算完毕后</w:t>
      </w:r>
      <w:r>
        <w:rPr>
          <w:rFonts w:hint="eastAsia"/>
          <w:color w:val="auto"/>
          <w:highlight w:val="none"/>
          <w:lang w:eastAsia="zh-CN"/>
        </w:rPr>
        <w:t>次月</w:t>
      </w:r>
      <w:r>
        <w:rPr>
          <w:rFonts w:hint="eastAsia"/>
          <w:color w:val="auto"/>
          <w:highlight w:val="none"/>
        </w:rPr>
        <w:t>办理付款。</w:t>
      </w:r>
    </w:p>
    <w:p w14:paraId="33608DC5">
      <w:pPr>
        <w:pStyle w:val="27"/>
        <w:rPr>
          <w:color w:val="auto"/>
          <w:highlight w:val="none"/>
        </w:rPr>
      </w:pPr>
      <w:r>
        <w:rPr>
          <w:rFonts w:hint="eastAsia"/>
          <w:color w:val="auto"/>
          <w:highlight w:val="none"/>
        </w:rPr>
        <w:t>4.2.3 发包人凭经各方签字确认的计量单与承包人办清结算（数量以电厂过磅单为准〉。</w:t>
      </w:r>
    </w:p>
    <w:p w14:paraId="336FDCC8">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 发包人的义务</w:t>
      </w:r>
    </w:p>
    <w:p w14:paraId="7DA02CFA">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5.1 发包人要保证使承包人及其工作人员有权进入为有效执行服务而需要进入的全部地点和现场（即：放脱硫石膏及装载点），但承包人和其工作人员必须满足所规定的安全要求。承包人对这样的场所或财产由于此进入而造成的任何损失将负责任（非承包人或其工作人员的有意过失或疏忽原因除外）</w:t>
      </w:r>
    </w:p>
    <w:p w14:paraId="27C91F6F">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5.2发包人需用脱硫石膏的，承包人应无条件支持，结算时不计入发包人所使用的脱硫石膏。</w:t>
      </w:r>
    </w:p>
    <w:p w14:paraId="603F3D87">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 承包人的义务</w:t>
      </w:r>
    </w:p>
    <w:p w14:paraId="69377021">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承包人的责任</w:t>
      </w:r>
    </w:p>
    <w:p w14:paraId="4ECDF457">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（1）接受对本合同项下要执行服务的全部责任，以正确的判断和最高的职业、技术和质量标准，遵照所有有关法律和规定提供服务。</w:t>
      </w:r>
    </w:p>
    <w:p w14:paraId="3AF30002">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（2）承包人应依照并严格遵守任何关于其雇用的所有人员健康和安全、最低工资、工人福利、劳动时间、伤亡补偿的法律以及环境卫生、税赋和其他法律。</w:t>
      </w:r>
    </w:p>
    <w:p w14:paraId="57B06EFD">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（3）承包人应对其所提供的服务质量负责。任何因承包人原因，导致发包人正常生产、环境卫生、工作秩序受到影响，发包人追究承包人的责任，直到解除承包人的合同。</w:t>
      </w:r>
    </w:p>
    <w:p w14:paraId="13FE77F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承包人的装卸、运输（含转运）车辆必须保持良好的车况，因承包人原因造成其设备、人身（伤亡）安全事故，由承包人承担全部责任，与发包人无关；因销售服务方原因影响采购人正常生产或造成发包人财产和人员（含承担发包人其他服务或劳务的人员）的伤亡损失的，由承包人承担相应责任。</w:t>
      </w:r>
    </w:p>
    <w:p w14:paraId="263B724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（5）承包人</w:t>
      </w:r>
      <w:r>
        <w:rPr>
          <w:rFonts w:hint="eastAsia" w:ascii="宋体" w:hAnsi="宋体" w:cs="宋体"/>
          <w:color w:val="auto"/>
          <w:sz w:val="24"/>
          <w:highlight w:val="none"/>
        </w:rPr>
        <w:t>解决好石膏的转运、堆放场地，不得将石膏堆放在发包人厂区内任何地方。</w:t>
      </w:r>
    </w:p>
    <w:p w14:paraId="0922154C">
      <w:pPr>
        <w:keepNext w:val="0"/>
        <w:keepLines w:val="0"/>
        <w:pageBreakBefore w:val="0"/>
        <w:widowControl w:val="0"/>
        <w:kinsoku/>
        <w:wordWrap/>
        <w:overflowPunct/>
        <w:topLinePunct w:val="0"/>
        <w:autoSpaceDE/>
        <w:autoSpaceDN/>
        <w:bidi w:val="0"/>
        <w:adjustRightInd/>
        <w:spacing w:line="400" w:lineRule="exact"/>
        <w:ind w:firstLine="424" w:firstLineChars="177"/>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（6）承包人在石膏销售过程中，发生石膏质量引发的一切责任问题，由承包人承担全部责任。凡因承包人原因造成发包人石膏信誉受损的，经查实，将追究承包人法律责任,同时发包人有权随时终止本合同。</w:t>
      </w:r>
    </w:p>
    <w:p w14:paraId="6D834925">
      <w:pPr>
        <w:keepNext w:val="0"/>
        <w:keepLines w:val="0"/>
        <w:pageBreakBefore w:val="0"/>
        <w:widowControl w:val="0"/>
        <w:kinsoku/>
        <w:wordWrap/>
        <w:overflowPunct/>
        <w:topLinePunct w:val="0"/>
        <w:autoSpaceDE/>
        <w:autoSpaceDN/>
        <w:bidi w:val="0"/>
        <w:adjustRightInd/>
        <w:spacing w:line="400" w:lineRule="exact"/>
        <w:ind w:firstLine="424" w:firstLineChars="177"/>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因承包人责任引起的与当地政府或群众纠纷，由承包人负责协调处理，承担由此发生的一切费用。因承包人不执行承诺和合同约定，致使发包人受地方环保、城管、交警等部门罚款的，该罚款及其他处罚由承包人负责。</w:t>
      </w:r>
    </w:p>
    <w:p w14:paraId="0F296D16">
      <w:pPr>
        <w:pStyle w:val="27"/>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kern w:val="0"/>
          <w:highlight w:val="none"/>
        </w:rPr>
      </w:pPr>
      <w:r>
        <w:rPr>
          <w:rFonts w:hint="eastAsia" w:ascii="宋体" w:hAnsi="宋体" w:cs="宋体"/>
          <w:color w:val="auto"/>
          <w:highlight w:val="none"/>
        </w:rPr>
        <w:t>（8）</w:t>
      </w:r>
      <w:r>
        <w:rPr>
          <w:rFonts w:hint="eastAsia" w:ascii="宋体" w:hAnsi="宋体" w:cs="宋体"/>
          <w:color w:val="auto"/>
          <w:kern w:val="0"/>
          <w:highlight w:val="none"/>
        </w:rPr>
        <w:t>若承包人因市场行情变化等提出调价诉求，发包人不受理，所产生的一切后果由承包人承担全部责任。若承包人主动解约，除弥补给发包人带来的损失外，发包人将追究其全部的法律责任。</w:t>
      </w:r>
    </w:p>
    <w:p w14:paraId="61221531">
      <w:pPr>
        <w:pStyle w:val="27"/>
        <w:rPr>
          <w:color w:val="auto"/>
          <w:highlight w:val="none"/>
        </w:rPr>
      </w:pPr>
      <w:r>
        <w:rPr>
          <w:rFonts w:hint="eastAsia"/>
          <w:color w:val="auto"/>
          <w:highlight w:val="none"/>
        </w:rPr>
        <w:t>6.2  转让、转包</w:t>
      </w:r>
    </w:p>
    <w:p w14:paraId="60085FCD">
      <w:pPr>
        <w:pStyle w:val="27"/>
        <w:rPr>
          <w:color w:val="auto"/>
          <w:highlight w:val="none"/>
        </w:rPr>
      </w:pPr>
      <w:r>
        <w:rPr>
          <w:rFonts w:hint="eastAsia"/>
          <w:color w:val="auto"/>
          <w:highlight w:val="none"/>
        </w:rPr>
        <w:t>除经发包人书面批准的情况外，承包人不得将在本合同项下要执行的服务转让、转包或违法分包给其他任何人或公司，否则发包人有权单方解除合同。</w:t>
      </w:r>
    </w:p>
    <w:p w14:paraId="55136155">
      <w:pPr>
        <w:pStyle w:val="27"/>
        <w:rPr>
          <w:color w:val="auto"/>
          <w:highlight w:val="none"/>
        </w:rPr>
      </w:pPr>
      <w:r>
        <w:rPr>
          <w:rFonts w:hint="eastAsia"/>
          <w:color w:val="auto"/>
          <w:highlight w:val="none"/>
        </w:rPr>
        <w:t>6.3 保密</w:t>
      </w:r>
    </w:p>
    <w:p w14:paraId="557B511D">
      <w:pPr>
        <w:pStyle w:val="27"/>
        <w:rPr>
          <w:color w:val="auto"/>
          <w:highlight w:val="none"/>
        </w:rPr>
      </w:pPr>
      <w:r>
        <w:rPr>
          <w:rFonts w:hint="eastAsia"/>
          <w:color w:val="auto"/>
          <w:highlight w:val="none"/>
        </w:rPr>
        <w:t>除事先经发包人书面同意外，承包人及其工作人员不得在任何时间将为服务的目的而透露给他们的任何信息告诉给任何人或单位；不得公开在服务过程中所产生的或作为服务结果的任何信息或者使用这样的信息于执行服务以外的任何其他目的。</w:t>
      </w:r>
    </w:p>
    <w:p w14:paraId="7087B76B">
      <w:pPr>
        <w:pStyle w:val="27"/>
        <w:rPr>
          <w:color w:val="auto"/>
          <w:highlight w:val="none"/>
        </w:rPr>
      </w:pPr>
      <w:r>
        <w:rPr>
          <w:rFonts w:hint="eastAsia"/>
          <w:color w:val="auto"/>
          <w:highlight w:val="none"/>
        </w:rPr>
        <w:t>6.4 其他责任</w:t>
      </w:r>
    </w:p>
    <w:p w14:paraId="0D3CE227">
      <w:pPr>
        <w:pStyle w:val="27"/>
        <w:rPr>
          <w:color w:val="auto"/>
          <w:highlight w:val="none"/>
        </w:rPr>
      </w:pPr>
      <w:r>
        <w:rPr>
          <w:rFonts w:hint="eastAsia"/>
          <w:color w:val="auto"/>
          <w:highlight w:val="none"/>
        </w:rPr>
        <w:t>因承包人不执行承诺和合同约定，致使发包人受地方环保、城管、交警等部门罚款的，该罚款及其他处罚由承包人负责。</w:t>
      </w:r>
    </w:p>
    <w:p w14:paraId="0819F8B4">
      <w:pPr>
        <w:pStyle w:val="27"/>
        <w:rPr>
          <w:color w:val="auto"/>
          <w:highlight w:val="none"/>
        </w:rPr>
      </w:pPr>
      <w:r>
        <w:rPr>
          <w:rFonts w:hint="eastAsia"/>
          <w:color w:val="auto"/>
          <w:highlight w:val="none"/>
        </w:rPr>
        <w:t>7. 通用条款</w:t>
      </w:r>
    </w:p>
    <w:p w14:paraId="0B821DE0">
      <w:pPr>
        <w:pStyle w:val="27"/>
        <w:rPr>
          <w:color w:val="auto"/>
          <w:highlight w:val="none"/>
        </w:rPr>
      </w:pPr>
      <w:r>
        <w:rPr>
          <w:rFonts w:hint="eastAsia"/>
          <w:color w:val="auto"/>
          <w:highlight w:val="none"/>
        </w:rPr>
        <w:t>7.1 适用法律</w:t>
      </w:r>
    </w:p>
    <w:p w14:paraId="5097F9F1">
      <w:pPr>
        <w:pStyle w:val="27"/>
        <w:rPr>
          <w:color w:val="auto"/>
          <w:highlight w:val="none"/>
        </w:rPr>
      </w:pPr>
      <w:r>
        <w:rPr>
          <w:rFonts w:hint="eastAsia"/>
          <w:color w:val="auto"/>
          <w:highlight w:val="none"/>
        </w:rPr>
        <w:t>本合同的适用法律将是中华人民共和国的法律。承包人和其人员将遵守中华人民共和国的全部适用法律并将迅速对要他们注意的任何违反采取改正措施。</w:t>
      </w:r>
    </w:p>
    <w:p w14:paraId="5FB434ED">
      <w:pPr>
        <w:pStyle w:val="27"/>
        <w:rPr>
          <w:color w:val="auto"/>
          <w:highlight w:val="none"/>
        </w:rPr>
      </w:pPr>
      <w:r>
        <w:rPr>
          <w:rFonts w:hint="eastAsia"/>
          <w:color w:val="auto"/>
          <w:highlight w:val="none"/>
        </w:rPr>
        <w:t>7.2 发包人的财产权</w:t>
      </w:r>
    </w:p>
    <w:p w14:paraId="4500B7FC">
      <w:pPr>
        <w:pStyle w:val="27"/>
        <w:rPr>
          <w:color w:val="auto"/>
          <w:highlight w:val="none"/>
        </w:rPr>
      </w:pPr>
      <w:r>
        <w:rPr>
          <w:rFonts w:hint="eastAsia"/>
          <w:color w:val="auto"/>
          <w:highlight w:val="none"/>
        </w:rPr>
        <w:t>下列设备将依然是发包人的财产：</w:t>
      </w:r>
    </w:p>
    <w:p w14:paraId="490AA2F2">
      <w:pPr>
        <w:pStyle w:val="27"/>
        <w:rPr>
          <w:color w:val="auto"/>
          <w:highlight w:val="none"/>
        </w:rPr>
      </w:pPr>
      <w:r>
        <w:rPr>
          <w:rFonts w:hint="eastAsia"/>
          <w:color w:val="auto"/>
          <w:highlight w:val="none"/>
        </w:rPr>
        <w:t>①由发包人为承包人实施其服务而提供的；</w:t>
      </w:r>
    </w:p>
    <w:p w14:paraId="77F29597">
      <w:pPr>
        <w:pStyle w:val="27"/>
        <w:rPr>
          <w:color w:val="auto"/>
          <w:highlight w:val="none"/>
        </w:rPr>
      </w:pPr>
      <w:r>
        <w:rPr>
          <w:rFonts w:hint="eastAsia"/>
          <w:color w:val="auto"/>
          <w:highlight w:val="none"/>
        </w:rPr>
        <w:t>②为执行本合同项下的服务的目的，由发包人购买的或由承包人代表发包人所购买的。</w:t>
      </w:r>
    </w:p>
    <w:p w14:paraId="474F1FB6">
      <w:pPr>
        <w:pStyle w:val="27"/>
        <w:rPr>
          <w:color w:val="auto"/>
          <w:highlight w:val="none"/>
        </w:rPr>
      </w:pPr>
      <w:r>
        <w:rPr>
          <w:rFonts w:hint="eastAsia"/>
          <w:color w:val="auto"/>
          <w:highlight w:val="none"/>
        </w:rPr>
        <w:t>7.3 发包人的控制与批准</w:t>
      </w:r>
    </w:p>
    <w:p w14:paraId="0332D9FB">
      <w:pPr>
        <w:pStyle w:val="27"/>
        <w:rPr>
          <w:color w:val="auto"/>
          <w:highlight w:val="none"/>
        </w:rPr>
      </w:pPr>
      <w:r>
        <w:rPr>
          <w:rFonts w:hint="eastAsia"/>
          <w:color w:val="auto"/>
          <w:highlight w:val="none"/>
        </w:rPr>
        <w:t>发包人将以书面形式任命监督执行本合同项下的服务并经授权就所有有关事宜作出决定和给予批准。承包人应按合同所要求的限度在就本合同项下服务的有关重大事宜采取行动之前先与发包人或其授权人员进行磋商并取得其书面同意。</w:t>
      </w:r>
    </w:p>
    <w:p w14:paraId="2FA04C69">
      <w:pPr>
        <w:pStyle w:val="27"/>
        <w:rPr>
          <w:color w:val="auto"/>
          <w:highlight w:val="none"/>
        </w:rPr>
      </w:pPr>
      <w:r>
        <w:rPr>
          <w:rFonts w:hint="eastAsia"/>
          <w:color w:val="auto"/>
          <w:highlight w:val="none"/>
        </w:rPr>
        <w:t>7.4 保险</w:t>
      </w:r>
    </w:p>
    <w:p w14:paraId="22BD3466">
      <w:pPr>
        <w:pStyle w:val="27"/>
        <w:rPr>
          <w:color w:val="auto"/>
          <w:highlight w:val="none"/>
        </w:rPr>
      </w:pPr>
      <w:r>
        <w:rPr>
          <w:rFonts w:hint="eastAsia"/>
          <w:color w:val="auto"/>
          <w:highlight w:val="none"/>
        </w:rPr>
        <w:t>7.4.1 承包人应负责对为执行本合同项下的服务所购买设备进行保险，以防备其受损失或破坏。</w:t>
      </w:r>
    </w:p>
    <w:p w14:paraId="0FCE790C">
      <w:pPr>
        <w:pStyle w:val="27"/>
        <w:rPr>
          <w:color w:val="auto"/>
          <w:highlight w:val="none"/>
        </w:rPr>
      </w:pPr>
      <w:r>
        <w:rPr>
          <w:rFonts w:hint="eastAsia"/>
          <w:color w:val="auto"/>
          <w:highlight w:val="none"/>
        </w:rPr>
        <w:t>7.4.2 除了可视情况和要求所投的任何其他职业责任保险，承包人应负责为其执行服务的人员进行人身、健康、事故以及其他风险投保并维持保险。</w:t>
      </w:r>
    </w:p>
    <w:p w14:paraId="47D02BB8">
      <w:pPr>
        <w:pStyle w:val="27"/>
        <w:rPr>
          <w:color w:val="auto"/>
          <w:highlight w:val="none"/>
        </w:rPr>
      </w:pPr>
      <w:r>
        <w:rPr>
          <w:rFonts w:hint="eastAsia"/>
          <w:color w:val="auto"/>
          <w:highlight w:val="none"/>
        </w:rPr>
        <w:t>7.5 变化</w:t>
      </w:r>
    </w:p>
    <w:p w14:paraId="549582E9">
      <w:pPr>
        <w:pStyle w:val="27"/>
        <w:rPr>
          <w:color w:val="auto"/>
          <w:highlight w:val="none"/>
        </w:rPr>
      </w:pPr>
      <w:r>
        <w:rPr>
          <w:rFonts w:hint="eastAsia"/>
          <w:color w:val="auto"/>
          <w:highlight w:val="none"/>
        </w:rPr>
        <w:t>发包人可以在任何时候以向承包人发书面通知的方式要求额外的服务，除事先取得发包人的书面批准外，承包人不得进行任何增补、变动、修改以及删除。</w:t>
      </w:r>
    </w:p>
    <w:p w14:paraId="40FF617E">
      <w:pPr>
        <w:pStyle w:val="27"/>
        <w:rPr>
          <w:color w:val="auto"/>
          <w:highlight w:val="none"/>
        </w:rPr>
      </w:pPr>
      <w:r>
        <w:rPr>
          <w:rFonts w:hint="eastAsia"/>
          <w:color w:val="auto"/>
          <w:highlight w:val="none"/>
        </w:rPr>
        <w:t>7.6 延误的通知</w:t>
      </w:r>
    </w:p>
    <w:p w14:paraId="650EDA57">
      <w:pPr>
        <w:pStyle w:val="27"/>
        <w:rPr>
          <w:color w:val="auto"/>
          <w:highlight w:val="none"/>
        </w:rPr>
      </w:pPr>
      <w:r>
        <w:rPr>
          <w:rFonts w:hint="eastAsia"/>
          <w:color w:val="auto"/>
          <w:highlight w:val="none"/>
        </w:rPr>
        <w:t>承包人在其执行本合同项下的服务中遇到延误的情况下应迅速以书面形式将这样的延误通知发包人并可要求适当延长完成服务的时间。只要能够确定服务执行延误的原因不是由于承包人的过失，否则必须采取特殊办法按时完成。</w:t>
      </w:r>
    </w:p>
    <w:p w14:paraId="40CBFFFE">
      <w:pPr>
        <w:pStyle w:val="27"/>
        <w:rPr>
          <w:color w:val="auto"/>
          <w:highlight w:val="none"/>
        </w:rPr>
      </w:pPr>
      <w:r>
        <w:rPr>
          <w:rFonts w:hint="eastAsia"/>
          <w:color w:val="auto"/>
          <w:highlight w:val="none"/>
        </w:rPr>
        <w:t>7.7  所有先前的协议和谈判的统一</w:t>
      </w:r>
    </w:p>
    <w:p w14:paraId="7334DF24">
      <w:pPr>
        <w:pStyle w:val="27"/>
        <w:rPr>
          <w:color w:val="auto"/>
          <w:highlight w:val="none"/>
        </w:rPr>
      </w:pPr>
      <w:r>
        <w:rPr>
          <w:rFonts w:hint="eastAsia"/>
          <w:color w:val="auto"/>
          <w:highlight w:val="none"/>
        </w:rPr>
        <w:t>同意本合同表达了双方的全部理解、承诺和特别条款并统一、综合以及取代从前的全部谈判、理解和协议，不管是书面的还是口头的。</w:t>
      </w:r>
    </w:p>
    <w:p w14:paraId="4BD8C461">
      <w:pPr>
        <w:pStyle w:val="27"/>
        <w:rPr>
          <w:color w:val="auto"/>
          <w:highlight w:val="none"/>
        </w:rPr>
      </w:pPr>
      <w:r>
        <w:rPr>
          <w:rFonts w:hint="eastAsia"/>
          <w:color w:val="auto"/>
          <w:highlight w:val="none"/>
        </w:rPr>
        <w:t>7.8 保证</w:t>
      </w:r>
    </w:p>
    <w:p w14:paraId="25F37C8D">
      <w:pPr>
        <w:pStyle w:val="27"/>
        <w:spacing w:line="360" w:lineRule="exact"/>
        <w:rPr>
          <w:color w:val="auto"/>
          <w:highlight w:val="none"/>
        </w:rPr>
      </w:pPr>
      <w:r>
        <w:rPr>
          <w:rFonts w:hint="eastAsia"/>
          <w:color w:val="auto"/>
          <w:highlight w:val="none"/>
        </w:rPr>
        <w:t>承包人要保证它没有为取得本合同而给发包人的任何人员任何金钱、礼品或其他好处，而且将不在合同期的任何时间给或承诺给这样的人员任何金钱、礼品或其他好处。对本保证的任何违反在适当的情况下将构成终止本合同的充分依据。</w:t>
      </w:r>
    </w:p>
    <w:p w14:paraId="1DA28C51">
      <w:pPr>
        <w:pStyle w:val="27"/>
        <w:spacing w:line="360" w:lineRule="exact"/>
        <w:rPr>
          <w:color w:val="auto"/>
          <w:highlight w:val="none"/>
        </w:rPr>
      </w:pPr>
      <w:r>
        <w:rPr>
          <w:rFonts w:hint="eastAsia"/>
          <w:color w:val="auto"/>
          <w:highlight w:val="none"/>
        </w:rPr>
        <w:t>8. 纠纷、仲裁和终止</w:t>
      </w:r>
    </w:p>
    <w:p w14:paraId="7860D796">
      <w:pPr>
        <w:pStyle w:val="27"/>
        <w:spacing w:line="360" w:lineRule="exact"/>
        <w:rPr>
          <w:color w:val="auto"/>
          <w:highlight w:val="none"/>
        </w:rPr>
      </w:pPr>
      <w:r>
        <w:rPr>
          <w:rFonts w:hint="eastAsia"/>
          <w:color w:val="auto"/>
          <w:highlight w:val="none"/>
        </w:rPr>
        <w:t>8.1 纠纷</w:t>
      </w:r>
    </w:p>
    <w:p w14:paraId="5D1152B8">
      <w:pPr>
        <w:pStyle w:val="27"/>
        <w:spacing w:line="360" w:lineRule="exact"/>
        <w:rPr>
          <w:color w:val="auto"/>
          <w:highlight w:val="none"/>
        </w:rPr>
      </w:pPr>
      <w:r>
        <w:rPr>
          <w:rFonts w:hint="eastAsia"/>
          <w:color w:val="auto"/>
          <w:highlight w:val="none"/>
        </w:rPr>
        <w:t>由执行合同或与合同相联系而产生的任何纠纷都应通过双方的友好协商求得解决。在这样的协商开始后十五（15）天内尚不能解决，合同双方应将纠纷呈交发包人所在地人民法院提请诉讼。</w:t>
      </w:r>
    </w:p>
    <w:p w14:paraId="26FED0FF">
      <w:pPr>
        <w:pStyle w:val="27"/>
        <w:spacing w:line="360" w:lineRule="exact"/>
        <w:rPr>
          <w:color w:val="auto"/>
          <w:highlight w:val="none"/>
        </w:rPr>
      </w:pPr>
      <w:r>
        <w:rPr>
          <w:rFonts w:hint="eastAsia"/>
          <w:color w:val="auto"/>
          <w:highlight w:val="none"/>
        </w:rPr>
        <w:t>8.2 不可抗拒力</w:t>
      </w:r>
    </w:p>
    <w:p w14:paraId="1019F749">
      <w:pPr>
        <w:pStyle w:val="27"/>
        <w:spacing w:line="360" w:lineRule="exact"/>
        <w:rPr>
          <w:color w:val="auto"/>
          <w:highlight w:val="none"/>
        </w:rPr>
      </w:pPr>
      <w:r>
        <w:rPr>
          <w:rFonts w:hint="eastAsia"/>
          <w:color w:val="auto"/>
          <w:highlight w:val="none"/>
        </w:rPr>
        <w:t>（1）如果任何一方由于不可抗拒力而不能履行在本合同项下的任何义务，应在事件发生后的 5天之内给另一方书面通知，说明事件发生的情况。</w:t>
      </w:r>
    </w:p>
    <w:p w14:paraId="66E3651F">
      <w:pPr>
        <w:pStyle w:val="27"/>
        <w:spacing w:line="360" w:lineRule="exact"/>
        <w:rPr>
          <w:color w:val="auto"/>
          <w:highlight w:val="none"/>
        </w:rPr>
      </w:pPr>
      <w:r>
        <w:rPr>
          <w:rFonts w:hint="eastAsia"/>
          <w:color w:val="auto"/>
          <w:highlight w:val="none"/>
        </w:rPr>
        <w:t>（2）任何一方都不对由于不可抗拒力的原因或这样的事件引起的延误而给另一方所造成的损失承担义务。</w:t>
      </w:r>
    </w:p>
    <w:p w14:paraId="12733550">
      <w:pPr>
        <w:pStyle w:val="27"/>
        <w:spacing w:line="360" w:lineRule="exact"/>
        <w:rPr>
          <w:color w:val="auto"/>
          <w:highlight w:val="none"/>
        </w:rPr>
      </w:pPr>
      <w:r>
        <w:rPr>
          <w:rFonts w:hint="eastAsia"/>
          <w:color w:val="auto"/>
          <w:highlight w:val="none"/>
        </w:rPr>
        <w:t>（3）这里所用的“不可抗拒力”一词应指工业动乱、公敌的行动、战争、封锁、起义、动乱、流行病、滑坡、地震、风暴、闪电、水灾、道路冲毁、国内动乱、爆炸以及其他任何类似事件，都不在任何一方的控制范围内，都不是双方的责任，而且即使任何一方尽了应有的努力，也都无法克服。</w:t>
      </w:r>
    </w:p>
    <w:p w14:paraId="6DA18BAD">
      <w:pPr>
        <w:pStyle w:val="27"/>
        <w:spacing w:line="360" w:lineRule="exact"/>
        <w:rPr>
          <w:color w:val="auto"/>
          <w:highlight w:val="none"/>
        </w:rPr>
      </w:pPr>
      <w:r>
        <w:rPr>
          <w:rFonts w:hint="eastAsia"/>
          <w:color w:val="auto"/>
          <w:highlight w:val="none"/>
        </w:rPr>
        <w:t>9. 防止营私舞弊</w:t>
      </w:r>
    </w:p>
    <w:p w14:paraId="4506644E">
      <w:pPr>
        <w:pStyle w:val="27"/>
        <w:spacing w:line="360" w:lineRule="exact"/>
        <w:rPr>
          <w:color w:val="auto"/>
          <w:highlight w:val="none"/>
        </w:rPr>
      </w:pPr>
      <w:r>
        <w:rPr>
          <w:rFonts w:hint="eastAsia"/>
          <w:color w:val="auto"/>
          <w:highlight w:val="none"/>
        </w:rPr>
        <w:t>承包人必须勤勤恳恳和兢兢业业地履行其职责。它的人员必须时刻遵守和执行本合同的规定并保持最高标准的公正性和道德规范。对任何读职、对规定的任何违反、对任何欺诈、对任何腐败都将进行诉讼。为此目的，现将这类犯罪界定如下：</w:t>
      </w:r>
    </w:p>
    <w:p w14:paraId="28ED3014">
      <w:pPr>
        <w:pStyle w:val="27"/>
        <w:spacing w:line="360" w:lineRule="exact"/>
        <w:rPr>
          <w:color w:val="auto"/>
          <w:highlight w:val="none"/>
        </w:rPr>
      </w:pPr>
      <w:r>
        <w:rPr>
          <w:rFonts w:hint="eastAsia"/>
          <w:color w:val="auto"/>
          <w:highlight w:val="none"/>
        </w:rPr>
        <w:t>“渎职”是指承包人和／或其人员未认真、负责并在职业上尽其所能履行其职责。</w:t>
      </w:r>
    </w:p>
    <w:p w14:paraId="535F16F9">
      <w:pPr>
        <w:pStyle w:val="27"/>
        <w:spacing w:line="360" w:lineRule="exact"/>
        <w:rPr>
          <w:color w:val="auto"/>
          <w:highlight w:val="none"/>
        </w:rPr>
      </w:pPr>
      <w:r>
        <w:rPr>
          <w:rFonts w:hint="eastAsia"/>
          <w:color w:val="auto"/>
          <w:highlight w:val="none"/>
        </w:rPr>
        <w:t>“违反规定”是指在执行本合同中基本没有按照任何适用的规定的要求做，从而构成无视或回避这样的要求。</w:t>
      </w:r>
    </w:p>
    <w:p w14:paraId="7D17ABF4">
      <w:pPr>
        <w:pStyle w:val="27"/>
        <w:spacing w:line="360" w:lineRule="exact"/>
        <w:rPr>
          <w:color w:val="auto"/>
          <w:highlight w:val="none"/>
        </w:rPr>
      </w:pPr>
      <w:r>
        <w:rPr>
          <w:rFonts w:hint="eastAsia"/>
          <w:color w:val="auto"/>
          <w:highlight w:val="none"/>
        </w:rPr>
        <w:t>“欺诈”是指掩盖事实真相，以不正当的手段影响合同的执行，从而对雇主造成损害，而且包括与其他方面进行勾结，以图获得不公平的好处，进而剥夺雇主正当执行合同的利益。</w:t>
      </w:r>
    </w:p>
    <w:p w14:paraId="0F744049">
      <w:pPr>
        <w:pStyle w:val="27"/>
        <w:spacing w:line="360" w:lineRule="exact"/>
        <w:rPr>
          <w:color w:val="auto"/>
          <w:highlight w:val="none"/>
        </w:rPr>
      </w:pPr>
      <w:r>
        <w:rPr>
          <w:rFonts w:hint="eastAsia"/>
          <w:color w:val="auto"/>
          <w:highlight w:val="none"/>
        </w:rPr>
        <w:t>“腐败”是指给予、接受或索要任何有价值的东西，以影响政府官员或发包人的职工在与执行合同有关的任何事情上的行为。</w:t>
      </w:r>
    </w:p>
    <w:p w14:paraId="5A8E5648">
      <w:pPr>
        <w:pStyle w:val="27"/>
        <w:spacing w:line="360" w:lineRule="exact"/>
        <w:rPr>
          <w:color w:val="auto"/>
          <w:highlight w:val="none"/>
        </w:rPr>
      </w:pPr>
      <w:r>
        <w:rPr>
          <w:rFonts w:hint="eastAsia"/>
          <w:color w:val="auto"/>
          <w:highlight w:val="none"/>
        </w:rPr>
        <w:t>10. 执行</w:t>
      </w:r>
    </w:p>
    <w:p w14:paraId="7ADCF0A4">
      <w:pPr>
        <w:pStyle w:val="27"/>
        <w:spacing w:line="360" w:lineRule="exact"/>
        <w:rPr>
          <w:color w:val="auto"/>
          <w:highlight w:val="none"/>
        </w:rPr>
      </w:pPr>
      <w:r>
        <w:rPr>
          <w:rFonts w:hint="eastAsia"/>
          <w:color w:val="auto"/>
          <w:highlight w:val="none"/>
        </w:rPr>
        <w:t>10.1 生效</w:t>
      </w:r>
    </w:p>
    <w:p w14:paraId="2DFF35C6">
      <w:pPr>
        <w:pStyle w:val="27"/>
        <w:spacing w:line="360" w:lineRule="exact"/>
        <w:rPr>
          <w:color w:val="auto"/>
          <w:highlight w:val="none"/>
        </w:rPr>
      </w:pPr>
      <w:r>
        <w:rPr>
          <w:rFonts w:hint="eastAsia"/>
          <w:color w:val="auto"/>
          <w:highlight w:val="none"/>
        </w:rPr>
        <w:t>双方签订合同且发包人收到承包人全额预付款后，本合同即生效，并对双方都有约束力。</w:t>
      </w:r>
    </w:p>
    <w:p w14:paraId="3412431E">
      <w:pPr>
        <w:pStyle w:val="27"/>
        <w:spacing w:line="360" w:lineRule="exact"/>
        <w:rPr>
          <w:color w:val="auto"/>
          <w:highlight w:val="none"/>
        </w:rPr>
      </w:pPr>
      <w:r>
        <w:rPr>
          <w:rFonts w:hint="eastAsia"/>
          <w:color w:val="auto"/>
          <w:highlight w:val="none"/>
        </w:rPr>
        <w:t>10.2  修改</w:t>
      </w:r>
    </w:p>
    <w:p w14:paraId="22454A60">
      <w:pPr>
        <w:pStyle w:val="27"/>
        <w:spacing w:line="360" w:lineRule="exact"/>
        <w:rPr>
          <w:color w:val="auto"/>
          <w:highlight w:val="none"/>
        </w:rPr>
      </w:pPr>
      <w:r>
        <w:rPr>
          <w:rFonts w:hint="eastAsia"/>
          <w:color w:val="auto"/>
          <w:highlight w:val="none"/>
        </w:rPr>
        <w:t>对本合同的条款和条件仅可以书面的形式进行修改，如需修改或补充合同内容，经协商，双方应签署书面修改或补充协议，该协议将作为本合同的一个组成部分。</w:t>
      </w:r>
    </w:p>
    <w:p w14:paraId="499B481F">
      <w:pPr>
        <w:pStyle w:val="27"/>
        <w:spacing w:line="360" w:lineRule="exact"/>
        <w:rPr>
          <w:color w:val="auto"/>
          <w:highlight w:val="none"/>
        </w:rPr>
      </w:pPr>
      <w:r>
        <w:rPr>
          <w:rFonts w:hint="eastAsia"/>
          <w:color w:val="auto"/>
          <w:highlight w:val="none"/>
        </w:rPr>
        <w:t>10.3 合同副本</w:t>
      </w:r>
    </w:p>
    <w:p w14:paraId="73BDFA41">
      <w:pPr>
        <w:pStyle w:val="27"/>
        <w:spacing w:line="360" w:lineRule="exact"/>
        <w:rPr>
          <w:color w:val="auto"/>
          <w:highlight w:val="none"/>
        </w:rPr>
      </w:pPr>
      <w:r>
        <w:rPr>
          <w:rFonts w:hint="eastAsia"/>
          <w:color w:val="auto"/>
          <w:highlight w:val="none"/>
        </w:rPr>
        <w:t>本合同一式捌(8)份进行签字和交换，肆（4）份给发包人，肆（4）份给承包人，每一份都作为原件。</w:t>
      </w:r>
    </w:p>
    <w:p w14:paraId="3E34171F">
      <w:pPr>
        <w:pStyle w:val="27"/>
        <w:rPr>
          <w:color w:val="auto"/>
          <w:highlight w:val="none"/>
        </w:rPr>
      </w:pPr>
      <w:r>
        <w:rPr>
          <w:color w:val="auto"/>
          <w:highlight w:val="none"/>
        </w:rPr>
        <w:br w:type="page"/>
      </w:r>
    </w:p>
    <w:p w14:paraId="28A65C53">
      <w:pPr>
        <w:pStyle w:val="4"/>
        <w:numPr>
          <w:ilvl w:val="0"/>
          <w:numId w:val="0"/>
        </w:num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合同格式</w:t>
      </w:r>
    </w:p>
    <w:p w14:paraId="0599D020">
      <w:pPr>
        <w:rPr>
          <w:color w:val="auto"/>
          <w:highlight w:val="none"/>
        </w:rPr>
      </w:pPr>
    </w:p>
    <w:p w14:paraId="6FF32702">
      <w:pPr>
        <w:spacing w:line="480" w:lineRule="auto"/>
        <w:ind w:firstLine="480" w:firstLineChars="200"/>
        <w:rPr>
          <w:rFonts w:ascii="宋体" w:hAnsi="宋体"/>
          <w:color w:val="auto"/>
          <w:highlight w:val="none"/>
        </w:rPr>
      </w:pPr>
      <w:r>
        <w:rPr>
          <w:rFonts w:hint="eastAsia" w:ascii="宋体" w:hAnsi="宋体"/>
          <w:color w:val="auto"/>
          <w:highlight w:val="none"/>
        </w:rPr>
        <w:t>（买方）（项目名称）中所需（服务名称）经江西省机电设备招标有限公司以号招标文件在国内招标采购。经评标委员会评定 （卖方）为中标单位。买、卖双方同意按照下面的条款和条件，签署本合同。</w:t>
      </w:r>
    </w:p>
    <w:p w14:paraId="7ABAD88A">
      <w:pPr>
        <w:spacing w:line="480" w:lineRule="auto"/>
        <w:rPr>
          <w:rFonts w:ascii="宋体" w:hAnsi="宋体"/>
          <w:b/>
          <w:bCs/>
          <w:color w:val="auto"/>
          <w:highlight w:val="none"/>
        </w:rPr>
      </w:pPr>
      <w:r>
        <w:rPr>
          <w:rFonts w:hint="eastAsia" w:ascii="宋体" w:hAnsi="宋体"/>
          <w:b/>
          <w:bCs/>
          <w:color w:val="auto"/>
          <w:highlight w:val="none"/>
        </w:rPr>
        <w:t>1、合同文件</w:t>
      </w:r>
    </w:p>
    <w:p w14:paraId="096F5225">
      <w:pPr>
        <w:spacing w:line="480" w:lineRule="auto"/>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下列文件构成本合同的组成部分：</w:t>
      </w:r>
    </w:p>
    <w:p w14:paraId="29420692">
      <w:pPr>
        <w:numPr>
          <w:ilvl w:val="0"/>
          <w:numId w:val="2"/>
        </w:numPr>
        <w:spacing w:line="480" w:lineRule="auto"/>
        <w:rPr>
          <w:rFonts w:ascii="宋体" w:hAnsi="宋体"/>
          <w:color w:val="auto"/>
          <w:highlight w:val="none"/>
        </w:rPr>
      </w:pPr>
      <w:r>
        <w:rPr>
          <w:rFonts w:hint="eastAsia" w:ascii="宋体" w:hAnsi="宋体"/>
          <w:color w:val="auto"/>
          <w:highlight w:val="none"/>
        </w:rPr>
        <w:t>招标文件</w:t>
      </w:r>
    </w:p>
    <w:p w14:paraId="6F5D584A">
      <w:pPr>
        <w:numPr>
          <w:ilvl w:val="0"/>
          <w:numId w:val="2"/>
        </w:numPr>
        <w:spacing w:line="480" w:lineRule="auto"/>
        <w:rPr>
          <w:rFonts w:ascii="宋体" w:hAnsi="宋体"/>
          <w:color w:val="auto"/>
          <w:highlight w:val="none"/>
        </w:rPr>
      </w:pPr>
      <w:r>
        <w:rPr>
          <w:rFonts w:hint="eastAsia" w:ascii="宋体" w:hAnsi="宋体"/>
          <w:color w:val="auto"/>
          <w:highlight w:val="none"/>
        </w:rPr>
        <w:t>响应文件</w:t>
      </w:r>
    </w:p>
    <w:p w14:paraId="1EBD0EE8">
      <w:pPr>
        <w:numPr>
          <w:ilvl w:val="0"/>
          <w:numId w:val="2"/>
        </w:numPr>
        <w:spacing w:line="480" w:lineRule="auto"/>
        <w:rPr>
          <w:rFonts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就其响应文件在评标质疑、澄清时认定的资料</w:t>
      </w:r>
    </w:p>
    <w:p w14:paraId="45CEB5CE">
      <w:pPr>
        <w:spacing w:line="480" w:lineRule="auto"/>
        <w:ind w:left="617" w:leftChars="257" w:firstLine="240" w:firstLineChars="100"/>
        <w:rPr>
          <w:rFonts w:ascii="宋体" w:hAnsi="宋体"/>
          <w:color w:val="auto"/>
          <w:highlight w:val="none"/>
        </w:rPr>
      </w:pPr>
      <w:r>
        <w:rPr>
          <w:rFonts w:hint="eastAsia" w:ascii="宋体" w:hAnsi="宋体"/>
          <w:color w:val="auto"/>
          <w:highlight w:val="none"/>
        </w:rPr>
        <w:t>（正件存江西省机电设备招标有限公司）</w:t>
      </w:r>
    </w:p>
    <w:p w14:paraId="05C8D0D9">
      <w:pPr>
        <w:numPr>
          <w:ilvl w:val="0"/>
          <w:numId w:val="2"/>
        </w:numPr>
        <w:spacing w:line="480" w:lineRule="auto"/>
        <w:rPr>
          <w:rFonts w:ascii="宋体" w:hAnsi="宋体"/>
          <w:color w:val="auto"/>
          <w:highlight w:val="none"/>
        </w:rPr>
      </w:pPr>
      <w:r>
        <w:rPr>
          <w:rFonts w:hint="eastAsia" w:ascii="宋体" w:hAnsi="宋体"/>
          <w:color w:val="auto"/>
          <w:highlight w:val="none"/>
        </w:rPr>
        <w:t>成交通知书</w:t>
      </w:r>
    </w:p>
    <w:p w14:paraId="1715317F">
      <w:pPr>
        <w:numPr>
          <w:ilvl w:val="0"/>
          <w:numId w:val="2"/>
        </w:numPr>
        <w:spacing w:line="480" w:lineRule="auto"/>
        <w:rPr>
          <w:rFonts w:ascii="宋体" w:hAnsi="宋体"/>
          <w:color w:val="auto"/>
          <w:highlight w:val="none"/>
        </w:rPr>
      </w:pPr>
      <w:r>
        <w:rPr>
          <w:rFonts w:hint="eastAsia" w:ascii="宋体" w:hAnsi="宋体"/>
          <w:color w:val="auto"/>
          <w:highlight w:val="none"/>
        </w:rPr>
        <w:t>合同补充条款或说明</w:t>
      </w:r>
    </w:p>
    <w:p w14:paraId="3C80B310">
      <w:pPr>
        <w:spacing w:line="480" w:lineRule="auto"/>
        <w:ind w:firstLine="480" w:firstLineChars="200"/>
        <w:rPr>
          <w:rFonts w:ascii="宋体" w:hAnsi="宋体"/>
          <w:color w:val="auto"/>
          <w:highlight w:val="none"/>
        </w:rPr>
      </w:pPr>
      <w:r>
        <w:rPr>
          <w:rFonts w:hint="eastAsia" w:ascii="宋体" w:hAnsi="宋体"/>
          <w:color w:val="auto"/>
          <w:highlight w:val="none"/>
        </w:rPr>
        <w:t>上述文件之间内容有不一致的地方，按时间先后以最晚签署的文件为准。</w:t>
      </w:r>
    </w:p>
    <w:p w14:paraId="029A9657">
      <w:pPr>
        <w:pStyle w:val="2"/>
        <w:spacing w:line="360" w:lineRule="auto"/>
        <w:ind w:firstLine="480" w:firstLineChars="200"/>
        <w:rPr>
          <w:rFonts w:ascii="宋体" w:hAnsi="宋体"/>
          <w:color w:val="auto"/>
          <w:highlight w:val="none"/>
        </w:rPr>
      </w:pPr>
      <w:r>
        <w:rPr>
          <w:rFonts w:hint="eastAsia" w:ascii="宋体" w:hAnsi="宋体"/>
          <w:color w:val="auto"/>
          <w:highlight w:val="none"/>
        </w:rPr>
        <w:t>乙方应在定标后7日内交纳合同履约保证金</w:t>
      </w:r>
      <w:r>
        <w:rPr>
          <w:rFonts w:hint="eastAsia" w:ascii="宋体" w:hAnsi="宋体"/>
          <w:color w:val="auto"/>
          <w:highlight w:val="none"/>
          <w:lang w:val="en-US" w:eastAsia="zh-CN"/>
        </w:rPr>
        <w:t xml:space="preserve">  </w:t>
      </w:r>
      <w:r>
        <w:rPr>
          <w:rFonts w:hint="eastAsia" w:ascii="宋体" w:hAnsi="宋体"/>
          <w:color w:val="auto"/>
          <w:highlight w:val="none"/>
        </w:rPr>
        <w:t>万（大写：</w:t>
      </w:r>
      <w:r>
        <w:rPr>
          <w:rFonts w:hint="eastAsia" w:ascii="宋体" w:hAnsi="宋体"/>
          <w:color w:val="auto"/>
          <w:highlight w:val="none"/>
          <w:lang w:val="en-US" w:eastAsia="zh-CN"/>
        </w:rPr>
        <w:t xml:space="preserve">  </w:t>
      </w:r>
      <w:r>
        <w:rPr>
          <w:rFonts w:hint="eastAsia" w:ascii="宋体" w:hAnsi="宋体"/>
          <w:color w:val="auto"/>
          <w:highlight w:val="none"/>
        </w:rPr>
        <w:t>万元整），合同期满后，甲方将保证金还给乙方，不计利息。</w:t>
      </w:r>
    </w:p>
    <w:p w14:paraId="7D4F2937">
      <w:pPr>
        <w:spacing w:line="480" w:lineRule="auto"/>
        <w:ind w:firstLine="480" w:firstLineChars="200"/>
        <w:rPr>
          <w:rFonts w:ascii="宋体" w:hAnsi="宋体"/>
          <w:color w:val="auto"/>
          <w:highlight w:val="none"/>
        </w:rPr>
      </w:pPr>
      <w:r>
        <w:rPr>
          <w:rFonts w:hint="eastAsia" w:ascii="宋体" w:hAnsi="宋体"/>
          <w:color w:val="auto"/>
          <w:highlight w:val="none"/>
        </w:rPr>
        <w:t>2、合同范围和条件</w:t>
      </w:r>
    </w:p>
    <w:p w14:paraId="2FC7AEE9">
      <w:pPr>
        <w:spacing w:line="480" w:lineRule="auto"/>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本合同的范围和条件应与上述规定的合同文件内容一致。</w:t>
      </w:r>
    </w:p>
    <w:p w14:paraId="7A9C43A9">
      <w:pPr>
        <w:widowControl/>
        <w:adjustRightInd w:val="0"/>
        <w:spacing w:line="360" w:lineRule="auto"/>
        <w:ind w:firstLine="482" w:firstLineChars="200"/>
        <w:jc w:val="left"/>
        <w:textAlignment w:val="baseline"/>
        <w:rPr>
          <w:rFonts w:asciiTheme="minorEastAsia" w:hAnsiTheme="minorEastAsia" w:eastAsiaTheme="minorEastAsia"/>
          <w:b/>
          <w:bCs/>
          <w:color w:val="auto"/>
          <w:highlight w:val="none"/>
        </w:rPr>
      </w:pPr>
      <w:r>
        <w:rPr>
          <w:rFonts w:hint="eastAsia" w:ascii="宋体" w:hAnsi="宋体"/>
          <w:b/>
          <w:bCs/>
          <w:color w:val="auto"/>
          <w:highlight w:val="none"/>
        </w:rPr>
        <w:t>3、</w:t>
      </w:r>
      <w:r>
        <w:rPr>
          <w:rFonts w:hint="eastAsia"/>
          <w:color w:val="auto"/>
          <w:highlight w:val="none"/>
        </w:rPr>
        <w:t>石膏销售</w:t>
      </w:r>
      <w:r>
        <w:rPr>
          <w:rFonts w:hint="eastAsia"/>
          <w:color w:val="auto"/>
          <w:highlight w:val="none"/>
          <w:lang w:eastAsia="zh-CN"/>
        </w:rPr>
        <w:t>及处置</w:t>
      </w:r>
      <w:r>
        <w:rPr>
          <w:rFonts w:hint="eastAsia"/>
          <w:color w:val="auto"/>
          <w:highlight w:val="none"/>
        </w:rPr>
        <w:t>价</w:t>
      </w:r>
      <w:r>
        <w:rPr>
          <w:rFonts w:hint="eastAsia"/>
          <w:color w:val="auto"/>
          <w:highlight w:val="none"/>
          <w:lang w:val="en-US" w:eastAsia="zh-CN"/>
        </w:rPr>
        <w:t>45元</w:t>
      </w:r>
      <w:r>
        <w:rPr>
          <w:rFonts w:hint="eastAsia"/>
          <w:color w:val="auto"/>
          <w:highlight w:val="none"/>
        </w:rPr>
        <w:t>/吨(含增值税)(</w:t>
      </w:r>
      <w:r>
        <w:rPr>
          <w:rFonts w:hint="eastAsia"/>
          <w:color w:val="auto"/>
          <w:highlight w:val="none"/>
          <w:lang w:eastAsia="zh-CN"/>
        </w:rPr>
        <w:t>发</w:t>
      </w:r>
      <w:r>
        <w:rPr>
          <w:rFonts w:hint="eastAsia"/>
          <w:color w:val="auto"/>
          <w:highlight w:val="none"/>
        </w:rPr>
        <w:t>包人支付)</w:t>
      </w:r>
      <w:r>
        <w:rPr>
          <w:rFonts w:hint="eastAsia"/>
          <w:color w:val="auto"/>
          <w:highlight w:val="none"/>
          <w:lang w:eastAsia="zh-CN"/>
        </w:rPr>
        <w:t>；</w:t>
      </w:r>
      <w:r>
        <w:rPr>
          <w:rFonts w:hint="eastAsia"/>
          <w:color w:val="auto"/>
          <w:highlight w:val="none"/>
          <w:lang w:eastAsia="zh-CN"/>
        </w:rPr>
        <w:t>干炉渣</w:t>
      </w:r>
      <w:r>
        <w:rPr>
          <w:rFonts w:hint="eastAsia"/>
          <w:color w:val="auto"/>
          <w:highlight w:val="none"/>
        </w:rPr>
        <w:t>销售</w:t>
      </w:r>
      <w:r>
        <w:rPr>
          <w:rFonts w:hint="eastAsia"/>
          <w:color w:val="auto"/>
          <w:highlight w:val="none"/>
          <w:lang w:eastAsia="zh-CN"/>
        </w:rPr>
        <w:t>及处置</w:t>
      </w:r>
      <w:r>
        <w:rPr>
          <w:rFonts w:hint="eastAsia"/>
          <w:color w:val="auto"/>
          <w:highlight w:val="none"/>
        </w:rPr>
        <w:t>价</w:t>
      </w:r>
      <w:r>
        <w:rPr>
          <w:rFonts w:hint="eastAsia"/>
          <w:color w:val="auto"/>
          <w:highlight w:val="none"/>
          <w:lang w:val="en-US" w:eastAsia="zh-CN"/>
        </w:rPr>
        <w:t>5元</w:t>
      </w:r>
      <w:r>
        <w:rPr>
          <w:rFonts w:hint="eastAsia"/>
          <w:color w:val="auto"/>
          <w:highlight w:val="none"/>
        </w:rPr>
        <w:t>/吨(含增值税)(</w:t>
      </w:r>
      <w:r>
        <w:rPr>
          <w:rFonts w:hint="eastAsia"/>
          <w:color w:val="auto"/>
          <w:highlight w:val="none"/>
          <w:lang w:eastAsia="zh-CN"/>
        </w:rPr>
        <w:t>承</w:t>
      </w:r>
      <w:r>
        <w:rPr>
          <w:rFonts w:hint="eastAsia"/>
          <w:color w:val="auto"/>
          <w:highlight w:val="none"/>
        </w:rPr>
        <w:t>包人支付)</w:t>
      </w:r>
      <w:r>
        <w:rPr>
          <w:rFonts w:hint="eastAsia"/>
          <w:color w:val="auto"/>
          <w:highlight w:val="none"/>
          <w:lang w:eastAsia="zh-CN"/>
        </w:rPr>
        <w:t>；湿炉渣</w:t>
      </w:r>
      <w:r>
        <w:rPr>
          <w:rFonts w:hint="eastAsia"/>
          <w:color w:val="auto"/>
          <w:highlight w:val="none"/>
        </w:rPr>
        <w:t>销售</w:t>
      </w:r>
      <w:r>
        <w:rPr>
          <w:rFonts w:hint="eastAsia"/>
          <w:color w:val="auto"/>
          <w:highlight w:val="none"/>
          <w:lang w:eastAsia="zh-CN"/>
        </w:rPr>
        <w:t>及处置</w:t>
      </w:r>
      <w:r>
        <w:rPr>
          <w:rFonts w:hint="eastAsia"/>
          <w:color w:val="auto"/>
          <w:highlight w:val="none"/>
        </w:rPr>
        <w:t>价</w:t>
      </w:r>
      <w:r>
        <w:rPr>
          <w:rFonts w:hint="eastAsia"/>
          <w:color w:val="auto"/>
          <w:highlight w:val="none"/>
          <w:lang w:val="en-US" w:eastAsia="zh-CN"/>
        </w:rPr>
        <w:t>1元</w:t>
      </w:r>
      <w:r>
        <w:rPr>
          <w:rFonts w:hint="eastAsia"/>
          <w:color w:val="auto"/>
          <w:highlight w:val="none"/>
        </w:rPr>
        <w:t>/吨(含增值税)(</w:t>
      </w:r>
      <w:r>
        <w:rPr>
          <w:rFonts w:hint="eastAsia"/>
          <w:color w:val="auto"/>
          <w:highlight w:val="none"/>
          <w:lang w:eastAsia="zh-CN"/>
        </w:rPr>
        <w:t>承</w:t>
      </w:r>
      <w:r>
        <w:rPr>
          <w:rFonts w:hint="eastAsia"/>
          <w:color w:val="auto"/>
          <w:highlight w:val="none"/>
        </w:rPr>
        <w:t>包人支付)</w:t>
      </w:r>
      <w:r>
        <w:rPr>
          <w:rFonts w:hint="eastAsia"/>
          <w:color w:val="auto"/>
          <w:highlight w:val="none"/>
          <w:lang w:eastAsia="zh-CN"/>
        </w:rPr>
        <w:t>；</w:t>
      </w:r>
      <w:r>
        <w:rPr>
          <w:rFonts w:hint="eastAsia" w:ascii="宋体" w:hAnsi="宋体"/>
          <w:color w:val="auto"/>
          <w:highlight w:val="none"/>
        </w:rPr>
        <w:t>。</w:t>
      </w:r>
      <w:r>
        <w:rPr>
          <w:rFonts w:hint="eastAsia" w:asciiTheme="minorEastAsia" w:hAnsiTheme="minorEastAsia" w:eastAsiaTheme="minorEastAsia"/>
          <w:color w:val="auto"/>
          <w:kern w:val="21"/>
          <w:highlight w:val="none"/>
        </w:rPr>
        <w:t>本合同不含税价格不因国家税率变化而变化，在合同履行期间，如遇国家的税率调整，则价税合计的价格相应调整，以开具发票的时间为准。</w:t>
      </w:r>
    </w:p>
    <w:p w14:paraId="6B2EC875">
      <w:pPr>
        <w:adjustRightInd w:val="0"/>
        <w:snapToGrid w:val="0"/>
        <w:spacing w:line="360" w:lineRule="auto"/>
        <w:ind w:firstLine="361" w:firstLineChars="150"/>
        <w:rPr>
          <w:rFonts w:ascii="宋体" w:hAnsi="宋体"/>
          <w:b/>
          <w:bCs/>
          <w:color w:val="auto"/>
          <w:highlight w:val="none"/>
        </w:rPr>
      </w:pPr>
      <w:r>
        <w:rPr>
          <w:rFonts w:hint="eastAsia" w:ascii="宋体" w:hAnsi="宋体"/>
          <w:b/>
          <w:bCs/>
          <w:color w:val="auto"/>
          <w:highlight w:val="none"/>
        </w:rPr>
        <w:t>4、付款方式：</w:t>
      </w:r>
    </w:p>
    <w:p w14:paraId="22CCD7F7">
      <w:pPr>
        <w:pStyle w:val="2"/>
        <w:spacing w:after="0" w:line="360" w:lineRule="auto"/>
        <w:ind w:firstLine="480" w:firstLineChars="200"/>
        <w:rPr>
          <w:rFonts w:ascii="宋体" w:hAnsi="宋体"/>
          <w:color w:val="auto"/>
          <w:highlight w:val="none"/>
        </w:rPr>
      </w:pPr>
      <w:r>
        <w:rPr>
          <w:rFonts w:hint="eastAsia" w:ascii="宋体" w:hAnsi="宋体"/>
          <w:color w:val="auto"/>
          <w:highlight w:val="none"/>
        </w:rPr>
        <w:t>4.1 对费用的计价和结算</w:t>
      </w:r>
    </w:p>
    <w:p w14:paraId="3F0F7042">
      <w:pPr>
        <w:pStyle w:val="2"/>
        <w:spacing w:after="0" w:line="360" w:lineRule="auto"/>
        <w:ind w:firstLine="480" w:firstLineChars="200"/>
        <w:rPr>
          <w:rFonts w:ascii="宋体" w:hAnsi="宋体"/>
          <w:bCs/>
          <w:color w:val="auto"/>
          <w:highlight w:val="none"/>
        </w:rPr>
      </w:pPr>
      <w:r>
        <w:rPr>
          <w:rFonts w:hint="eastAsia" w:ascii="宋体" w:hAnsi="宋体"/>
          <w:bCs/>
          <w:color w:val="auto"/>
          <w:highlight w:val="none"/>
        </w:rPr>
        <w:t>4.1.1 详见合同结算内容。</w:t>
      </w:r>
    </w:p>
    <w:p w14:paraId="705CC046">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4.2 货款支付</w:t>
      </w:r>
    </w:p>
    <w:p w14:paraId="751CDDB6">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4.2.1</w:t>
      </w:r>
      <w:r>
        <w:rPr>
          <w:rFonts w:hint="eastAsia" w:ascii="宋体" w:hAnsi="宋体" w:cs="宋体"/>
          <w:color w:val="auto"/>
          <w:highlight w:val="none"/>
        </w:rPr>
        <w:t>本合同期内采取</w:t>
      </w:r>
      <w:r>
        <w:rPr>
          <w:rFonts w:hint="eastAsia" w:ascii="宋体" w:hAnsi="宋体" w:cs="宋体"/>
          <w:color w:val="auto"/>
          <w:highlight w:val="none"/>
          <w:lang w:eastAsia="zh-CN"/>
        </w:rPr>
        <w:t>季度</w:t>
      </w:r>
      <w:r>
        <w:rPr>
          <w:rFonts w:hint="eastAsia" w:ascii="宋体" w:hAnsi="宋体" w:cs="宋体"/>
          <w:color w:val="auto"/>
          <w:highlight w:val="none"/>
        </w:rPr>
        <w:t>结算方式。</w:t>
      </w:r>
    </w:p>
    <w:p w14:paraId="3C2EC9BB">
      <w:pPr>
        <w:spacing w:line="360" w:lineRule="auto"/>
        <w:ind w:firstLine="480" w:firstLineChars="200"/>
        <w:rPr>
          <w:rFonts w:hint="default" w:ascii="宋体" w:hAnsi="宋体"/>
          <w:color w:val="auto"/>
          <w:sz w:val="24"/>
          <w:highlight w:val="none"/>
          <w:lang w:val="en-US" w:eastAsia="zh-CN"/>
        </w:rPr>
      </w:pPr>
      <w:r>
        <w:rPr>
          <w:rFonts w:hint="eastAsia" w:ascii="宋体" w:hAnsi="宋体" w:cs="宋体"/>
          <w:color w:val="auto"/>
          <w:highlight w:val="none"/>
        </w:rPr>
        <w:t>4.2.</w:t>
      </w:r>
      <w:r>
        <w:rPr>
          <w:rFonts w:hint="eastAsia" w:ascii="宋体" w:hAnsi="宋体" w:cs="宋体"/>
          <w:color w:val="auto"/>
          <w:highlight w:val="none"/>
        </w:rPr>
        <w:t>2本合同期内</w:t>
      </w:r>
      <w:r>
        <w:rPr>
          <w:rFonts w:hint="eastAsia" w:ascii="宋体" w:hAnsi="宋体" w:cs="宋体"/>
          <w:color w:val="auto"/>
          <w:highlight w:val="none"/>
          <w:lang w:eastAsia="zh-CN"/>
        </w:rPr>
        <w:t>按季度</w:t>
      </w:r>
      <w:r>
        <w:rPr>
          <w:rFonts w:hint="eastAsia" w:ascii="宋体" w:hAnsi="宋体" w:cs="宋体"/>
          <w:color w:val="auto"/>
          <w:highlight w:val="none"/>
        </w:rPr>
        <w:t>办理结算，每</w:t>
      </w:r>
      <w:r>
        <w:rPr>
          <w:rFonts w:hint="eastAsia" w:ascii="宋体" w:hAnsi="宋体" w:cs="宋体"/>
          <w:color w:val="auto"/>
          <w:highlight w:val="none"/>
          <w:lang w:eastAsia="zh-CN"/>
        </w:rPr>
        <w:t>季度最后一个</w:t>
      </w:r>
      <w:r>
        <w:rPr>
          <w:rFonts w:hint="eastAsia" w:ascii="宋体" w:hAnsi="宋体" w:cs="宋体"/>
          <w:color w:val="auto"/>
          <w:highlight w:val="none"/>
        </w:rPr>
        <w:t>月</w:t>
      </w:r>
      <w:r>
        <w:rPr>
          <w:rFonts w:hint="eastAsia" w:ascii="宋体" w:hAnsi="宋体" w:cs="宋体"/>
          <w:color w:val="auto"/>
          <w:highlight w:val="none"/>
          <w:lang w:val="en-US" w:eastAsia="zh-CN"/>
        </w:rPr>
        <w:t>末</w:t>
      </w:r>
      <w:r>
        <w:rPr>
          <w:rFonts w:hint="eastAsia" w:ascii="宋体" w:hAnsi="宋体" w:cs="宋体"/>
          <w:color w:val="auto"/>
          <w:highlight w:val="none"/>
        </w:rPr>
        <w:t>日为结算截止日，结算完毕后</w:t>
      </w:r>
      <w:r>
        <w:rPr>
          <w:rFonts w:hint="eastAsia" w:ascii="宋体" w:hAnsi="宋体" w:cs="宋体"/>
          <w:color w:val="auto"/>
          <w:highlight w:val="none"/>
          <w:lang w:eastAsia="zh-CN"/>
        </w:rPr>
        <w:t>次月</w:t>
      </w:r>
      <w:r>
        <w:rPr>
          <w:rFonts w:hint="eastAsia" w:ascii="宋体" w:hAnsi="宋体" w:cs="宋体"/>
          <w:color w:val="auto"/>
          <w:highlight w:val="none"/>
        </w:rPr>
        <w:t>办理付款。</w:t>
      </w:r>
      <w:r>
        <w:rPr>
          <w:rFonts w:hint="eastAsia" w:ascii="宋体" w:hAnsi="宋体"/>
          <w:color w:val="auto"/>
          <w:sz w:val="24"/>
          <w:highlight w:val="none"/>
          <w:lang w:val="en-US" w:eastAsia="zh-CN"/>
        </w:rPr>
        <w:t>结算时需提供终端用户盖章的石膏、炉渣使用证明文件。</w:t>
      </w:r>
    </w:p>
    <w:p w14:paraId="56E2C2CF">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4.2.3 发包人凭经各方签字确认的计量单与承包人办清结算（数量以</w:t>
      </w:r>
      <w:r>
        <w:rPr>
          <w:rFonts w:hint="eastAsia" w:ascii="宋体" w:hAnsi="宋体" w:cs="宋体"/>
          <w:color w:val="auto"/>
          <w:highlight w:val="none"/>
          <w:lang w:eastAsia="zh-CN"/>
        </w:rPr>
        <w:t>水泥厂</w:t>
      </w:r>
      <w:r>
        <w:rPr>
          <w:rFonts w:hint="eastAsia" w:ascii="宋体" w:hAnsi="宋体" w:cs="宋体"/>
          <w:color w:val="auto"/>
          <w:highlight w:val="none"/>
        </w:rPr>
        <w:t>过磅单为准</w:t>
      </w:r>
      <w:r>
        <w:rPr>
          <w:rFonts w:hint="eastAsia" w:ascii="宋体" w:hAnsi="宋体" w:cs="宋体"/>
          <w:color w:val="auto"/>
          <w:highlight w:val="none"/>
          <w:lang w:eastAsia="zh-CN"/>
        </w:rPr>
        <w:t>），当水泥厂</w:t>
      </w:r>
      <w:r>
        <w:rPr>
          <w:rFonts w:hint="eastAsia" w:ascii="宋体" w:hAnsi="宋体" w:cs="宋体"/>
          <w:color w:val="auto"/>
          <w:highlight w:val="none"/>
        </w:rPr>
        <w:t>过磅单</w:t>
      </w:r>
      <w:r>
        <w:rPr>
          <w:rFonts w:hint="eastAsia" w:ascii="宋体" w:hAnsi="宋体" w:cs="宋体"/>
          <w:color w:val="auto"/>
          <w:highlight w:val="none"/>
          <w:lang w:eastAsia="zh-CN"/>
        </w:rPr>
        <w:t>量大于发包人</w:t>
      </w:r>
      <w:r>
        <w:rPr>
          <w:rFonts w:hint="eastAsia" w:ascii="宋体" w:hAnsi="宋体" w:cs="宋体"/>
          <w:color w:val="auto"/>
          <w:highlight w:val="none"/>
        </w:rPr>
        <w:t>过磅单</w:t>
      </w:r>
      <w:r>
        <w:rPr>
          <w:rFonts w:hint="eastAsia" w:ascii="宋体" w:hAnsi="宋体" w:cs="宋体"/>
          <w:color w:val="auto"/>
          <w:highlight w:val="none"/>
          <w:lang w:eastAsia="zh-CN"/>
        </w:rPr>
        <w:t>量时以发包人</w:t>
      </w:r>
      <w:r>
        <w:rPr>
          <w:rFonts w:hint="eastAsia" w:ascii="宋体" w:hAnsi="宋体" w:cs="宋体"/>
          <w:color w:val="auto"/>
          <w:highlight w:val="none"/>
        </w:rPr>
        <w:t>过磅单</w:t>
      </w:r>
      <w:r>
        <w:rPr>
          <w:rFonts w:hint="eastAsia" w:ascii="宋体" w:hAnsi="宋体" w:cs="宋体"/>
          <w:color w:val="auto"/>
          <w:highlight w:val="none"/>
          <w:lang w:eastAsia="zh-CN"/>
        </w:rPr>
        <w:t>量为准</w:t>
      </w:r>
      <w:r>
        <w:rPr>
          <w:rFonts w:hint="eastAsia" w:ascii="宋体" w:hAnsi="宋体" w:cs="宋体"/>
          <w:color w:val="auto"/>
          <w:highlight w:val="none"/>
        </w:rPr>
        <w:t>。</w:t>
      </w:r>
    </w:p>
    <w:p w14:paraId="6177E21F">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 发包人的义务</w:t>
      </w:r>
    </w:p>
    <w:p w14:paraId="412BC3AB">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5.1 发包人要保证使承包人及其工作人员有权进入为有效执行服务而需要进入的全部地点和现场（即：</w:t>
      </w:r>
      <w:r>
        <w:rPr>
          <w:rFonts w:hint="eastAsia" w:ascii="宋体" w:hAnsi="宋体" w:cs="宋体"/>
          <w:color w:val="auto"/>
          <w:highlight w:val="none"/>
        </w:rPr>
        <w:t>放脱硫石膏及</w:t>
      </w:r>
      <w:r>
        <w:rPr>
          <w:rFonts w:hint="eastAsia" w:ascii="宋体" w:hAnsi="宋体" w:cs="宋体"/>
          <w:color w:val="auto"/>
          <w:highlight w:val="none"/>
          <w:lang w:eastAsia="zh-CN"/>
        </w:rPr>
        <w:t>炉渣</w:t>
      </w:r>
      <w:r>
        <w:rPr>
          <w:rFonts w:hint="eastAsia" w:ascii="宋体" w:hAnsi="宋体" w:cs="宋体"/>
          <w:color w:val="auto"/>
          <w:highlight w:val="none"/>
        </w:rPr>
        <w:t>装载点</w:t>
      </w:r>
      <w:r>
        <w:rPr>
          <w:rFonts w:hint="eastAsia" w:ascii="宋体" w:hAnsi="宋体" w:cs="宋体"/>
          <w:color w:val="auto"/>
          <w:highlight w:val="none"/>
        </w:rPr>
        <w:t>），但承包人和其工作人员必须满足所规定的安全要求。承包人对这样的场所或财产由于此进入而造成的任何损失将负责任（非承包人或其工作人员的有意过失或疏忽原因除外）</w:t>
      </w:r>
    </w:p>
    <w:p w14:paraId="4A19A57C">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5.2发包人需用脱硫石膏</w:t>
      </w:r>
      <w:r>
        <w:rPr>
          <w:rFonts w:hint="eastAsia" w:ascii="宋体" w:hAnsi="宋体" w:cs="宋体"/>
          <w:color w:val="auto"/>
          <w:highlight w:val="none"/>
          <w:lang w:eastAsia="zh-CN"/>
        </w:rPr>
        <w:t>、</w:t>
      </w:r>
      <w:r>
        <w:rPr>
          <w:rFonts w:hint="eastAsia" w:ascii="宋体" w:hAnsi="宋体" w:cs="宋体"/>
          <w:color w:val="auto"/>
          <w:highlight w:val="none"/>
          <w:lang w:eastAsia="zh-CN"/>
        </w:rPr>
        <w:t>炉渣</w:t>
      </w:r>
      <w:r>
        <w:rPr>
          <w:rFonts w:hint="eastAsia" w:ascii="宋体" w:hAnsi="宋体" w:cs="宋体"/>
          <w:color w:val="auto"/>
          <w:highlight w:val="none"/>
        </w:rPr>
        <w:t>的，承包人应无条件支持，结算时不计入发包人所使用的脱硫石膏</w:t>
      </w:r>
      <w:r>
        <w:rPr>
          <w:rFonts w:hint="eastAsia" w:ascii="宋体" w:hAnsi="宋体" w:cs="宋体"/>
          <w:color w:val="auto"/>
          <w:highlight w:val="none"/>
          <w:lang w:eastAsia="zh-CN"/>
        </w:rPr>
        <w:t>、</w:t>
      </w:r>
      <w:r>
        <w:rPr>
          <w:rFonts w:hint="eastAsia" w:ascii="宋体" w:hAnsi="宋体" w:cs="宋体"/>
          <w:color w:val="auto"/>
          <w:highlight w:val="none"/>
          <w:lang w:eastAsia="zh-CN"/>
        </w:rPr>
        <w:t>炉渣</w:t>
      </w:r>
      <w:r>
        <w:rPr>
          <w:rFonts w:hint="eastAsia" w:ascii="宋体" w:hAnsi="宋体" w:cs="宋体"/>
          <w:color w:val="auto"/>
          <w:highlight w:val="none"/>
        </w:rPr>
        <w:t>。</w:t>
      </w:r>
    </w:p>
    <w:p w14:paraId="664AD34F">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 承包人的义务</w:t>
      </w:r>
    </w:p>
    <w:p w14:paraId="6FB5F1B5">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6.1  承包人的责任</w:t>
      </w:r>
    </w:p>
    <w:p w14:paraId="054824C3">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（1）接受对本合同项下要执行服务的全部责任，以正确的判断和最高的职业、技术和质量标准，遵照所有有关法律和规定提供服务。</w:t>
      </w:r>
    </w:p>
    <w:p w14:paraId="33D07560">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（2）承包人应依照并严格遵守任何关于其雇用的所有人员健康和安全、最低工资、工人福利、劳动时间、伤亡补偿的法律以及环境卫生、税赋和其他法律。</w:t>
      </w:r>
    </w:p>
    <w:p w14:paraId="52903BA8">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（3）承包人应对其所提供的服务质量负责。任何因承包人原因，导致发包人正常生产、环境卫生、工作秩序受到影响，发包人追究承包人的责任，直到解除承包人的合同。</w:t>
      </w:r>
    </w:p>
    <w:p w14:paraId="2C9DAB22">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的装卸、运输（含转运）车辆必须保持良好的车况，因承包人原因造成其设备、人身（伤亡）安全事故，由承包人承担全部责任，与发包人无关；因销售服务方原因影响采购人正常生产或造成发包人财产和人员（含承担发包人其他服务或劳务的人员）的伤亡损失的，由承包人承担相应责任。</w:t>
      </w:r>
    </w:p>
    <w:p w14:paraId="505D0187">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（5）承包人解决好石膏的转运、堆放场地，不得将石膏堆放在发包人厂区内任何地方。</w:t>
      </w:r>
    </w:p>
    <w:p w14:paraId="436C6A06">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（6）承包人在石膏销售过程中，发生石膏质量引发的一切责任问题，由承包人承担全部责任。凡因承包人原因造成发包人石膏信誉受损的，经查实，将追究承包人法律责任,同时发包人有权随时终止本合同。</w:t>
      </w:r>
    </w:p>
    <w:p w14:paraId="008DFB34">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因承包人责任引起的与当地政府或群众纠纷，由承包人负责协调处理，承担由此发生的一切费用。因承包人不执行承诺和合同约定，致使发包人受地方环保、城管、交警等部门罚款的，该罚款及其他处罚由承包人负责。</w:t>
      </w:r>
    </w:p>
    <w:p w14:paraId="69527ACE">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（8）若承包人因市场行情变化等提出调价诉求，发包人不受理，所产生的一切后果由承包人承担全部责任。若承包人主动解约，除弥补给发包人带来的损失外，发包人将追究其全部的法律责任。</w:t>
      </w:r>
    </w:p>
    <w:p w14:paraId="238CF827">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6.2  转让、转包</w:t>
      </w:r>
    </w:p>
    <w:p w14:paraId="7E95FC1F">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除经甲方书面批准的情况外，乙方不得将在本合同项下要执行的服务转让、转包或违法分包给其他任何人或公司，否则甲方有权单方解除合同。</w:t>
      </w:r>
    </w:p>
    <w:p w14:paraId="420D0C24">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6.3 保密</w:t>
      </w:r>
    </w:p>
    <w:p w14:paraId="3C3B86E3">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除事先经甲方书面同意外，乙方及其工作人员不得在任何时间将为服务的目的而透露给他们的任何信息告诉给任何人或单位；不得公开在服务过程中所产生的或作为服务结果的任何信息或者使用这样的信息于执行服务以外的任何其他目的。</w:t>
      </w:r>
    </w:p>
    <w:p w14:paraId="56BC80CD">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6.4 其他责任</w:t>
      </w:r>
    </w:p>
    <w:p w14:paraId="2E0B400B">
      <w:pPr>
        <w:pStyle w:val="2"/>
        <w:spacing w:line="360" w:lineRule="auto"/>
        <w:ind w:firstLine="480" w:firstLineChars="200"/>
        <w:rPr>
          <w:rFonts w:ascii="宋体" w:hAnsi="宋体" w:cs="宋体"/>
          <w:color w:val="auto"/>
          <w:highlight w:val="none"/>
        </w:rPr>
      </w:pPr>
      <w:r>
        <w:rPr>
          <w:rFonts w:hint="eastAsia" w:ascii="宋体" w:hAnsi="宋体" w:cs="宋体"/>
          <w:color w:val="auto"/>
          <w:highlight w:val="none"/>
        </w:rPr>
        <w:t>因乙方不执行承诺和合同约定，致使甲方受地方环保、城管、交警等部门罚款的，该罚款及其他处罚由乙方负责。</w:t>
      </w:r>
    </w:p>
    <w:p w14:paraId="6ADB6797">
      <w:pPr>
        <w:spacing w:line="480" w:lineRule="auto"/>
        <w:ind w:firstLine="482" w:firstLineChars="200"/>
        <w:rPr>
          <w:rFonts w:ascii="宋体" w:hAnsi="宋体"/>
          <w:b/>
          <w:bCs/>
          <w:color w:val="auto"/>
          <w:highlight w:val="none"/>
        </w:rPr>
      </w:pPr>
      <w:r>
        <w:rPr>
          <w:rFonts w:hint="eastAsia" w:ascii="宋体" w:hAnsi="宋体"/>
          <w:b/>
          <w:bCs/>
          <w:color w:val="auto"/>
          <w:highlight w:val="none"/>
        </w:rPr>
        <w:t>7、解除合同</w:t>
      </w:r>
    </w:p>
    <w:p w14:paraId="15C77EDE">
      <w:pPr>
        <w:spacing w:line="480" w:lineRule="auto"/>
        <w:ind w:firstLine="480" w:firstLineChars="200"/>
        <w:rPr>
          <w:rFonts w:ascii="宋体" w:hAnsi="宋体"/>
          <w:color w:val="auto"/>
          <w:highlight w:val="none"/>
        </w:rPr>
      </w:pPr>
      <w:r>
        <w:rPr>
          <w:rFonts w:hint="eastAsia" w:ascii="宋体" w:hAnsi="宋体"/>
          <w:color w:val="auto"/>
          <w:highlight w:val="none"/>
        </w:rPr>
        <w:t>乙方有下列情形之一者，甲方可以解除合同，其合同履约金不予退还</w:t>
      </w:r>
    </w:p>
    <w:p w14:paraId="5A980BA4">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7.1 </w:t>
      </w:r>
      <w:r>
        <w:rPr>
          <w:rFonts w:hint="eastAsia" w:ascii="宋体" w:hAnsi="宋体"/>
          <w:color w:val="auto"/>
          <w:highlight w:val="none"/>
        </w:rPr>
        <w:t>乙方应在接到甲方通知后，每天到达现场进行提货运输，在8小时内未到达现场的，甲方可委托他人进行运输，委托他人运输的费用由乙方承担。</w:t>
      </w:r>
      <w:r>
        <w:rPr>
          <w:rFonts w:hint="eastAsia" w:ascii="宋体" w:hAnsi="宋体" w:cs="宋体"/>
          <w:color w:val="auto"/>
          <w:highlight w:val="none"/>
        </w:rPr>
        <w:t>未经甲方许可，乙方连续2天不提货（运灰、渣）的，甲方有权单方解除合同。</w:t>
      </w:r>
    </w:p>
    <w:p w14:paraId="1ECD846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7.2若乙方响应时提供了虚假材料时，甲方有权单方面解除合同。</w:t>
      </w:r>
    </w:p>
    <w:p w14:paraId="4E2F1E8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7.3未经甲方书面批准，乙方将在本合同项下要执行的业务转让、转包或违法分包给其他任何人或公司，甲方有权单方解除合同。</w:t>
      </w:r>
    </w:p>
    <w:p w14:paraId="48AEE4F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7.4因乙方原因严重威胁电厂安全生产（例如：发生因甲方原因导致电厂石膏爆库真空皮带机不能运行），甲方有权单方解除合同。</w:t>
      </w:r>
    </w:p>
    <w:p w14:paraId="0CFAA17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7.5乙方拒不履行响应承诺及合同约定职责与义务的。</w:t>
      </w:r>
    </w:p>
    <w:p w14:paraId="66570A5E">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7.6由乙方主导发生的舞弊行为（损害甲方利益的各种行为），每发现一次考核乙方10万元，如合同期内发生2次则甲方可单方面终止合同。</w:t>
      </w:r>
    </w:p>
    <w:p w14:paraId="48D25B9F">
      <w:pPr>
        <w:pStyle w:val="27"/>
        <w:ind w:firstLine="480"/>
        <w:rPr>
          <w:color w:val="auto"/>
          <w:highlight w:val="none"/>
        </w:rPr>
      </w:pPr>
      <w:r>
        <w:rPr>
          <w:rFonts w:hint="eastAsia"/>
          <w:color w:val="auto"/>
          <w:highlight w:val="none"/>
        </w:rPr>
        <w:t>甲方有下列情形之一，乙方可以解除合同，并有权要求甲方双倍返还合同履约金；</w:t>
      </w:r>
    </w:p>
    <w:p w14:paraId="2408B5D3">
      <w:pPr>
        <w:pStyle w:val="27"/>
        <w:ind w:firstLine="480"/>
        <w:rPr>
          <w:color w:val="auto"/>
          <w:highlight w:val="none"/>
        </w:rPr>
      </w:pPr>
      <w:r>
        <w:rPr>
          <w:rFonts w:hint="eastAsia" w:ascii="宋体" w:hAnsi="宋体" w:cs="宋体"/>
          <w:color w:val="auto"/>
          <w:highlight w:val="none"/>
        </w:rPr>
        <w:t>7.7</w:t>
      </w:r>
      <w:r>
        <w:rPr>
          <w:color w:val="auto"/>
          <w:highlight w:val="none"/>
        </w:rPr>
        <w:t xml:space="preserve"> </w:t>
      </w:r>
      <w:r>
        <w:rPr>
          <w:rFonts w:hint="eastAsia"/>
          <w:color w:val="auto"/>
          <w:highlight w:val="none"/>
        </w:rPr>
        <w:t>甲方供应的石膏不符合合同约定质量标准，经乙方通知，仍未整改的；</w:t>
      </w:r>
    </w:p>
    <w:p w14:paraId="0A11B715">
      <w:pPr>
        <w:pStyle w:val="27"/>
        <w:ind w:firstLine="480"/>
        <w:rPr>
          <w:color w:val="auto"/>
          <w:highlight w:val="none"/>
        </w:rPr>
      </w:pPr>
      <w:r>
        <w:rPr>
          <w:rFonts w:hint="eastAsia" w:ascii="宋体" w:hAnsi="宋体" w:cs="宋体"/>
          <w:color w:val="auto"/>
          <w:highlight w:val="none"/>
        </w:rPr>
        <w:t>7.8</w:t>
      </w:r>
      <w:r>
        <w:rPr>
          <w:color w:val="auto"/>
          <w:highlight w:val="none"/>
        </w:rPr>
        <w:t xml:space="preserve"> </w:t>
      </w:r>
      <w:r>
        <w:rPr>
          <w:rFonts w:hint="eastAsia"/>
          <w:color w:val="auto"/>
          <w:highlight w:val="none"/>
        </w:rPr>
        <w:t>甲方无故阻止乙方提货的；</w:t>
      </w:r>
      <w:r>
        <w:rPr>
          <w:color w:val="auto"/>
          <w:highlight w:val="none"/>
        </w:rPr>
        <w:t xml:space="preserve"> </w:t>
      </w:r>
    </w:p>
    <w:p w14:paraId="070646B9">
      <w:pPr>
        <w:pStyle w:val="27"/>
        <w:ind w:firstLine="480"/>
        <w:rPr>
          <w:color w:val="auto"/>
          <w:highlight w:val="none"/>
        </w:rPr>
      </w:pPr>
      <w:r>
        <w:rPr>
          <w:rFonts w:hint="eastAsia" w:ascii="宋体" w:hAnsi="宋体" w:cs="宋体"/>
          <w:color w:val="auto"/>
          <w:highlight w:val="none"/>
        </w:rPr>
        <w:t>7.9</w:t>
      </w:r>
      <w:r>
        <w:rPr>
          <w:rFonts w:hint="eastAsia"/>
          <w:color w:val="auto"/>
          <w:highlight w:val="none"/>
        </w:rPr>
        <w:t>未经乙方书面同意，将合同约定货物擅自处置或单方向任何第三人提供的，包括但不限于对第三人销售、转借、转赠。</w:t>
      </w:r>
    </w:p>
    <w:p w14:paraId="4F89807F">
      <w:pPr>
        <w:pStyle w:val="27"/>
        <w:ind w:firstLine="480"/>
        <w:rPr>
          <w:color w:val="auto"/>
          <w:highlight w:val="none"/>
        </w:rPr>
      </w:pPr>
      <w:r>
        <w:rPr>
          <w:rFonts w:hint="eastAsia" w:ascii="宋体" w:hAnsi="宋体" w:cs="宋体"/>
          <w:color w:val="auto"/>
          <w:highlight w:val="none"/>
        </w:rPr>
        <w:t>7.10</w:t>
      </w:r>
      <w:r>
        <w:rPr>
          <w:rFonts w:hint="eastAsia"/>
          <w:color w:val="auto"/>
          <w:highlight w:val="none"/>
        </w:rPr>
        <w:t>甲方拒不履行合同约定职责与义务的</w:t>
      </w:r>
    </w:p>
    <w:p w14:paraId="5B02D06A">
      <w:pPr>
        <w:spacing w:line="360" w:lineRule="auto"/>
        <w:ind w:firstLine="480" w:firstLineChars="200"/>
        <w:jc w:val="left"/>
        <w:rPr>
          <w:color w:val="auto"/>
          <w:highlight w:val="none"/>
        </w:rPr>
      </w:pPr>
      <w:r>
        <w:rPr>
          <w:rFonts w:hint="eastAsia" w:ascii="宋体" w:hAnsi="宋体" w:cs="宋体"/>
          <w:color w:val="auto"/>
          <w:highlight w:val="none"/>
        </w:rPr>
        <w:t>7.11</w:t>
      </w:r>
      <w:r>
        <w:rPr>
          <w:rFonts w:hint="eastAsia"/>
          <w:color w:val="auto"/>
          <w:highlight w:val="none"/>
        </w:rPr>
        <w:t>由甲方主导发生的舞弊行为（损害乙方利益的各种行为），每发现一次，甲方按1</w:t>
      </w:r>
      <w:r>
        <w:rPr>
          <w:color w:val="auto"/>
          <w:highlight w:val="none"/>
        </w:rPr>
        <w:t>0</w:t>
      </w:r>
      <w:r>
        <w:rPr>
          <w:rFonts w:hint="eastAsia"/>
          <w:color w:val="auto"/>
          <w:highlight w:val="none"/>
        </w:rPr>
        <w:t>万元标准支付违约金，如合同期内发生2次则乙方可单方面终止合同。</w:t>
      </w:r>
    </w:p>
    <w:p w14:paraId="1D691E31">
      <w:pPr>
        <w:spacing w:line="360" w:lineRule="auto"/>
        <w:ind w:firstLine="480" w:firstLineChars="200"/>
        <w:jc w:val="left"/>
        <w:rPr>
          <w:rFonts w:ascii="宋体"/>
          <w:color w:val="auto"/>
          <w:highlight w:val="none"/>
        </w:rPr>
      </w:pPr>
      <w:r>
        <w:rPr>
          <w:rFonts w:hint="eastAsia" w:ascii="宋体" w:hAnsi="宋体"/>
          <w:bCs/>
          <w:color w:val="auto"/>
          <w:highlight w:val="none"/>
        </w:rPr>
        <w:t>8、</w:t>
      </w:r>
      <w:r>
        <w:rPr>
          <w:rFonts w:hint="eastAsia" w:ascii="宋体" w:hAnsi="宋体"/>
          <w:b/>
          <w:bCs/>
          <w:color w:val="auto"/>
          <w:highlight w:val="none"/>
        </w:rPr>
        <w:t>乙方必须为此项目现场工作人员购买“工伤险”、“团体意外伤害保险”、“雇主责任保险”中的一种或多种保险，要求每个人保险总额不低于</w:t>
      </w:r>
      <w:r>
        <w:rPr>
          <w:rFonts w:ascii="宋体" w:hAnsi="宋体"/>
          <w:b/>
          <w:bCs/>
          <w:color w:val="auto"/>
          <w:highlight w:val="none"/>
        </w:rPr>
        <w:t>120</w:t>
      </w:r>
      <w:r>
        <w:rPr>
          <w:rFonts w:hint="eastAsia" w:ascii="宋体" w:hAnsi="宋体"/>
          <w:b/>
          <w:bCs/>
          <w:color w:val="auto"/>
          <w:highlight w:val="none"/>
        </w:rPr>
        <w:t>万元，否则不得进场工作。在合同签订后</w:t>
      </w:r>
      <w:r>
        <w:rPr>
          <w:rFonts w:ascii="宋体" w:hAnsi="宋体"/>
          <w:b/>
          <w:bCs/>
          <w:color w:val="auto"/>
          <w:highlight w:val="none"/>
        </w:rPr>
        <w:t>10</w:t>
      </w:r>
      <w:r>
        <w:rPr>
          <w:rFonts w:hint="eastAsia" w:ascii="宋体" w:hAnsi="宋体"/>
          <w:b/>
          <w:bCs/>
          <w:color w:val="auto"/>
          <w:highlight w:val="none"/>
        </w:rPr>
        <w:t>个工作日内将保险证明原件交予甲方审核，保险证明复印件交予甲方备案。非中标单位的第三方为进厂人员购买的保险一律不予认可，同时甲方有权终止合同，并依法追究乙方就此给甲方造成的损失并予以赔偿。</w:t>
      </w:r>
      <w:r>
        <w:rPr>
          <w:rFonts w:hint="eastAsia" w:ascii="宋体" w:hAnsi="宋体"/>
          <w:color w:val="auto"/>
          <w:highlight w:val="none"/>
        </w:rPr>
        <w:t>涉及到特种作业施工项目人员，必须按国家法律法规持证上岗。</w:t>
      </w:r>
    </w:p>
    <w:p w14:paraId="2A0582E8">
      <w:pPr>
        <w:spacing w:line="360" w:lineRule="auto"/>
        <w:ind w:firstLine="480" w:firstLineChars="200"/>
        <w:jc w:val="left"/>
        <w:rPr>
          <w:rFonts w:ascii="宋体" w:hAnsi="宋体"/>
          <w:bCs/>
          <w:color w:val="auto"/>
          <w:highlight w:val="none"/>
        </w:rPr>
      </w:pPr>
      <w:r>
        <w:rPr>
          <w:rFonts w:hint="eastAsia" w:ascii="宋体" w:hAnsi="宋体"/>
          <w:bCs/>
          <w:color w:val="auto"/>
          <w:highlight w:val="none"/>
        </w:rPr>
        <w:t>9</w:t>
      </w:r>
      <w:r>
        <w:rPr>
          <w:rFonts w:ascii="宋体" w:hAnsi="宋体"/>
          <w:bCs/>
          <w:color w:val="auto"/>
          <w:highlight w:val="none"/>
        </w:rPr>
        <w:t>、</w:t>
      </w:r>
      <w:r>
        <w:rPr>
          <w:rFonts w:hint="eastAsia" w:ascii="宋体" w:hAnsi="宋体"/>
          <w:bCs/>
          <w:color w:val="auto"/>
          <w:highlight w:val="none"/>
        </w:rPr>
        <w:t>乙方</w:t>
      </w:r>
      <w:r>
        <w:rPr>
          <w:rFonts w:ascii="宋体" w:hAnsi="宋体"/>
          <w:bCs/>
          <w:color w:val="auto"/>
          <w:highlight w:val="none"/>
        </w:rPr>
        <w:t>应当按照《中华人民共和国劳动合同法》相关条款和国家规定，与进厂施工的雇佣劳动者签订用工合同，承包人应当按照劳动合同约定和国家规定，向劳动者及时足额支付劳动报酬。如出现欠薪事件考核合同款5%（10万元封顶）/次，超过2次发包人有权终止合同。承包人仍必须按照《中华人民共和国劳动合同法》相关条款和国家规定支付所劳动者工资。</w:t>
      </w:r>
    </w:p>
    <w:p w14:paraId="6035C7CA">
      <w:pPr>
        <w:spacing w:line="360" w:lineRule="auto"/>
        <w:ind w:firstLine="480" w:firstLineChars="200"/>
        <w:jc w:val="left"/>
        <w:rPr>
          <w:rFonts w:ascii="宋体" w:hAnsi="宋体"/>
          <w:color w:val="auto"/>
          <w:kern w:val="21"/>
          <w:highlight w:val="none"/>
        </w:rPr>
      </w:pPr>
      <w:r>
        <w:rPr>
          <w:rFonts w:hint="eastAsia" w:ascii="宋体" w:hAnsi="宋体"/>
          <w:bCs/>
          <w:color w:val="auto"/>
          <w:highlight w:val="none"/>
        </w:rPr>
        <w:t>10、乙方应加强对项目聘用人员的管理，由于乙方管理不善致使其聘用人员影响发包人正常生产和经营秩序的，每发生一次扣除工程款5%。</w:t>
      </w:r>
      <w:r>
        <w:rPr>
          <w:rFonts w:hint="eastAsia" w:ascii="宋体" w:hAnsi="宋体"/>
          <w:color w:val="auto"/>
          <w:kern w:val="21"/>
          <w:highlight w:val="none"/>
        </w:rPr>
        <w:t>乙方在录用人员的时候应该告知员工可能存在的职业病危害，及时组织员工体检并做好职业病防护工作。对于患有职业病的员工，乙方应当依法申请工伤认定并承担工伤保险及其相关责任。</w:t>
      </w:r>
    </w:p>
    <w:p w14:paraId="03AF42B9">
      <w:pPr>
        <w:pStyle w:val="27"/>
        <w:spacing w:line="360" w:lineRule="auto"/>
        <w:ind w:firstLine="480" w:firstLineChars="200"/>
        <w:rPr>
          <w:rFonts w:ascii="宋体" w:hAnsi="宋体" w:cs="宋体"/>
          <w:color w:val="auto"/>
          <w:highlight w:val="none"/>
        </w:rPr>
      </w:pPr>
      <w:r>
        <w:rPr>
          <w:rFonts w:hint="eastAsia" w:ascii="宋体" w:hAnsi="宋体" w:cs="宋体"/>
          <w:color w:val="auto"/>
          <w:highlight w:val="none"/>
        </w:rPr>
        <w:t>11、乙方应按照技术协议附表1做好现场石膏运输登记记录，记录由乙方自行打印，装订成册，每月一册，每月2日前将上月登记记录本交甲方。</w:t>
      </w:r>
    </w:p>
    <w:p w14:paraId="483E4C8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12、乙方每月2日前向甲方提交上月石膏运输、利用、处置情况，包括运输车次、计量统计，销售运输去向（书面及电子版各一份）；乙方转移石膏至江西省以外地区自行负责按法律法规要求进行备案，并将备案信息报送甲方。</w:t>
      </w:r>
    </w:p>
    <w:p w14:paraId="1DC49745">
      <w:pPr>
        <w:pStyle w:val="27"/>
        <w:spacing w:line="360" w:lineRule="auto"/>
        <w:ind w:firstLine="480" w:firstLineChars="200"/>
        <w:rPr>
          <w:color w:val="auto"/>
          <w:highlight w:val="none"/>
        </w:rPr>
      </w:pPr>
      <w:r>
        <w:rPr>
          <w:rFonts w:hint="eastAsia" w:ascii="宋体" w:hAnsi="宋体" w:cs="宋体"/>
          <w:color w:val="auto"/>
          <w:highlight w:val="none"/>
        </w:rPr>
        <w:t>13、乙方人员在石膏的装载、运输、利用、处置等过程中违反有关安全工作的规程、规定，造成人员伤亡和设备设施损坏事故，责任完全由乙方承担；乙方人员违反我国有关环境保护的法律、法规、条例规定，造成环境污染的，责任完全由乙方承担。</w:t>
      </w:r>
    </w:p>
    <w:p w14:paraId="5A826A5F">
      <w:pPr>
        <w:pStyle w:val="27"/>
        <w:spacing w:line="360" w:lineRule="auto"/>
        <w:ind w:firstLine="482" w:firstLineChars="200"/>
        <w:rPr>
          <w:rFonts w:ascii="宋体" w:hAnsi="宋体"/>
          <w:b/>
          <w:bCs/>
          <w:color w:val="auto"/>
          <w:szCs w:val="22"/>
          <w:highlight w:val="none"/>
        </w:rPr>
      </w:pPr>
      <w:r>
        <w:rPr>
          <w:rFonts w:hint="eastAsia" w:ascii="宋体" w:hAnsi="宋体"/>
          <w:b/>
          <w:bCs/>
          <w:color w:val="auto"/>
          <w:szCs w:val="22"/>
          <w:highlight w:val="none"/>
        </w:rPr>
        <w:t>14、石膏（一般固体废物）污染防治要求</w:t>
      </w:r>
    </w:p>
    <w:p w14:paraId="770C17E8">
      <w:pPr>
        <w:pStyle w:val="27"/>
        <w:spacing w:line="360" w:lineRule="auto"/>
        <w:ind w:firstLine="480" w:firstLineChars="200"/>
        <w:rPr>
          <w:rFonts w:ascii="宋体" w:hAnsi="宋体"/>
          <w:color w:val="auto"/>
          <w:szCs w:val="22"/>
          <w:highlight w:val="none"/>
        </w:rPr>
      </w:pPr>
      <w:r>
        <w:rPr>
          <w:rFonts w:hint="eastAsia" w:ascii="宋体" w:hAnsi="宋体"/>
          <w:color w:val="auto"/>
          <w:szCs w:val="22"/>
          <w:highlight w:val="none"/>
        </w:rPr>
        <w:t>14.1</w:t>
      </w:r>
      <w:r>
        <w:rPr>
          <w:rFonts w:hint="eastAsia" w:ascii="宋体" w:hAnsi="宋体"/>
          <w:color w:val="auto"/>
          <w:szCs w:val="22"/>
          <w:highlight w:val="none"/>
          <w:lang w:eastAsia="zh-CN"/>
        </w:rPr>
        <w:t>供应商</w:t>
      </w:r>
      <w:r>
        <w:rPr>
          <w:rFonts w:hint="eastAsia" w:ascii="宋体" w:hAnsi="宋体"/>
          <w:color w:val="auto"/>
          <w:szCs w:val="22"/>
          <w:highlight w:val="none"/>
        </w:rPr>
        <w:t>对石膏的运输、利用、贮存、处置等</w:t>
      </w:r>
      <w:r>
        <w:rPr>
          <w:rFonts w:ascii="宋体" w:hAnsi="宋体"/>
          <w:color w:val="auto"/>
          <w:szCs w:val="22"/>
          <w:highlight w:val="none"/>
        </w:rPr>
        <w:t>应当采取防扬散、防流失、防渗漏或者其他防止污染环境的措施，不得擅自倾倒、堆放、丢弃、遗撒</w:t>
      </w:r>
      <w:r>
        <w:rPr>
          <w:rFonts w:hint="eastAsia" w:ascii="宋体" w:hAnsi="宋体"/>
          <w:color w:val="auto"/>
          <w:szCs w:val="22"/>
          <w:highlight w:val="none"/>
        </w:rPr>
        <w:t>石膏</w:t>
      </w:r>
      <w:r>
        <w:rPr>
          <w:rFonts w:ascii="宋体" w:hAnsi="宋体"/>
          <w:color w:val="auto"/>
          <w:szCs w:val="22"/>
          <w:highlight w:val="none"/>
        </w:rPr>
        <w:t>。</w:t>
      </w:r>
    </w:p>
    <w:p w14:paraId="392272E8">
      <w:pPr>
        <w:pStyle w:val="27"/>
        <w:spacing w:line="360" w:lineRule="auto"/>
        <w:ind w:firstLine="480" w:firstLineChars="200"/>
        <w:rPr>
          <w:rFonts w:ascii="宋体" w:hAnsi="宋体"/>
          <w:color w:val="auto"/>
          <w:szCs w:val="22"/>
          <w:highlight w:val="none"/>
        </w:rPr>
      </w:pPr>
      <w:r>
        <w:rPr>
          <w:rFonts w:hint="eastAsia" w:ascii="宋体" w:hAnsi="宋体"/>
          <w:color w:val="auto"/>
          <w:szCs w:val="22"/>
          <w:highlight w:val="none"/>
        </w:rPr>
        <w:t>14.2</w:t>
      </w:r>
      <w:r>
        <w:rPr>
          <w:rFonts w:hint="eastAsia" w:ascii="宋体" w:hAnsi="宋体"/>
          <w:color w:val="auto"/>
          <w:szCs w:val="22"/>
          <w:highlight w:val="none"/>
          <w:lang w:eastAsia="zh-CN"/>
        </w:rPr>
        <w:t>供应商</w:t>
      </w:r>
      <w:r>
        <w:rPr>
          <w:rFonts w:hint="eastAsia" w:ascii="宋体" w:hAnsi="宋体"/>
          <w:color w:val="auto"/>
          <w:szCs w:val="22"/>
          <w:highlight w:val="none"/>
        </w:rPr>
        <w:t>对石膏的收集、贮存、运输、利用及处置等应当采取措施，防止或者减少石膏对环境的污染，对所造成的环境污染</w:t>
      </w:r>
      <w:r>
        <w:rPr>
          <w:rFonts w:hint="eastAsia" w:ascii="宋体" w:hAnsi="宋体"/>
          <w:color w:val="auto"/>
          <w:szCs w:val="22"/>
          <w:highlight w:val="none"/>
          <w:lang w:eastAsia="zh-CN"/>
        </w:rPr>
        <w:t>供应商</w:t>
      </w:r>
      <w:r>
        <w:rPr>
          <w:rFonts w:hint="eastAsia" w:ascii="宋体" w:hAnsi="宋体"/>
          <w:color w:val="auto"/>
          <w:szCs w:val="22"/>
          <w:highlight w:val="none"/>
        </w:rPr>
        <w:t>应承担一切责任并及时消除污染。</w:t>
      </w:r>
    </w:p>
    <w:p w14:paraId="25AEB4A1">
      <w:pPr>
        <w:pStyle w:val="27"/>
        <w:spacing w:line="360" w:lineRule="auto"/>
        <w:ind w:firstLine="480" w:firstLineChars="200"/>
        <w:rPr>
          <w:rFonts w:ascii="宋体" w:hAnsi="宋体"/>
          <w:color w:val="auto"/>
          <w:szCs w:val="22"/>
          <w:highlight w:val="none"/>
        </w:rPr>
      </w:pPr>
      <w:r>
        <w:rPr>
          <w:rFonts w:hint="eastAsia" w:ascii="宋体" w:hAnsi="宋体"/>
          <w:color w:val="auto"/>
          <w:szCs w:val="22"/>
          <w:highlight w:val="none"/>
        </w:rPr>
        <w:t>14.3乙方用于贮存石膏的场所或设施应当采取符合国家环境保护标准的防护措施。</w:t>
      </w:r>
    </w:p>
    <w:p w14:paraId="3A85B7F9">
      <w:pPr>
        <w:spacing w:line="360" w:lineRule="auto"/>
        <w:ind w:firstLine="482" w:firstLineChars="200"/>
        <w:jc w:val="left"/>
        <w:rPr>
          <w:rFonts w:ascii="宋体" w:hAnsi="宋体"/>
          <w:b/>
          <w:bCs/>
          <w:color w:val="auto"/>
          <w:highlight w:val="none"/>
        </w:rPr>
      </w:pPr>
      <w:r>
        <w:rPr>
          <w:rFonts w:hint="eastAsia" w:ascii="宋体" w:hAnsi="宋体"/>
          <w:b/>
          <w:bCs/>
          <w:color w:val="auto"/>
          <w:highlight w:val="none"/>
        </w:rPr>
        <w:t>15、合同的生效</w:t>
      </w:r>
    </w:p>
    <w:p w14:paraId="2CB758DA">
      <w:pPr>
        <w:spacing w:line="360" w:lineRule="auto"/>
        <w:ind w:firstLine="360" w:firstLineChars="150"/>
        <w:jc w:val="left"/>
        <w:rPr>
          <w:rFonts w:ascii="宋体" w:hAnsi="宋体"/>
          <w:color w:val="auto"/>
          <w:highlight w:val="none"/>
        </w:rPr>
      </w:pPr>
      <w:r>
        <w:rPr>
          <w:rFonts w:hint="eastAsia" w:ascii="宋体" w:hAnsi="宋体"/>
          <w:color w:val="auto"/>
          <w:highlight w:val="none"/>
        </w:rPr>
        <w:t>本合同经双方授权代表签署，买卖双方加盖印章后生效。</w:t>
      </w:r>
    </w:p>
    <w:p w14:paraId="5F1262A7">
      <w:pPr>
        <w:pStyle w:val="27"/>
        <w:ind w:firstLine="482" w:firstLineChars="200"/>
        <w:rPr>
          <w:b/>
          <w:bCs/>
          <w:color w:val="auto"/>
          <w:highlight w:val="none"/>
        </w:rPr>
      </w:pPr>
      <w:r>
        <w:rPr>
          <w:rFonts w:hint="eastAsia"/>
          <w:b/>
          <w:bCs/>
          <w:color w:val="auto"/>
          <w:highlight w:val="none"/>
        </w:rPr>
        <w:t>16、争议</w:t>
      </w:r>
    </w:p>
    <w:p w14:paraId="523A2375">
      <w:pPr>
        <w:pStyle w:val="27"/>
        <w:ind w:firstLine="480" w:firstLineChars="200"/>
        <w:rPr>
          <w:color w:val="auto"/>
          <w:highlight w:val="none"/>
        </w:rPr>
      </w:pPr>
      <w:r>
        <w:rPr>
          <w:rFonts w:hint="eastAsia"/>
          <w:color w:val="auto"/>
          <w:highlight w:val="none"/>
        </w:rPr>
        <w:t>在履行本合同发生争议时，由双方协商处理。协商不成的双方均有权向甲方所在地法院提起诉讼。 </w:t>
      </w:r>
    </w:p>
    <w:p w14:paraId="19DA2D38">
      <w:pPr>
        <w:pStyle w:val="27"/>
        <w:ind w:firstLine="482" w:firstLineChars="200"/>
        <w:rPr>
          <w:b/>
          <w:bCs/>
          <w:color w:val="auto"/>
          <w:highlight w:val="none"/>
        </w:rPr>
      </w:pPr>
      <w:r>
        <w:rPr>
          <w:rFonts w:hint="eastAsia"/>
          <w:b/>
          <w:bCs/>
          <w:color w:val="auto"/>
          <w:highlight w:val="none"/>
        </w:rPr>
        <w:t>17、廉政条款</w:t>
      </w:r>
    </w:p>
    <w:p w14:paraId="7C130C06">
      <w:pPr>
        <w:pStyle w:val="27"/>
        <w:ind w:firstLine="480" w:firstLineChars="200"/>
        <w:rPr>
          <w:color w:val="auto"/>
          <w:highlight w:val="none"/>
        </w:rPr>
      </w:pPr>
      <w:r>
        <w:rPr>
          <w:rFonts w:hint="eastAsia"/>
          <w:color w:val="auto"/>
          <w:highlight w:val="none"/>
        </w:rPr>
        <w:t>17.1、甲方工作人员必须廉洁奉公，营造公平公正的交易环境，不得出现任何“管、卡、要”及刁难行为，否则乙方应向甲方监察审计部投诉，投诉电话：0795-6402132，6402133。</w:t>
      </w:r>
    </w:p>
    <w:p w14:paraId="2716D79D">
      <w:pPr>
        <w:pStyle w:val="27"/>
        <w:rPr>
          <w:color w:val="auto"/>
          <w:highlight w:val="none"/>
        </w:rPr>
      </w:pPr>
      <w:r>
        <w:rPr>
          <w:rFonts w:hint="eastAsia"/>
          <w:color w:val="auto"/>
          <w:highlight w:val="none"/>
        </w:rPr>
        <w:t>     17.2、在合同交易过程中，乙方不得为方便履约，邀请甲方工作人员参加宴请及旅游娱乐的活动，或向其提供回扣、礼金、有价证券、贵重物品等。如发现乙方有上述不良行为，甲方有权将乙方纳入</w:t>
      </w:r>
      <w:r>
        <w:rPr>
          <w:rFonts w:hint="eastAsia"/>
          <w:color w:val="auto"/>
          <w:highlight w:val="none"/>
          <w:lang w:eastAsia="zh-CN"/>
        </w:rPr>
        <w:t>供应商</w:t>
      </w:r>
      <w:r>
        <w:rPr>
          <w:rFonts w:hint="eastAsia"/>
          <w:color w:val="auto"/>
          <w:highlight w:val="none"/>
        </w:rPr>
        <w:t>禁入名单，并给予扣减3%-5%合同款，作为廉洁违约金。</w:t>
      </w:r>
    </w:p>
    <w:p w14:paraId="50E160E2">
      <w:pPr>
        <w:pStyle w:val="27"/>
        <w:ind w:firstLine="595" w:firstLineChars="247"/>
        <w:rPr>
          <w:rFonts w:ascii="宋体" w:hAnsi="宋体"/>
          <w:b/>
          <w:color w:val="auto"/>
          <w:highlight w:val="none"/>
        </w:rPr>
      </w:pPr>
      <w:r>
        <w:rPr>
          <w:rFonts w:hint="eastAsia"/>
          <w:b/>
          <w:bCs/>
          <w:color w:val="auto"/>
          <w:highlight w:val="none"/>
        </w:rPr>
        <w:t>18、</w:t>
      </w:r>
      <w:r>
        <w:rPr>
          <w:rFonts w:hint="eastAsia" w:ascii="宋体" w:hAnsi="宋体"/>
          <w:b/>
          <w:color w:val="auto"/>
          <w:highlight w:val="none"/>
        </w:rPr>
        <w:t>附件（中华人民共和国固体废物污染环境防治法（2020修订））</w:t>
      </w:r>
    </w:p>
    <w:p w14:paraId="1475BA1C">
      <w:pPr>
        <w:pStyle w:val="27"/>
        <w:rPr>
          <w:rFonts w:ascii="宋体" w:hAnsi="宋体"/>
          <w:bCs/>
          <w:color w:val="auto"/>
          <w:highlight w:val="none"/>
        </w:rPr>
      </w:pPr>
      <w:r>
        <w:rPr>
          <w:rFonts w:hint="eastAsia" w:ascii="宋体" w:hAnsi="宋体"/>
          <w:bCs/>
          <w:color w:val="auto"/>
          <w:highlight w:val="none"/>
        </w:rPr>
        <w:t>本合同中若与中华人民共和国固体废物污染环境防治法（2020修订）存在不一致的地方，以中华人民共和国固体废物污染环境防治法（2020修订）为准。乙方必须严格遵守相关法律法规要求。</w:t>
      </w:r>
    </w:p>
    <w:p w14:paraId="55DF2B31">
      <w:pPr>
        <w:pStyle w:val="27"/>
        <w:rPr>
          <w:rFonts w:ascii="宋体" w:hAnsi="宋体"/>
          <w:bCs/>
          <w:color w:val="auto"/>
          <w:highlight w:val="none"/>
        </w:rPr>
        <w:sectPr>
          <w:pgSz w:w="11907" w:h="16840"/>
          <w:pgMar w:top="1077" w:right="1134" w:bottom="1077" w:left="1134" w:header="720" w:footer="720" w:gutter="0"/>
          <w:cols w:space="720" w:num="1"/>
          <w:docGrid w:linePitch="285" w:charSpace="0"/>
        </w:sectPr>
      </w:pPr>
    </w:p>
    <w:p w14:paraId="1642E01C">
      <w:pPr>
        <w:pStyle w:val="27"/>
        <w:rPr>
          <w:rFonts w:ascii="宋体" w:hAnsi="宋体"/>
          <w:bCs/>
          <w:color w:val="auto"/>
          <w:highlight w:val="none"/>
        </w:rPr>
      </w:pP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9"/>
        <w:gridCol w:w="4894"/>
      </w:tblGrid>
      <w:tr w14:paraId="4616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16" w:type="pct"/>
            <w:vAlign w:val="center"/>
          </w:tcPr>
          <w:p w14:paraId="230C0953">
            <w:pPr>
              <w:spacing w:line="360" w:lineRule="auto"/>
              <w:rPr>
                <w:rFonts w:ascii="宋体" w:hAnsi="宋体"/>
                <w:color w:val="auto"/>
                <w:highlight w:val="none"/>
              </w:rPr>
            </w:pPr>
          </w:p>
          <w:p w14:paraId="007FA305">
            <w:pPr>
              <w:spacing w:line="360" w:lineRule="auto"/>
              <w:rPr>
                <w:rFonts w:ascii="宋体" w:hAnsi="宋体"/>
                <w:color w:val="auto"/>
                <w:highlight w:val="none"/>
              </w:rPr>
            </w:pPr>
            <w:r>
              <w:rPr>
                <w:rFonts w:hint="eastAsia" w:ascii="宋体" w:hAnsi="宋体"/>
                <w:color w:val="auto"/>
                <w:highlight w:val="none"/>
              </w:rPr>
              <w:t>甲方（合同章）：</w:t>
            </w:r>
          </w:p>
          <w:p w14:paraId="308DE0CE">
            <w:pPr>
              <w:spacing w:line="360" w:lineRule="auto"/>
              <w:rPr>
                <w:rFonts w:ascii="宋体" w:hAnsi="宋体"/>
                <w:color w:val="auto"/>
                <w:highlight w:val="none"/>
              </w:rPr>
            </w:pPr>
          </w:p>
          <w:p w14:paraId="734534E7">
            <w:pPr>
              <w:spacing w:line="360" w:lineRule="auto"/>
              <w:rPr>
                <w:rFonts w:ascii="宋体" w:hAnsi="宋体"/>
                <w:color w:val="auto"/>
                <w:highlight w:val="none"/>
              </w:rPr>
            </w:pPr>
            <w:r>
              <w:rPr>
                <w:rFonts w:hint="eastAsia" w:ascii="宋体" w:hAnsi="宋体"/>
                <w:color w:val="auto"/>
                <w:highlight w:val="none"/>
              </w:rPr>
              <w:t>江西赣能股份有限公司丰城发电厂</w:t>
            </w:r>
          </w:p>
          <w:p w14:paraId="4D231A40">
            <w:pPr>
              <w:spacing w:line="360" w:lineRule="auto"/>
              <w:rPr>
                <w:rFonts w:ascii="宋体" w:hAnsi="宋体"/>
                <w:color w:val="auto"/>
                <w:highlight w:val="none"/>
              </w:rPr>
            </w:pPr>
          </w:p>
        </w:tc>
        <w:tc>
          <w:tcPr>
            <w:tcW w:w="2483" w:type="pct"/>
          </w:tcPr>
          <w:p w14:paraId="0CD4C8F8">
            <w:pPr>
              <w:spacing w:line="360" w:lineRule="auto"/>
              <w:rPr>
                <w:rFonts w:ascii="宋体" w:hAnsi="宋体"/>
                <w:color w:val="auto"/>
                <w:highlight w:val="none"/>
              </w:rPr>
            </w:pPr>
          </w:p>
          <w:p w14:paraId="755EFF49">
            <w:pPr>
              <w:spacing w:line="360" w:lineRule="auto"/>
              <w:rPr>
                <w:rFonts w:ascii="宋体" w:hAnsi="宋体"/>
                <w:color w:val="auto"/>
                <w:highlight w:val="none"/>
              </w:rPr>
            </w:pPr>
            <w:r>
              <w:rPr>
                <w:rFonts w:hint="eastAsia" w:ascii="宋体" w:hAnsi="宋体"/>
                <w:color w:val="auto"/>
                <w:highlight w:val="none"/>
              </w:rPr>
              <w:t>乙方（合同章）：</w:t>
            </w:r>
          </w:p>
          <w:p w14:paraId="23D532C6">
            <w:pPr>
              <w:spacing w:line="360" w:lineRule="auto"/>
              <w:rPr>
                <w:rFonts w:ascii="宋体" w:hAnsi="宋体"/>
                <w:color w:val="auto"/>
                <w:highlight w:val="none"/>
              </w:rPr>
            </w:pPr>
          </w:p>
          <w:p w14:paraId="26BD0C85">
            <w:pPr>
              <w:spacing w:line="360" w:lineRule="auto"/>
              <w:rPr>
                <w:rFonts w:ascii="宋体" w:hAnsi="宋体"/>
                <w:color w:val="auto"/>
                <w:highlight w:val="none"/>
              </w:rPr>
            </w:pPr>
            <w:r>
              <w:rPr>
                <w:rFonts w:hint="eastAsia" w:ascii="宋体" w:hAnsi="宋体"/>
                <w:color w:val="auto"/>
                <w:highlight w:val="none"/>
              </w:rPr>
              <w:t> </w:t>
            </w:r>
          </w:p>
        </w:tc>
      </w:tr>
      <w:tr w14:paraId="573B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516" w:type="pct"/>
            <w:vAlign w:val="center"/>
          </w:tcPr>
          <w:p w14:paraId="57059EBC">
            <w:pPr>
              <w:spacing w:line="360" w:lineRule="auto"/>
              <w:rPr>
                <w:rFonts w:ascii="宋体" w:hAnsi="宋体"/>
                <w:color w:val="auto"/>
                <w:kern w:val="21"/>
                <w:highlight w:val="none"/>
              </w:rPr>
            </w:pPr>
            <w:r>
              <w:rPr>
                <w:rFonts w:hint="eastAsia" w:ascii="宋体" w:hAnsi="宋体"/>
                <w:color w:val="auto"/>
                <w:highlight w:val="none"/>
              </w:rPr>
              <w:t>单位地址：江西省丰城市石上</w:t>
            </w:r>
          </w:p>
        </w:tc>
        <w:tc>
          <w:tcPr>
            <w:tcW w:w="2483" w:type="pct"/>
            <w:vAlign w:val="center"/>
          </w:tcPr>
          <w:p w14:paraId="0685525A">
            <w:pPr>
              <w:widowControl/>
              <w:jc w:val="left"/>
              <w:rPr>
                <w:rFonts w:ascii="宋体" w:hAnsi="宋体"/>
                <w:color w:val="auto"/>
                <w:kern w:val="21"/>
                <w:highlight w:val="none"/>
              </w:rPr>
            </w:pPr>
            <w:r>
              <w:rPr>
                <w:rFonts w:hint="eastAsia" w:ascii="宋体" w:hAnsi="宋体"/>
                <w:color w:val="auto"/>
                <w:kern w:val="21"/>
                <w:highlight w:val="none"/>
              </w:rPr>
              <w:t>单位地址：</w:t>
            </w:r>
            <w:r>
              <w:rPr>
                <w:rFonts w:ascii="宋体" w:hAnsi="宋体"/>
                <w:color w:val="auto"/>
                <w:kern w:val="21"/>
                <w:highlight w:val="none"/>
              </w:rPr>
              <w:t xml:space="preserve"> </w:t>
            </w:r>
          </w:p>
        </w:tc>
      </w:tr>
      <w:tr w14:paraId="1E9B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pct"/>
            <w:vAlign w:val="center"/>
          </w:tcPr>
          <w:p w14:paraId="22C3F122">
            <w:pPr>
              <w:spacing w:line="360" w:lineRule="auto"/>
              <w:rPr>
                <w:rFonts w:ascii="宋体" w:hAnsi="宋体"/>
                <w:color w:val="auto"/>
                <w:kern w:val="21"/>
                <w:highlight w:val="none"/>
              </w:rPr>
            </w:pPr>
            <w:r>
              <w:rPr>
                <w:rFonts w:hint="eastAsia" w:ascii="宋体" w:hAnsi="宋体"/>
                <w:color w:val="auto"/>
                <w:highlight w:val="none"/>
              </w:rPr>
              <w:t>法定代表人或委托代理人：</w:t>
            </w:r>
          </w:p>
        </w:tc>
        <w:tc>
          <w:tcPr>
            <w:tcW w:w="2483" w:type="pct"/>
            <w:vAlign w:val="center"/>
          </w:tcPr>
          <w:p w14:paraId="33506DA3">
            <w:pPr>
              <w:spacing w:line="360" w:lineRule="auto"/>
              <w:rPr>
                <w:rFonts w:ascii="宋体" w:hAnsi="宋体"/>
                <w:color w:val="auto"/>
                <w:kern w:val="21"/>
                <w:highlight w:val="none"/>
              </w:rPr>
            </w:pPr>
            <w:r>
              <w:rPr>
                <w:rFonts w:hint="eastAsia" w:ascii="宋体" w:hAnsi="宋体"/>
                <w:color w:val="auto"/>
                <w:kern w:val="21"/>
                <w:highlight w:val="none"/>
              </w:rPr>
              <w:t>法定代表人或委托代理人：</w:t>
            </w:r>
            <w:r>
              <w:rPr>
                <w:rFonts w:ascii="宋体" w:hAnsi="宋体"/>
                <w:color w:val="auto"/>
                <w:kern w:val="21"/>
                <w:highlight w:val="none"/>
              </w:rPr>
              <w:t xml:space="preserve"> </w:t>
            </w:r>
          </w:p>
        </w:tc>
      </w:tr>
      <w:tr w14:paraId="32B5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516" w:type="pct"/>
            <w:vAlign w:val="center"/>
          </w:tcPr>
          <w:p w14:paraId="0EB52C2E">
            <w:pPr>
              <w:spacing w:line="360" w:lineRule="auto"/>
              <w:rPr>
                <w:rFonts w:ascii="宋体" w:hAnsi="宋体"/>
                <w:color w:val="auto"/>
                <w:highlight w:val="none"/>
              </w:rPr>
            </w:pPr>
            <w:r>
              <w:rPr>
                <w:rFonts w:hint="eastAsia" w:ascii="宋体" w:hAnsi="宋体"/>
                <w:color w:val="auto"/>
                <w:highlight w:val="none"/>
              </w:rPr>
              <w:t>商务联系电话： 0795-6402058</w:t>
            </w:r>
          </w:p>
        </w:tc>
        <w:tc>
          <w:tcPr>
            <w:tcW w:w="2483" w:type="pct"/>
            <w:vAlign w:val="center"/>
          </w:tcPr>
          <w:p w14:paraId="1F20A54A">
            <w:pPr>
              <w:spacing w:line="360" w:lineRule="auto"/>
              <w:ind w:left="80"/>
              <w:rPr>
                <w:rFonts w:ascii="宋体" w:hAnsi="宋体"/>
                <w:color w:val="auto"/>
                <w:kern w:val="21"/>
                <w:sz w:val="28"/>
                <w:szCs w:val="28"/>
                <w:highlight w:val="none"/>
              </w:rPr>
            </w:pPr>
            <w:r>
              <w:rPr>
                <w:rFonts w:hint="eastAsia" w:ascii="宋体" w:hAnsi="宋体"/>
                <w:color w:val="auto"/>
                <w:highlight w:val="none"/>
              </w:rPr>
              <w:t>商务联系电话：</w:t>
            </w:r>
          </w:p>
        </w:tc>
      </w:tr>
      <w:tr w14:paraId="03D9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516" w:type="pct"/>
            <w:vAlign w:val="center"/>
          </w:tcPr>
          <w:p w14:paraId="531855C4">
            <w:pPr>
              <w:spacing w:line="360" w:lineRule="auto"/>
              <w:ind w:left="80"/>
              <w:rPr>
                <w:rFonts w:ascii="宋体" w:hAnsi="宋体"/>
                <w:color w:val="auto"/>
                <w:highlight w:val="none"/>
              </w:rPr>
            </w:pPr>
            <w:r>
              <w:rPr>
                <w:rFonts w:hint="eastAsia" w:ascii="宋体" w:hAnsi="宋体"/>
                <w:color w:val="auto"/>
                <w:highlight w:val="none"/>
              </w:rPr>
              <w:t>开票电话：</w:t>
            </w:r>
            <w:r>
              <w:rPr>
                <w:rFonts w:ascii="宋体" w:hAnsi="宋体"/>
                <w:color w:val="auto"/>
                <w:highlight w:val="none"/>
              </w:rPr>
              <w:t>0795-640204</w:t>
            </w:r>
            <w:r>
              <w:rPr>
                <w:rFonts w:hint="eastAsia" w:ascii="宋体" w:hAnsi="宋体"/>
                <w:color w:val="auto"/>
                <w:highlight w:val="none"/>
              </w:rPr>
              <w:t>5</w:t>
            </w:r>
          </w:p>
        </w:tc>
        <w:tc>
          <w:tcPr>
            <w:tcW w:w="2483" w:type="pct"/>
            <w:vAlign w:val="center"/>
          </w:tcPr>
          <w:p w14:paraId="43CE4E9C">
            <w:pPr>
              <w:spacing w:line="360" w:lineRule="auto"/>
              <w:rPr>
                <w:rFonts w:ascii="宋体" w:hAnsi="宋体"/>
                <w:color w:val="auto"/>
                <w:kern w:val="21"/>
                <w:highlight w:val="none"/>
              </w:rPr>
            </w:pPr>
            <w:r>
              <w:rPr>
                <w:rFonts w:hint="eastAsia" w:ascii="宋体" w:hAnsi="宋体"/>
                <w:color w:val="auto"/>
                <w:highlight w:val="none"/>
              </w:rPr>
              <w:t>开票电话：</w:t>
            </w:r>
            <w:r>
              <w:rPr>
                <w:rFonts w:hint="eastAsia" w:ascii="宋体" w:hAnsi="宋体"/>
                <w:color w:val="auto"/>
                <w:sz w:val="22"/>
                <w:highlight w:val="none"/>
              </w:rPr>
              <w:t xml:space="preserve"> </w:t>
            </w:r>
            <w:r>
              <w:rPr>
                <w:rFonts w:hint="eastAsia"/>
                <w:color w:val="auto"/>
                <w:sz w:val="30"/>
                <w:szCs w:val="30"/>
                <w:highlight w:val="none"/>
              </w:rPr>
              <w:t xml:space="preserve">  </w:t>
            </w:r>
          </w:p>
        </w:tc>
      </w:tr>
      <w:tr w14:paraId="5BA7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516" w:type="pct"/>
            <w:vAlign w:val="center"/>
          </w:tcPr>
          <w:p w14:paraId="6A7DA3D9">
            <w:pPr>
              <w:spacing w:line="360" w:lineRule="auto"/>
              <w:ind w:left="80"/>
              <w:rPr>
                <w:rFonts w:ascii="宋体" w:hAnsi="宋体"/>
                <w:color w:val="auto"/>
                <w:highlight w:val="none"/>
              </w:rPr>
            </w:pPr>
            <w:r>
              <w:rPr>
                <w:rFonts w:hint="eastAsia" w:ascii="宋体" w:hAnsi="宋体"/>
                <w:color w:val="auto"/>
                <w:highlight w:val="none"/>
              </w:rPr>
              <w:t>开户银行：丰城市建行电厂分理处</w:t>
            </w:r>
          </w:p>
        </w:tc>
        <w:tc>
          <w:tcPr>
            <w:tcW w:w="2483" w:type="pct"/>
            <w:vAlign w:val="center"/>
          </w:tcPr>
          <w:p w14:paraId="42594CAD">
            <w:pPr>
              <w:spacing w:line="360" w:lineRule="auto"/>
              <w:ind w:left="80"/>
              <w:rPr>
                <w:rFonts w:ascii="宋体" w:hAnsi="宋体"/>
                <w:color w:val="auto"/>
                <w:kern w:val="21"/>
                <w:highlight w:val="none"/>
              </w:rPr>
            </w:pPr>
            <w:r>
              <w:rPr>
                <w:rFonts w:hint="eastAsia" w:ascii="宋体" w:hAnsi="宋体"/>
                <w:color w:val="auto"/>
                <w:highlight w:val="none"/>
              </w:rPr>
              <w:t>开户银行：</w:t>
            </w:r>
            <w:r>
              <w:rPr>
                <w:rFonts w:ascii="宋体" w:hAnsi="宋体"/>
                <w:color w:val="auto"/>
                <w:kern w:val="21"/>
                <w:highlight w:val="none"/>
              </w:rPr>
              <w:t xml:space="preserve"> </w:t>
            </w:r>
          </w:p>
        </w:tc>
      </w:tr>
      <w:tr w14:paraId="0CC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516" w:type="pct"/>
            <w:vAlign w:val="center"/>
          </w:tcPr>
          <w:p w14:paraId="35292BCA">
            <w:pPr>
              <w:spacing w:line="360" w:lineRule="auto"/>
              <w:ind w:left="80"/>
              <w:rPr>
                <w:rFonts w:ascii="宋体" w:hAnsi="宋体"/>
                <w:color w:val="auto"/>
                <w:highlight w:val="none"/>
              </w:rPr>
            </w:pPr>
            <w:r>
              <w:rPr>
                <w:rFonts w:hint="eastAsia" w:ascii="宋体" w:hAnsi="宋体"/>
                <w:color w:val="auto"/>
                <w:highlight w:val="none"/>
              </w:rPr>
              <w:t>账</w:t>
            </w:r>
            <w:r>
              <w:rPr>
                <w:rFonts w:ascii="宋体" w:hAnsi="宋体"/>
                <w:color w:val="auto"/>
                <w:highlight w:val="none"/>
              </w:rPr>
              <w:tab/>
            </w:r>
            <w:r>
              <w:rPr>
                <w:rFonts w:hint="eastAsia" w:ascii="宋体" w:hAnsi="宋体"/>
                <w:color w:val="auto"/>
                <w:highlight w:val="none"/>
              </w:rPr>
              <w:t xml:space="preserve">  号：36001250220059999999</w:t>
            </w:r>
          </w:p>
        </w:tc>
        <w:tc>
          <w:tcPr>
            <w:tcW w:w="2483" w:type="pct"/>
            <w:vAlign w:val="center"/>
          </w:tcPr>
          <w:p w14:paraId="48AB6A60">
            <w:pPr>
              <w:spacing w:line="360" w:lineRule="auto"/>
              <w:rPr>
                <w:rFonts w:ascii="宋体" w:hAnsi="宋体"/>
                <w:color w:val="auto"/>
                <w:kern w:val="21"/>
                <w:highlight w:val="none"/>
              </w:rPr>
            </w:pPr>
            <w:r>
              <w:rPr>
                <w:rFonts w:hint="eastAsia" w:ascii="宋体" w:hAnsi="宋体"/>
                <w:color w:val="auto"/>
                <w:highlight w:val="none"/>
              </w:rPr>
              <w:t>账</w:t>
            </w:r>
            <w:r>
              <w:rPr>
                <w:rFonts w:ascii="宋体" w:hAnsi="宋体"/>
                <w:color w:val="auto"/>
                <w:highlight w:val="none"/>
              </w:rPr>
              <w:tab/>
            </w:r>
            <w:r>
              <w:rPr>
                <w:rFonts w:hint="eastAsia" w:ascii="宋体" w:hAnsi="宋体"/>
                <w:color w:val="auto"/>
                <w:highlight w:val="none"/>
              </w:rPr>
              <w:t xml:space="preserve">  号：</w:t>
            </w:r>
          </w:p>
        </w:tc>
      </w:tr>
      <w:tr w14:paraId="5EB8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516" w:type="pct"/>
            <w:vAlign w:val="center"/>
          </w:tcPr>
          <w:p w14:paraId="2875C31E">
            <w:pPr>
              <w:spacing w:line="360" w:lineRule="auto"/>
              <w:ind w:left="80"/>
              <w:rPr>
                <w:rFonts w:ascii="宋体" w:hAnsi="宋体"/>
                <w:color w:val="auto"/>
                <w:highlight w:val="none"/>
              </w:rPr>
            </w:pPr>
            <w:r>
              <w:rPr>
                <w:rFonts w:hint="eastAsia" w:ascii="宋体" w:hAnsi="宋体"/>
                <w:color w:val="auto"/>
                <w:kern w:val="21"/>
                <w:highlight w:val="none"/>
              </w:rPr>
              <w:t>联行号：105431200037</w:t>
            </w:r>
          </w:p>
        </w:tc>
        <w:tc>
          <w:tcPr>
            <w:tcW w:w="2483" w:type="pct"/>
            <w:vAlign w:val="center"/>
          </w:tcPr>
          <w:p w14:paraId="53356F58">
            <w:pPr>
              <w:spacing w:line="360" w:lineRule="auto"/>
              <w:rPr>
                <w:rFonts w:ascii="宋体" w:hAnsi="宋体"/>
                <w:color w:val="auto"/>
                <w:kern w:val="21"/>
                <w:highlight w:val="none"/>
              </w:rPr>
            </w:pPr>
            <w:r>
              <w:rPr>
                <w:rFonts w:hint="eastAsia" w:ascii="宋体" w:hAnsi="宋体"/>
                <w:color w:val="auto"/>
                <w:kern w:val="21"/>
                <w:highlight w:val="none"/>
              </w:rPr>
              <w:t>联行号：</w:t>
            </w:r>
          </w:p>
        </w:tc>
      </w:tr>
      <w:tr w14:paraId="11DC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516" w:type="pct"/>
            <w:vAlign w:val="center"/>
          </w:tcPr>
          <w:p w14:paraId="7DB89A0C">
            <w:pPr>
              <w:spacing w:line="360" w:lineRule="auto"/>
              <w:ind w:left="80"/>
              <w:rPr>
                <w:rFonts w:ascii="宋体" w:hAnsi="宋体"/>
                <w:color w:val="auto"/>
                <w:highlight w:val="none"/>
              </w:rPr>
            </w:pPr>
            <w:r>
              <w:rPr>
                <w:rFonts w:hint="eastAsia" w:ascii="宋体" w:hAnsi="宋体"/>
                <w:color w:val="auto"/>
                <w:highlight w:val="none"/>
              </w:rPr>
              <w:t>纳税编号：913609817947549036</w:t>
            </w:r>
          </w:p>
        </w:tc>
        <w:tc>
          <w:tcPr>
            <w:tcW w:w="2483" w:type="pct"/>
            <w:vAlign w:val="center"/>
          </w:tcPr>
          <w:p w14:paraId="7119EB28">
            <w:pPr>
              <w:spacing w:line="480" w:lineRule="exact"/>
              <w:rPr>
                <w:rFonts w:ascii="宋体" w:hAnsi="宋体"/>
                <w:color w:val="auto"/>
                <w:kern w:val="21"/>
                <w:sz w:val="28"/>
                <w:szCs w:val="28"/>
                <w:highlight w:val="none"/>
              </w:rPr>
            </w:pPr>
            <w:r>
              <w:rPr>
                <w:rFonts w:hint="eastAsia" w:ascii="宋体" w:hAnsi="宋体"/>
                <w:color w:val="auto"/>
                <w:highlight w:val="none"/>
              </w:rPr>
              <w:t xml:space="preserve">纳税编号：  </w:t>
            </w:r>
            <w:r>
              <w:rPr>
                <w:rFonts w:hint="eastAsia"/>
                <w:color w:val="auto"/>
                <w:sz w:val="30"/>
                <w:szCs w:val="30"/>
                <w:highlight w:val="none"/>
              </w:rPr>
              <w:t xml:space="preserve"> </w:t>
            </w:r>
          </w:p>
          <w:p w14:paraId="3448B270">
            <w:pPr>
              <w:spacing w:line="360" w:lineRule="auto"/>
              <w:rPr>
                <w:rFonts w:ascii="宋体" w:hAnsi="宋体"/>
                <w:color w:val="auto"/>
                <w:kern w:val="21"/>
                <w:highlight w:val="none"/>
              </w:rPr>
            </w:pPr>
          </w:p>
        </w:tc>
      </w:tr>
      <w:tr w14:paraId="623E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516" w:type="pct"/>
            <w:vAlign w:val="center"/>
          </w:tcPr>
          <w:p w14:paraId="15DEF367">
            <w:pPr>
              <w:spacing w:line="360" w:lineRule="auto"/>
              <w:ind w:left="80"/>
              <w:rPr>
                <w:rFonts w:ascii="宋体" w:hAnsi="宋体"/>
                <w:color w:val="auto"/>
                <w:highlight w:val="none"/>
              </w:rPr>
            </w:pPr>
            <w:r>
              <w:rPr>
                <w:rFonts w:hint="eastAsia" w:ascii="宋体" w:hAnsi="宋体"/>
                <w:color w:val="auto"/>
                <w:highlight w:val="none"/>
              </w:rPr>
              <w:t>邮政编码：331100</w:t>
            </w:r>
          </w:p>
        </w:tc>
        <w:tc>
          <w:tcPr>
            <w:tcW w:w="2483" w:type="pct"/>
            <w:vAlign w:val="center"/>
          </w:tcPr>
          <w:p w14:paraId="6BFC3F24">
            <w:pPr>
              <w:spacing w:line="360" w:lineRule="auto"/>
              <w:rPr>
                <w:rFonts w:ascii="宋体" w:hAnsi="宋体"/>
                <w:color w:val="auto"/>
                <w:kern w:val="21"/>
                <w:highlight w:val="none"/>
              </w:rPr>
            </w:pPr>
            <w:r>
              <w:rPr>
                <w:rFonts w:hint="eastAsia" w:ascii="宋体" w:hAnsi="宋体"/>
                <w:color w:val="auto"/>
                <w:highlight w:val="none"/>
              </w:rPr>
              <w:t>邮政编码：</w:t>
            </w:r>
          </w:p>
        </w:tc>
      </w:tr>
      <w:tr w14:paraId="5BBD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516" w:type="pct"/>
            <w:vAlign w:val="center"/>
          </w:tcPr>
          <w:p w14:paraId="4EA08D8E">
            <w:pPr>
              <w:spacing w:line="360" w:lineRule="auto"/>
              <w:ind w:left="80"/>
              <w:rPr>
                <w:rFonts w:ascii="宋体" w:hAnsi="宋体"/>
                <w:color w:val="auto"/>
                <w:highlight w:val="none"/>
              </w:rPr>
            </w:pPr>
            <w:r>
              <w:rPr>
                <w:rFonts w:hint="eastAsia" w:ascii="宋体" w:hAnsi="宋体"/>
                <w:color w:val="auto"/>
                <w:highlight w:val="none"/>
              </w:rPr>
              <w:t xml:space="preserve">签订时间：    年     月     日 </w:t>
            </w:r>
          </w:p>
        </w:tc>
        <w:tc>
          <w:tcPr>
            <w:tcW w:w="2483" w:type="pct"/>
            <w:vAlign w:val="center"/>
          </w:tcPr>
          <w:p w14:paraId="1F06B36B">
            <w:pPr>
              <w:spacing w:line="360" w:lineRule="auto"/>
              <w:rPr>
                <w:rFonts w:ascii="宋体" w:hAnsi="宋体"/>
                <w:color w:val="auto"/>
                <w:highlight w:val="none"/>
              </w:rPr>
            </w:pPr>
            <w:r>
              <w:rPr>
                <w:rFonts w:hint="eastAsia" w:ascii="宋体" w:hAnsi="宋体"/>
                <w:color w:val="auto"/>
                <w:highlight w:val="none"/>
              </w:rPr>
              <w:t>签订时间：    年     月     日</w:t>
            </w:r>
          </w:p>
        </w:tc>
      </w:tr>
    </w:tbl>
    <w:p w14:paraId="25244165">
      <w:pPr>
        <w:spacing w:after="360" w:line="500" w:lineRule="exact"/>
        <w:jc w:val="center"/>
        <w:rPr>
          <w:rFonts w:hint="eastAsia" w:ascii="宋体" w:hAnsi="宋体" w:eastAsia="宋体"/>
          <w:bCs/>
          <w:color w:val="auto"/>
          <w:sz w:val="32"/>
          <w:szCs w:val="32"/>
          <w:highlight w:val="none"/>
          <w:lang w:val="zh-TW" w:eastAsia="zh-TW"/>
        </w:rPr>
        <w:sectPr>
          <w:pgSz w:w="11907" w:h="16840"/>
          <w:pgMar w:top="1077" w:right="1134" w:bottom="1077" w:left="1134" w:header="720" w:footer="720" w:gutter="0"/>
          <w:cols w:space="720" w:num="1"/>
          <w:docGrid w:linePitch="285" w:charSpace="0"/>
        </w:sectPr>
      </w:pPr>
    </w:p>
    <w:p w14:paraId="408E201D">
      <w:pPr>
        <w:spacing w:after="360" w:line="500" w:lineRule="exact"/>
        <w:jc w:val="center"/>
        <w:rPr>
          <w:rFonts w:ascii="宋体" w:hAnsi="宋体" w:eastAsia="宋体"/>
          <w:bCs/>
          <w:color w:val="auto"/>
          <w:sz w:val="32"/>
          <w:szCs w:val="32"/>
          <w:highlight w:val="none"/>
          <w:lang w:val="zh-TW" w:eastAsia="zh-TW"/>
        </w:rPr>
      </w:pPr>
      <w:r>
        <w:rPr>
          <w:rFonts w:hint="eastAsia" w:ascii="宋体" w:hAnsi="宋体" w:eastAsia="宋体"/>
          <w:bCs/>
          <w:color w:val="auto"/>
          <w:sz w:val="32"/>
          <w:szCs w:val="32"/>
          <w:highlight w:val="none"/>
          <w:lang w:val="zh-TW" w:eastAsia="zh-TW"/>
        </w:rPr>
        <w:t>安全环保协议书</w:t>
      </w:r>
    </w:p>
    <w:p w14:paraId="2217FAEB">
      <w:pPr>
        <w:spacing w:line="420" w:lineRule="exact"/>
        <w:rPr>
          <w:rFonts w:ascii="宋体" w:hAnsi="宋体" w:eastAsia="宋体" w:cs="宋体"/>
          <w:color w:val="auto"/>
          <w:sz w:val="22"/>
          <w:highlight w:val="none"/>
        </w:rPr>
      </w:pPr>
      <w:r>
        <w:rPr>
          <w:rFonts w:hint="eastAsia" w:ascii="宋体" w:hAnsi="宋体" w:eastAsia="宋体" w:cs="宋体"/>
          <w:color w:val="auto"/>
          <w:sz w:val="22"/>
          <w:highlight w:val="none"/>
        </w:rPr>
        <w:t>托运人（甲方）：江西赣能股份有限公司丰城发电厂</w:t>
      </w:r>
    </w:p>
    <w:p w14:paraId="18A94236">
      <w:pPr>
        <w:spacing w:line="420" w:lineRule="exact"/>
        <w:rPr>
          <w:rFonts w:ascii="宋体" w:hAnsi="宋体" w:eastAsia="宋体" w:cs="宋体"/>
          <w:color w:val="auto"/>
          <w:sz w:val="22"/>
          <w:highlight w:val="none"/>
        </w:rPr>
      </w:pPr>
      <w:r>
        <w:rPr>
          <w:rFonts w:hint="eastAsia" w:ascii="宋体" w:hAnsi="宋体" w:eastAsia="宋体" w:cs="宋体"/>
          <w:color w:val="auto"/>
          <w:sz w:val="22"/>
          <w:highlight w:val="none"/>
        </w:rPr>
        <w:t>承运人（乙方）：</w:t>
      </w:r>
    </w:p>
    <w:p w14:paraId="15B154D6">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根据《中华人民共和国</w:t>
      </w:r>
      <w:r>
        <w:rPr>
          <w:rFonts w:hint="eastAsia" w:ascii="宋体" w:hAnsi="宋体" w:eastAsia="宋体" w:cs="宋体"/>
          <w:color w:val="auto"/>
          <w:sz w:val="22"/>
          <w:highlight w:val="none"/>
        </w:rPr>
        <w:t>民法典</w:t>
      </w:r>
      <w:r>
        <w:rPr>
          <w:rFonts w:hint="eastAsia" w:ascii="宋体" w:hAnsi="宋体" w:eastAsia="宋体" w:cs="宋体"/>
          <w:color w:val="auto"/>
          <w:sz w:val="22"/>
          <w:highlight w:val="none"/>
          <w:lang w:val="zh-TW" w:eastAsia="zh-TW"/>
        </w:rPr>
        <w:t>》、《中华人民共和国安全生产法》等有关法律、法规以及</w:t>
      </w:r>
      <w:r>
        <w:rPr>
          <w:rFonts w:hint="eastAsia" w:ascii="宋体" w:hAnsi="宋体" w:eastAsia="宋体" w:cs="宋体"/>
          <w:color w:val="auto"/>
          <w:sz w:val="22"/>
          <w:highlight w:val="none"/>
        </w:rPr>
        <w:t>甲方</w:t>
      </w:r>
      <w:r>
        <w:rPr>
          <w:rFonts w:hint="eastAsia" w:ascii="宋体" w:hAnsi="宋体" w:eastAsia="宋体" w:cs="宋体"/>
          <w:color w:val="auto"/>
          <w:sz w:val="22"/>
          <w:highlight w:val="none"/>
          <w:lang w:val="zh-TW" w:eastAsia="zh-TW"/>
        </w:rPr>
        <w:t>有关安全环保管理规定，结合</w:t>
      </w:r>
      <w:r>
        <w:rPr>
          <w:rFonts w:hint="eastAsia" w:ascii="宋体" w:hAnsi="宋体" w:eastAsia="宋体" w:cs="宋体"/>
          <w:color w:val="auto"/>
          <w:sz w:val="22"/>
          <w:highlight w:val="none"/>
        </w:rPr>
        <w:t xml:space="preserve">货物运输 </w:t>
      </w:r>
      <w:r>
        <w:rPr>
          <w:rFonts w:hint="eastAsia" w:ascii="宋体" w:hAnsi="宋体" w:eastAsia="宋体" w:cs="宋体"/>
          <w:color w:val="auto"/>
          <w:sz w:val="22"/>
          <w:highlight w:val="none"/>
          <w:lang w:val="zh-TW" w:eastAsia="zh-TW"/>
        </w:rPr>
        <w:t>实际，经甲乙双方平等协商一致，自愿签订本协议，并在作业中共同遵守本协议的各项规定。</w:t>
      </w:r>
    </w:p>
    <w:p w14:paraId="04A7957D">
      <w:pPr>
        <w:spacing w:line="420" w:lineRule="exact"/>
        <w:ind w:firstLine="630"/>
        <w:rPr>
          <w:rFonts w:ascii="宋体" w:hAnsi="宋体" w:eastAsia="宋体" w:cs="宋体"/>
          <w:b/>
          <w:bCs/>
          <w:color w:val="auto"/>
          <w:sz w:val="22"/>
          <w:highlight w:val="none"/>
          <w:lang w:val="zh-TW" w:eastAsia="zh-TW"/>
        </w:rPr>
      </w:pPr>
      <w:r>
        <w:rPr>
          <w:rFonts w:hint="eastAsia" w:ascii="宋体" w:hAnsi="宋体" w:eastAsia="宋体" w:cs="宋体"/>
          <w:b/>
          <w:bCs/>
          <w:color w:val="auto"/>
          <w:sz w:val="22"/>
          <w:highlight w:val="none"/>
          <w:lang w:val="zh-TW" w:eastAsia="zh-TW"/>
        </w:rPr>
        <w:t>一、甲方的权利、义务</w:t>
      </w:r>
    </w:p>
    <w:p w14:paraId="50E1F3F7">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（一）权利</w:t>
      </w:r>
    </w:p>
    <w:p w14:paraId="3FFB500F">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1.甲方有权督促乙方严格遵守安全环保法律、法规和相关的安全环保管理制度。</w:t>
      </w:r>
    </w:p>
    <w:p w14:paraId="726D73A5">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2.甲方有权审查乙方的相关资质、安全环保管理制度、近两年来的安全环保业绩、人员持证上岗资格等。</w:t>
      </w:r>
    </w:p>
    <w:p w14:paraId="23640769">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3.甲方有权要求乙方告知其作业过程中存在的各类风险，以及针对风险制定的防范与保证措施。</w:t>
      </w:r>
    </w:p>
    <w:p w14:paraId="1EA7FB30">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4.甲方有权对乙方进行监督检查，并针对发现的“三违”现象，按照甲方的相关管理制度进行处罚。</w:t>
      </w:r>
    </w:p>
    <w:p w14:paraId="6EC71DEB">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5.甲方有权对不遵守规章制度和不服从管理的乙方取消其服务资格。</w:t>
      </w:r>
    </w:p>
    <w:p w14:paraId="056BCB9A">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（二）义务</w:t>
      </w:r>
    </w:p>
    <w:p w14:paraId="6FD33613">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1.甲方有义务向乙方提供符合法律、法规和安全环保要求的作业现场。</w:t>
      </w:r>
    </w:p>
    <w:p w14:paraId="5571AC23">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2.甲方有义务对乙方进行安全教育培训。</w:t>
      </w:r>
    </w:p>
    <w:p w14:paraId="6611F183">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3.甲方有义务向乙方告知生产现场存在的危险源及其风险削减控制措施与应急措施、警示标识及相关规定等内容。</w:t>
      </w:r>
    </w:p>
    <w:p w14:paraId="3C0ADE70">
      <w:pPr>
        <w:pStyle w:val="9"/>
        <w:spacing w:line="420" w:lineRule="exact"/>
        <w:ind w:firstLine="440"/>
        <w:rPr>
          <w:rFonts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4.甲方有义务及时、如实报告事故，并启动相应的应急处置预案，全力组织抢救伤员、保护现场，防止事故的扩大。</w:t>
      </w:r>
    </w:p>
    <w:p w14:paraId="63A28BA6">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rPr>
        <w:t>5</w:t>
      </w:r>
      <w:r>
        <w:rPr>
          <w:rFonts w:hint="eastAsia" w:ascii="宋体" w:hAnsi="宋体" w:eastAsia="宋体" w:cs="宋体"/>
          <w:color w:val="auto"/>
          <w:sz w:val="22"/>
          <w:highlight w:val="none"/>
          <w:lang w:val="zh-TW" w:eastAsia="zh-TW"/>
        </w:rPr>
        <w:t>.甲方对乙方安全生产管理负有监管责任。</w:t>
      </w:r>
    </w:p>
    <w:p w14:paraId="17A2B446">
      <w:pPr>
        <w:spacing w:line="420" w:lineRule="exact"/>
        <w:ind w:firstLine="630"/>
        <w:rPr>
          <w:rFonts w:ascii="宋体" w:hAnsi="宋体" w:eastAsia="宋体" w:cs="宋体"/>
          <w:b/>
          <w:bCs/>
          <w:color w:val="auto"/>
          <w:sz w:val="22"/>
          <w:highlight w:val="none"/>
          <w:lang w:val="zh-TW" w:eastAsia="zh-TW"/>
        </w:rPr>
      </w:pPr>
      <w:r>
        <w:rPr>
          <w:rFonts w:hint="eastAsia" w:ascii="宋体" w:hAnsi="宋体" w:eastAsia="宋体" w:cs="宋体"/>
          <w:b/>
          <w:bCs/>
          <w:color w:val="auto"/>
          <w:sz w:val="22"/>
          <w:highlight w:val="none"/>
          <w:lang w:val="zh-TW" w:eastAsia="zh-TW"/>
        </w:rPr>
        <w:t>二、乙方的权利、义务</w:t>
      </w:r>
    </w:p>
    <w:p w14:paraId="6F621D78">
      <w:pPr>
        <w:spacing w:line="420" w:lineRule="exact"/>
        <w:ind w:firstLine="369" w:firstLineChars="168"/>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（一）权利</w:t>
      </w:r>
    </w:p>
    <w:p w14:paraId="22B6476A">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 xml:space="preserve">1.乙方有权要求甲方告知生产现场存在的危险源及其风险削减控制措施与应急措施、警示标识及相关规定等内容。 </w:t>
      </w:r>
    </w:p>
    <w:p w14:paraId="41C5CEE8">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2.乙方有权拒绝甲方的违章指挥和强令冒险作业。</w:t>
      </w:r>
    </w:p>
    <w:p w14:paraId="01B646EA">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（二）义务</w:t>
      </w:r>
    </w:p>
    <w:p w14:paraId="145FB4EC">
      <w:pPr>
        <w:tabs>
          <w:tab w:val="left" w:pos="8504"/>
          <w:tab w:val="left" w:pos="10065"/>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1. 乙方作业车辆进入甲方厂区时必须按规定路线、道路交通标志提示通行，有限速和警示标志的，不得违反标志行驶；没有交通标志路段保持低速行驶，认真观察路况，谨慎通过。</w:t>
      </w:r>
    </w:p>
    <w:p w14:paraId="743284E1">
      <w:pPr>
        <w:tabs>
          <w:tab w:val="left" w:pos="8504"/>
          <w:tab w:val="left" w:pos="10065"/>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2.乙方车辆驾驶员应证照齐全有效，不得酒后、疲劳驾驶。乙方驾驶员进入甲方生产现场必须按照甲方安全管理规定执行，且必须正确佩戴好安全防护用品。</w:t>
      </w:r>
    </w:p>
    <w:p w14:paraId="21DF4D52">
      <w:pPr>
        <w:tabs>
          <w:tab w:val="left" w:pos="8504"/>
          <w:tab w:val="left" w:pos="10065"/>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3.乙方车辆驾驶员应严格遵守道路交通法规和甲方相关管理规章制度，严禁违章作业。进入甲方所有区域内不得随意乱扔各类废弃物，并应当随时接受甲方安全、环保管理人员的监督管理及检查。由于乙方造成的环境污染或其他责任事故和因此发生的一切费用，全部由乙方承担。</w:t>
      </w:r>
    </w:p>
    <w:p w14:paraId="0AB57E8B">
      <w:pPr>
        <w:tabs>
          <w:tab w:val="left" w:pos="10065"/>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4.乙方车辆运输散状物料必须加盖蓬布，防止道路遗洒和道路扬尘。</w:t>
      </w:r>
    </w:p>
    <w:p w14:paraId="59727BB2">
      <w:pPr>
        <w:tabs>
          <w:tab w:val="left" w:pos="9752"/>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5.乙方运输车辆应保持整洁，不得带病作业。</w:t>
      </w:r>
    </w:p>
    <w:p w14:paraId="4AE74477">
      <w:pPr>
        <w:tabs>
          <w:tab w:val="left" w:pos="9752"/>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6.乙方有义务服从甲方统一的生产调度和指挥。</w:t>
      </w:r>
    </w:p>
    <w:p w14:paraId="6D596424">
      <w:pPr>
        <w:tabs>
          <w:tab w:val="left" w:pos="9752"/>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7.对乙方在甲方厂区内进行运输或装卸服务过程中，应当随时接受甲方相关工作人员的监督检查。</w:t>
      </w:r>
    </w:p>
    <w:p w14:paraId="6E064292">
      <w:pPr>
        <w:tabs>
          <w:tab w:val="left" w:pos="9752"/>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8.乙方在甲方区域内发生的重大伤亡及其它安全事故负主体责任，并主动向事故发生地县级以上人民政府安全生产监督管理部门和负有安全生产监督管理职责的有关部门报告，并依照《生产安全事故报告和调查处理条例》（国务院令493号）及相关规定配合相关部门做好事故调查处理工作。</w:t>
      </w:r>
    </w:p>
    <w:p w14:paraId="5F80B871">
      <w:pPr>
        <w:spacing w:line="420" w:lineRule="exact"/>
        <w:ind w:firstLine="630"/>
        <w:rPr>
          <w:rFonts w:ascii="宋体" w:hAnsi="宋体" w:eastAsia="宋体" w:cs="宋体"/>
          <w:b/>
          <w:bCs/>
          <w:color w:val="auto"/>
          <w:sz w:val="22"/>
          <w:highlight w:val="none"/>
          <w:lang w:val="zh-TW" w:eastAsia="zh-TW"/>
        </w:rPr>
      </w:pPr>
      <w:r>
        <w:rPr>
          <w:rFonts w:hint="eastAsia" w:ascii="宋体" w:hAnsi="宋体" w:eastAsia="宋体" w:cs="宋体"/>
          <w:b/>
          <w:bCs/>
          <w:color w:val="auto"/>
          <w:sz w:val="22"/>
          <w:highlight w:val="none"/>
          <w:lang w:val="zh-TW" w:eastAsia="zh-TW"/>
        </w:rPr>
        <w:t>三、违约责任</w:t>
      </w:r>
    </w:p>
    <w:p w14:paraId="5454DE46">
      <w:pPr>
        <w:tabs>
          <w:tab w:val="left" w:pos="10065"/>
        </w:tabs>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（一）甲方违反本协议规定造成事故或造成乙方人员、车辆损失的，由甲方承担赔偿责任；乙方违反本协议规定造成事故或甲方道路、设备设施损坏的，由乙方承担赔偿责任。</w:t>
      </w:r>
    </w:p>
    <w:p w14:paraId="39D7B8A0">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（二）甲乙双方共同违约造成事故的，根据事故调查结果确定双方的责任。</w:t>
      </w:r>
    </w:p>
    <w:p w14:paraId="72270D87">
      <w:pPr>
        <w:spacing w:line="420" w:lineRule="exact"/>
        <w:ind w:firstLine="630"/>
        <w:rPr>
          <w:rFonts w:ascii="宋体" w:hAnsi="宋体" w:eastAsia="宋体" w:cs="宋体"/>
          <w:b/>
          <w:bCs/>
          <w:color w:val="auto"/>
          <w:sz w:val="22"/>
          <w:highlight w:val="none"/>
          <w:lang w:val="zh-TW" w:eastAsia="zh-TW"/>
        </w:rPr>
      </w:pPr>
      <w:r>
        <w:rPr>
          <w:rFonts w:hint="eastAsia" w:ascii="宋体" w:hAnsi="宋体" w:eastAsia="宋体" w:cs="宋体"/>
          <w:b/>
          <w:bCs/>
          <w:color w:val="auto"/>
          <w:sz w:val="22"/>
          <w:highlight w:val="none"/>
          <w:lang w:val="zh-TW" w:eastAsia="zh-TW"/>
        </w:rPr>
        <w:t>四、其它</w:t>
      </w:r>
    </w:p>
    <w:p w14:paraId="7A4F50EC">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（一）本协议自双方签字、盖章之日起生效。本协议履行过程中发生纠纷，由双方协商解决。协商达不成的，可向甲方所在地有管辖权的人民法院起诉。</w:t>
      </w:r>
    </w:p>
    <w:p w14:paraId="7EB6D04C">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（二）本协议如有与国家法律法规相抵触者，以国家法律法规为准。</w:t>
      </w:r>
    </w:p>
    <w:p w14:paraId="3B083D00">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（三）本协议有效期限与《</w:t>
      </w:r>
      <w:r>
        <w:rPr>
          <w:rFonts w:hint="eastAsia"/>
          <w:color w:val="auto"/>
          <w:highlight w:val="none"/>
          <w:lang w:val="en-US" w:eastAsia="zh-CN"/>
        </w:rPr>
        <w:t>10万吨</w:t>
      </w:r>
      <w:r>
        <w:rPr>
          <w:rFonts w:hint="eastAsia"/>
          <w:color w:val="auto"/>
          <w:highlight w:val="none"/>
          <w:lang w:eastAsia="zh-CN"/>
        </w:rPr>
        <w:t>脱硫石膏处置</w:t>
      </w:r>
      <w:r>
        <w:rPr>
          <w:rFonts w:hint="eastAsia"/>
          <w:color w:val="auto"/>
          <w:highlight w:val="none"/>
          <w:lang w:val="en-US" w:eastAsia="zh-CN"/>
        </w:rPr>
        <w:t>6.2万吨炉渣处置</w:t>
      </w:r>
      <w:r>
        <w:rPr>
          <w:rFonts w:hint="eastAsia"/>
          <w:color w:val="auto"/>
          <w:highlight w:val="none"/>
          <w:lang w:eastAsia="zh-CN"/>
        </w:rPr>
        <w:t>项目</w:t>
      </w:r>
      <w:r>
        <w:rPr>
          <w:rFonts w:hint="eastAsia" w:ascii="宋体" w:hAnsi="宋体" w:eastAsia="宋体" w:cs="宋体"/>
          <w:color w:val="auto"/>
          <w:sz w:val="22"/>
          <w:highlight w:val="none"/>
          <w:lang w:val="zh-TW" w:eastAsia="zh-TW"/>
        </w:rPr>
        <w:t xml:space="preserve">》一致。  </w:t>
      </w:r>
    </w:p>
    <w:p w14:paraId="109A10D6">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甲方：</w:t>
      </w:r>
    </w:p>
    <w:p w14:paraId="524140BE">
      <w:pPr>
        <w:spacing w:line="420" w:lineRule="exact"/>
        <w:ind w:firstLine="440" w:firstLineChars="200"/>
        <w:rPr>
          <w:rFonts w:ascii="宋体" w:hAnsi="宋体" w:eastAsia="宋体" w:cs="宋体"/>
          <w:color w:val="auto"/>
          <w:sz w:val="22"/>
          <w:highlight w:val="none"/>
          <w:lang w:val="zh-TW" w:eastAsia="zh-TW"/>
        </w:rPr>
      </w:pPr>
      <w:r>
        <w:rPr>
          <w:rFonts w:hint="eastAsia" w:ascii="宋体" w:hAnsi="宋体" w:eastAsia="宋体" w:cs="宋体"/>
          <w:color w:val="auto"/>
          <w:sz w:val="22"/>
          <w:highlight w:val="none"/>
          <w:lang w:val="zh-TW" w:eastAsia="zh-TW"/>
        </w:rPr>
        <w:t>安健环管理部（盖章）                      乙方（盖章）</w:t>
      </w:r>
    </w:p>
    <w:p w14:paraId="237EFEEB">
      <w:pPr>
        <w:spacing w:line="420" w:lineRule="exact"/>
        <w:rPr>
          <w:rFonts w:ascii="宋体" w:hAnsi="宋体" w:eastAsia="宋体"/>
          <w:color w:val="auto"/>
          <w:highlight w:val="none"/>
          <w:lang w:val="zh-TW" w:eastAsia="zh-TW"/>
        </w:rPr>
      </w:pPr>
    </w:p>
    <w:p w14:paraId="0514726E">
      <w:pPr>
        <w:spacing w:line="360" w:lineRule="auto"/>
        <w:ind w:firstLine="440" w:firstLineChars="200"/>
        <w:rPr>
          <w:rFonts w:ascii="宋体" w:hAnsi="宋体"/>
          <w:b/>
          <w:color w:val="auto"/>
          <w:w w:val="80"/>
          <w:sz w:val="28"/>
          <w:szCs w:val="28"/>
          <w:highlight w:val="none"/>
        </w:rPr>
      </w:pPr>
      <w:r>
        <w:rPr>
          <w:rFonts w:hint="eastAsia" w:ascii="宋体" w:hAnsi="宋体" w:eastAsia="宋体" w:cs="宋体"/>
          <w:color w:val="auto"/>
          <w:sz w:val="22"/>
          <w:highlight w:val="none"/>
        </w:rPr>
        <w:t xml:space="preserve">发电部（盖章） </w:t>
      </w:r>
      <w:r>
        <w:rPr>
          <w:rFonts w:ascii="宋体" w:hAnsi="宋体" w:eastAsia="宋体" w:cs="宋体"/>
          <w:color w:val="auto"/>
          <w:sz w:val="22"/>
          <w:highlight w:val="none"/>
        </w:rPr>
        <w:t xml:space="preserve">                    </w:t>
      </w:r>
      <w:r>
        <w:rPr>
          <w:rFonts w:hint="eastAsia" w:ascii="宋体" w:hAnsi="宋体" w:eastAsia="宋体" w:cs="宋体"/>
          <w:color w:val="auto"/>
          <w:sz w:val="22"/>
          <w:highlight w:val="none"/>
        </w:rPr>
        <w:t xml:space="preserve">       法定代表人或授权委托代理人</w:t>
      </w:r>
      <w:r>
        <w:rPr>
          <w:rFonts w:hint="eastAsia" w:ascii="宋体" w:hAnsi="宋体" w:eastAsia="宋体" w:cs="宋体"/>
          <w:color w:val="auto"/>
          <w:sz w:val="22"/>
          <w:highlight w:val="none"/>
          <w:lang w:val="zh-TW" w:eastAsia="zh-TW"/>
        </w:rPr>
        <w:t>：</w:t>
      </w:r>
    </w:p>
    <w:p w14:paraId="4AD470ED">
      <w:pPr>
        <w:spacing w:line="360" w:lineRule="auto"/>
        <w:ind w:firstLine="450" w:firstLineChars="200"/>
        <w:rPr>
          <w:rFonts w:ascii="宋体" w:hAnsi="宋体"/>
          <w:b/>
          <w:color w:val="auto"/>
          <w:w w:val="80"/>
          <w:sz w:val="28"/>
          <w:szCs w:val="28"/>
          <w:highlight w:val="none"/>
        </w:rPr>
        <w:sectPr>
          <w:pgSz w:w="11906" w:h="16838"/>
          <w:pgMar w:top="1440" w:right="1418" w:bottom="1418" w:left="1440" w:header="851" w:footer="992" w:gutter="0"/>
          <w:cols w:space="720" w:num="1"/>
          <w:docGrid w:type="lines" w:linePitch="312" w:charSpace="0"/>
        </w:sectPr>
      </w:pPr>
    </w:p>
    <w:p w14:paraId="17AF439E">
      <w:pPr>
        <w:pStyle w:val="4"/>
        <w:spacing w:line="360" w:lineRule="auto"/>
        <w:ind w:left="0" w:firstLine="0"/>
        <w:jc w:val="center"/>
        <w:rPr>
          <w:rFonts w:ascii="宋体" w:hAnsi="宋体" w:eastAsia="宋体"/>
          <w:b/>
          <w:color w:val="auto"/>
          <w:sz w:val="36"/>
          <w:szCs w:val="36"/>
          <w:highlight w:val="none"/>
        </w:rPr>
      </w:pPr>
      <w:bookmarkStart w:id="10" w:name="_Toc357178303"/>
      <w:r>
        <w:rPr>
          <w:rFonts w:hint="eastAsia" w:ascii="宋体" w:hAnsi="宋体" w:eastAsia="宋体"/>
          <w:b/>
          <w:color w:val="auto"/>
          <w:sz w:val="36"/>
          <w:szCs w:val="36"/>
          <w:highlight w:val="none"/>
        </w:rPr>
        <w:t>第五章   附　件</w:t>
      </w:r>
      <w:bookmarkEnd w:id="10"/>
    </w:p>
    <w:p w14:paraId="73E8464C">
      <w:pPr>
        <w:spacing w:line="360" w:lineRule="auto"/>
        <w:ind w:firstLine="560" w:firstLineChars="200"/>
        <w:rPr>
          <w:rFonts w:ascii="宋体" w:hAnsi="宋体"/>
          <w:color w:val="auto"/>
          <w:sz w:val="28"/>
          <w:szCs w:val="28"/>
          <w:highlight w:val="none"/>
        </w:rPr>
      </w:pPr>
    </w:p>
    <w:p w14:paraId="659467D8">
      <w:pPr>
        <w:spacing w:line="360" w:lineRule="auto"/>
        <w:ind w:firstLine="480" w:firstLineChars="200"/>
        <w:jc w:val="left"/>
        <w:rPr>
          <w:rFonts w:ascii="宋体" w:hAnsi="宋体"/>
          <w:color w:val="auto"/>
          <w:szCs w:val="28"/>
          <w:highlight w:val="none"/>
        </w:rPr>
      </w:pPr>
      <w:r>
        <w:rPr>
          <w:rFonts w:hint="eastAsia" w:ascii="宋体" w:hAnsi="宋体"/>
          <w:color w:val="auto"/>
          <w:szCs w:val="28"/>
          <w:highlight w:val="none"/>
        </w:rPr>
        <w:t>本章提供的格式，限于要求投标人按明确的格式编写投标文件，格式中表述的内容仅供投标人参考，不要求投标人抄录，请投标人认真阅读招标文件后，按照自己的理解慎重填写。</w:t>
      </w:r>
    </w:p>
    <w:p w14:paraId="01552DE3">
      <w:pPr>
        <w:spacing w:line="360" w:lineRule="auto"/>
        <w:ind w:firstLine="448" w:firstLineChars="200"/>
        <w:rPr>
          <w:rFonts w:ascii="宋体" w:hAnsi="宋体"/>
          <w:color w:val="auto"/>
          <w:w w:val="80"/>
          <w:sz w:val="28"/>
          <w:szCs w:val="28"/>
          <w:highlight w:val="none"/>
        </w:rPr>
      </w:pPr>
    </w:p>
    <w:p w14:paraId="35331A4E">
      <w:pPr>
        <w:spacing w:line="360" w:lineRule="auto"/>
        <w:ind w:firstLine="562" w:firstLineChars="200"/>
        <w:rPr>
          <w:rFonts w:ascii="宋体" w:hAnsi="宋体"/>
          <w:b/>
          <w:bCs/>
          <w:color w:val="auto"/>
          <w:sz w:val="28"/>
          <w:szCs w:val="28"/>
          <w:highlight w:val="none"/>
        </w:rPr>
      </w:pPr>
    </w:p>
    <w:p w14:paraId="00544537">
      <w:pPr>
        <w:spacing w:line="360" w:lineRule="auto"/>
        <w:ind w:firstLine="562" w:firstLineChars="200"/>
        <w:rPr>
          <w:rFonts w:ascii="宋体" w:hAnsi="宋体"/>
          <w:b/>
          <w:bCs/>
          <w:color w:val="auto"/>
          <w:sz w:val="28"/>
          <w:szCs w:val="28"/>
          <w:highlight w:val="none"/>
        </w:rPr>
      </w:pPr>
    </w:p>
    <w:p w14:paraId="0617044A">
      <w:pPr>
        <w:spacing w:line="360" w:lineRule="auto"/>
        <w:ind w:firstLine="562" w:firstLineChars="200"/>
        <w:rPr>
          <w:rFonts w:ascii="宋体" w:hAnsi="宋体"/>
          <w:b/>
          <w:bCs/>
          <w:color w:val="auto"/>
          <w:sz w:val="28"/>
          <w:szCs w:val="28"/>
          <w:highlight w:val="none"/>
        </w:rPr>
      </w:pPr>
    </w:p>
    <w:p w14:paraId="7418F6EA">
      <w:pPr>
        <w:spacing w:line="360" w:lineRule="auto"/>
        <w:ind w:firstLine="562" w:firstLineChars="200"/>
        <w:rPr>
          <w:rFonts w:ascii="宋体" w:hAnsi="宋体"/>
          <w:b/>
          <w:bCs/>
          <w:color w:val="auto"/>
          <w:sz w:val="28"/>
          <w:szCs w:val="28"/>
          <w:highlight w:val="none"/>
        </w:rPr>
      </w:pPr>
    </w:p>
    <w:p w14:paraId="3A72B98C">
      <w:pPr>
        <w:spacing w:line="360" w:lineRule="auto"/>
        <w:ind w:firstLine="562" w:firstLineChars="200"/>
        <w:rPr>
          <w:rFonts w:ascii="宋体" w:hAnsi="宋体"/>
          <w:b/>
          <w:bCs/>
          <w:color w:val="auto"/>
          <w:sz w:val="28"/>
          <w:szCs w:val="28"/>
          <w:highlight w:val="none"/>
        </w:rPr>
      </w:pPr>
    </w:p>
    <w:p w14:paraId="04346FA0">
      <w:pPr>
        <w:spacing w:line="360" w:lineRule="auto"/>
        <w:ind w:firstLine="562" w:firstLineChars="200"/>
        <w:rPr>
          <w:rFonts w:ascii="宋体" w:hAnsi="宋体"/>
          <w:b/>
          <w:bCs/>
          <w:color w:val="auto"/>
          <w:sz w:val="28"/>
          <w:szCs w:val="28"/>
          <w:highlight w:val="none"/>
        </w:rPr>
      </w:pPr>
    </w:p>
    <w:p w14:paraId="61687A34">
      <w:pPr>
        <w:spacing w:line="360" w:lineRule="auto"/>
        <w:ind w:firstLine="562" w:firstLineChars="200"/>
        <w:rPr>
          <w:rFonts w:ascii="宋体" w:hAnsi="宋体"/>
          <w:b/>
          <w:bCs/>
          <w:color w:val="auto"/>
          <w:sz w:val="28"/>
          <w:szCs w:val="28"/>
          <w:highlight w:val="none"/>
        </w:rPr>
      </w:pPr>
    </w:p>
    <w:p w14:paraId="5BD4B55C">
      <w:pPr>
        <w:spacing w:line="360" w:lineRule="auto"/>
        <w:ind w:firstLine="562" w:firstLineChars="200"/>
        <w:rPr>
          <w:rFonts w:ascii="宋体" w:hAnsi="宋体"/>
          <w:b/>
          <w:bCs/>
          <w:color w:val="auto"/>
          <w:sz w:val="28"/>
          <w:szCs w:val="28"/>
          <w:highlight w:val="none"/>
        </w:rPr>
      </w:pPr>
    </w:p>
    <w:p w14:paraId="1C9AA391">
      <w:pPr>
        <w:spacing w:line="360" w:lineRule="auto"/>
        <w:ind w:firstLine="562" w:firstLineChars="200"/>
        <w:rPr>
          <w:rFonts w:ascii="宋体" w:hAnsi="宋体"/>
          <w:b/>
          <w:bCs/>
          <w:color w:val="auto"/>
          <w:sz w:val="28"/>
          <w:szCs w:val="28"/>
          <w:highlight w:val="none"/>
        </w:rPr>
      </w:pPr>
    </w:p>
    <w:p w14:paraId="110C55D2">
      <w:pPr>
        <w:spacing w:line="360" w:lineRule="auto"/>
        <w:ind w:firstLine="562" w:firstLineChars="200"/>
        <w:rPr>
          <w:rFonts w:ascii="宋体" w:hAnsi="宋体"/>
          <w:b/>
          <w:bCs/>
          <w:color w:val="auto"/>
          <w:sz w:val="28"/>
          <w:szCs w:val="28"/>
          <w:highlight w:val="none"/>
        </w:rPr>
      </w:pPr>
    </w:p>
    <w:p w14:paraId="47A0A3E9">
      <w:pPr>
        <w:spacing w:line="360" w:lineRule="auto"/>
        <w:ind w:firstLine="562" w:firstLineChars="200"/>
        <w:rPr>
          <w:rFonts w:ascii="宋体" w:hAnsi="宋体"/>
          <w:b/>
          <w:bCs/>
          <w:color w:val="auto"/>
          <w:sz w:val="28"/>
          <w:szCs w:val="28"/>
          <w:highlight w:val="none"/>
        </w:rPr>
      </w:pPr>
    </w:p>
    <w:p w14:paraId="60D2B6BC">
      <w:pPr>
        <w:spacing w:line="360" w:lineRule="auto"/>
        <w:ind w:firstLine="562" w:firstLineChars="200"/>
        <w:rPr>
          <w:rFonts w:ascii="宋体" w:hAnsi="宋体"/>
          <w:b/>
          <w:bCs/>
          <w:color w:val="auto"/>
          <w:sz w:val="28"/>
          <w:szCs w:val="28"/>
          <w:highlight w:val="none"/>
        </w:rPr>
      </w:pPr>
    </w:p>
    <w:p w14:paraId="4E44E0F4">
      <w:pPr>
        <w:spacing w:line="360" w:lineRule="auto"/>
        <w:ind w:firstLine="562" w:firstLineChars="200"/>
        <w:rPr>
          <w:rFonts w:ascii="宋体" w:hAnsi="宋体"/>
          <w:b/>
          <w:bCs/>
          <w:color w:val="auto"/>
          <w:sz w:val="28"/>
          <w:szCs w:val="28"/>
          <w:highlight w:val="none"/>
        </w:rPr>
      </w:pPr>
    </w:p>
    <w:p w14:paraId="63E7AC4E">
      <w:pPr>
        <w:spacing w:line="360" w:lineRule="auto"/>
        <w:ind w:firstLine="562" w:firstLineChars="200"/>
        <w:rPr>
          <w:rFonts w:ascii="宋体" w:hAnsi="宋体"/>
          <w:b/>
          <w:bCs/>
          <w:color w:val="auto"/>
          <w:sz w:val="28"/>
          <w:szCs w:val="28"/>
          <w:highlight w:val="none"/>
        </w:rPr>
      </w:pPr>
    </w:p>
    <w:p w14:paraId="4702C5CB">
      <w:pPr>
        <w:spacing w:line="360" w:lineRule="auto"/>
        <w:ind w:firstLine="562" w:firstLineChars="200"/>
        <w:rPr>
          <w:rFonts w:ascii="宋体" w:hAnsi="宋体"/>
          <w:b/>
          <w:bCs/>
          <w:color w:val="auto"/>
          <w:sz w:val="28"/>
          <w:szCs w:val="28"/>
          <w:highlight w:val="none"/>
        </w:rPr>
      </w:pPr>
    </w:p>
    <w:p w14:paraId="735878DF">
      <w:pPr>
        <w:spacing w:line="360" w:lineRule="auto"/>
        <w:ind w:firstLine="562" w:firstLineChars="200"/>
        <w:rPr>
          <w:rFonts w:ascii="宋体" w:hAnsi="宋体"/>
          <w:b/>
          <w:bCs/>
          <w:color w:val="auto"/>
          <w:sz w:val="28"/>
          <w:szCs w:val="28"/>
          <w:highlight w:val="none"/>
        </w:rPr>
      </w:pPr>
    </w:p>
    <w:p w14:paraId="4190163B">
      <w:pPr>
        <w:spacing w:line="360" w:lineRule="auto"/>
        <w:rPr>
          <w:rFonts w:ascii="宋体" w:hAnsi="宋体"/>
          <w:b/>
          <w:bCs/>
          <w:color w:val="auto"/>
          <w:sz w:val="32"/>
          <w:szCs w:val="32"/>
          <w:highlight w:val="none"/>
        </w:rPr>
        <w:sectPr>
          <w:pgSz w:w="11906" w:h="16838"/>
          <w:pgMar w:top="1440" w:right="1418" w:bottom="1418" w:left="1440" w:header="851" w:footer="992" w:gutter="0"/>
          <w:cols w:space="720" w:num="1"/>
          <w:docGrid w:type="lines" w:linePitch="312" w:charSpace="0"/>
        </w:sectPr>
      </w:pPr>
    </w:p>
    <w:p w14:paraId="3A8F3553">
      <w:pPr>
        <w:spacing w:line="360" w:lineRule="auto"/>
        <w:rPr>
          <w:rFonts w:ascii="宋体" w:hAnsi="宋体"/>
          <w:b/>
          <w:bCs/>
          <w:color w:val="auto"/>
          <w:sz w:val="32"/>
          <w:szCs w:val="32"/>
          <w:highlight w:val="none"/>
        </w:rPr>
      </w:pPr>
      <w:r>
        <w:rPr>
          <w:rFonts w:hint="eastAsia" w:ascii="宋体" w:hAnsi="宋体"/>
          <w:b/>
          <w:bCs/>
          <w:color w:val="auto"/>
          <w:sz w:val="32"/>
          <w:szCs w:val="32"/>
          <w:highlight w:val="none"/>
        </w:rPr>
        <w:t xml:space="preserve">（一）商务标部分 </w:t>
      </w:r>
    </w:p>
    <w:p w14:paraId="57F9356C">
      <w:pPr>
        <w:spacing w:line="360" w:lineRule="auto"/>
        <w:ind w:firstLine="6505" w:firstLineChars="1800"/>
        <w:rPr>
          <w:rFonts w:ascii="黑体" w:eastAsia="黑体"/>
          <w:b/>
          <w:color w:val="auto"/>
          <w:sz w:val="36"/>
          <w:szCs w:val="36"/>
          <w:highlight w:val="none"/>
        </w:rPr>
      </w:pPr>
      <w:r>
        <w:rPr>
          <w:rFonts w:hint="eastAsia"/>
          <w:b/>
          <w:color w:val="auto"/>
          <w:sz w:val="36"/>
          <w:szCs w:val="36"/>
          <w:highlight w:val="none"/>
        </w:rPr>
        <w:t>（正、副）本</w:t>
      </w:r>
    </w:p>
    <w:p w14:paraId="31D02876">
      <w:pPr>
        <w:spacing w:line="360" w:lineRule="auto"/>
        <w:ind w:firstLine="883" w:firstLineChars="200"/>
        <w:rPr>
          <w:rFonts w:ascii="黑体" w:eastAsia="黑体"/>
          <w:b/>
          <w:bCs/>
          <w:color w:val="auto"/>
          <w:sz w:val="44"/>
          <w:szCs w:val="44"/>
          <w:highlight w:val="none"/>
        </w:rPr>
      </w:pPr>
    </w:p>
    <w:p w14:paraId="10237258">
      <w:pPr>
        <w:pStyle w:val="2"/>
        <w:spacing w:after="0" w:line="360" w:lineRule="auto"/>
        <w:rPr>
          <w:rFonts w:ascii="黑体" w:eastAsia="黑体"/>
          <w:b/>
          <w:bCs/>
          <w:color w:val="auto"/>
          <w:sz w:val="44"/>
          <w:szCs w:val="44"/>
          <w:highlight w:val="none"/>
        </w:rPr>
      </w:pPr>
    </w:p>
    <w:p w14:paraId="61E051F1">
      <w:pPr>
        <w:spacing w:line="600" w:lineRule="auto"/>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江西赣能股份有限公司丰城发电厂10万吨脱硫石膏处置6.2万吨炉渣处置项目</w:t>
      </w:r>
    </w:p>
    <w:p w14:paraId="3D6F4734">
      <w:pPr>
        <w:pStyle w:val="2"/>
        <w:spacing w:after="0" w:line="360" w:lineRule="auto"/>
        <w:ind w:firstLine="3357" w:firstLineChars="760"/>
        <w:rPr>
          <w:rFonts w:ascii="宋体" w:hAnsi="宋体"/>
          <w:b/>
          <w:color w:val="auto"/>
          <w:sz w:val="44"/>
          <w:szCs w:val="44"/>
          <w:highlight w:val="none"/>
        </w:rPr>
      </w:pPr>
      <w:r>
        <w:rPr>
          <w:rFonts w:hint="eastAsia" w:ascii="宋体" w:hAnsi="宋体"/>
          <w:b/>
          <w:color w:val="auto"/>
          <w:sz w:val="44"/>
          <w:szCs w:val="44"/>
          <w:highlight w:val="none"/>
        </w:rPr>
        <w:t>投标文件</w:t>
      </w:r>
    </w:p>
    <w:p w14:paraId="1DEDDDA5">
      <w:pPr>
        <w:spacing w:line="360" w:lineRule="auto"/>
        <w:ind w:firstLine="3030" w:firstLineChars="686"/>
        <w:rPr>
          <w:rFonts w:ascii="宋体" w:hAnsi="宋体"/>
          <w:b/>
          <w:color w:val="auto"/>
          <w:sz w:val="44"/>
          <w:highlight w:val="none"/>
        </w:rPr>
      </w:pPr>
      <w:r>
        <w:rPr>
          <w:rFonts w:hint="eastAsia" w:ascii="宋体" w:hAnsi="宋体"/>
          <w:b/>
          <w:color w:val="auto"/>
          <w:sz w:val="44"/>
          <w:highlight w:val="none"/>
        </w:rPr>
        <w:t>（商务标）</w:t>
      </w:r>
    </w:p>
    <w:p w14:paraId="43938DAB">
      <w:pPr>
        <w:spacing w:line="360" w:lineRule="auto"/>
        <w:ind w:firstLine="964" w:firstLineChars="200"/>
        <w:rPr>
          <w:b/>
          <w:color w:val="auto"/>
          <w:sz w:val="48"/>
          <w:highlight w:val="none"/>
        </w:rPr>
      </w:pPr>
    </w:p>
    <w:p w14:paraId="223DCF86">
      <w:pPr>
        <w:spacing w:line="360" w:lineRule="auto"/>
        <w:ind w:firstLine="640" w:firstLineChars="200"/>
        <w:rPr>
          <w:color w:val="auto"/>
          <w:sz w:val="32"/>
          <w:highlight w:val="none"/>
        </w:rPr>
      </w:pPr>
    </w:p>
    <w:p w14:paraId="7DDFB2FA">
      <w:pPr>
        <w:spacing w:line="360" w:lineRule="auto"/>
        <w:ind w:firstLine="640" w:firstLineChars="200"/>
        <w:rPr>
          <w:color w:val="auto"/>
          <w:sz w:val="32"/>
          <w:highlight w:val="none"/>
        </w:rPr>
      </w:pPr>
    </w:p>
    <w:p w14:paraId="12515670">
      <w:pPr>
        <w:spacing w:line="360" w:lineRule="auto"/>
        <w:ind w:firstLine="640" w:firstLineChars="200"/>
        <w:rPr>
          <w:color w:val="auto"/>
          <w:sz w:val="32"/>
          <w:highlight w:val="none"/>
        </w:rPr>
      </w:pPr>
      <w:r>
        <w:rPr>
          <w:rFonts w:hint="eastAsia"/>
          <w:color w:val="auto"/>
          <w:sz w:val="32"/>
          <w:highlight w:val="none"/>
        </w:rPr>
        <w:t>投标人：</w:t>
      </w:r>
      <w:r>
        <w:rPr>
          <w:rFonts w:hint="eastAsia"/>
          <w:color w:val="auto"/>
          <w:sz w:val="32"/>
          <w:highlight w:val="none"/>
          <w:u w:val="single"/>
        </w:rPr>
        <w:t xml:space="preserve">                             （章）</w:t>
      </w:r>
    </w:p>
    <w:p w14:paraId="4A1449A2">
      <w:pPr>
        <w:spacing w:line="360" w:lineRule="auto"/>
        <w:ind w:firstLine="640" w:firstLineChars="200"/>
        <w:rPr>
          <w:color w:val="auto"/>
          <w:sz w:val="32"/>
          <w:highlight w:val="none"/>
          <w:u w:val="single"/>
        </w:rPr>
      </w:pPr>
      <w:r>
        <w:rPr>
          <w:rFonts w:hint="eastAsia"/>
          <w:color w:val="auto"/>
          <w:sz w:val="32"/>
          <w:highlight w:val="none"/>
        </w:rPr>
        <w:t>法定代表人：</w:t>
      </w:r>
      <w:r>
        <w:rPr>
          <w:rFonts w:hint="eastAsia"/>
          <w:color w:val="auto"/>
          <w:sz w:val="32"/>
          <w:highlight w:val="none"/>
          <w:u w:val="single"/>
        </w:rPr>
        <w:t xml:space="preserve">                           （章）</w:t>
      </w:r>
    </w:p>
    <w:p w14:paraId="31D8E648">
      <w:pPr>
        <w:spacing w:line="360" w:lineRule="auto"/>
        <w:ind w:firstLine="640" w:firstLineChars="200"/>
        <w:rPr>
          <w:color w:val="auto"/>
          <w:sz w:val="32"/>
          <w:highlight w:val="none"/>
          <w:u w:val="single"/>
        </w:rPr>
      </w:pPr>
      <w:r>
        <w:rPr>
          <w:rFonts w:hint="eastAsia"/>
          <w:color w:val="auto"/>
          <w:sz w:val="32"/>
          <w:highlight w:val="none"/>
        </w:rPr>
        <w:t>联系人：               电话：</w:t>
      </w:r>
    </w:p>
    <w:p w14:paraId="4F0CAB64">
      <w:pPr>
        <w:spacing w:line="360" w:lineRule="auto"/>
        <w:ind w:firstLine="640" w:firstLineChars="200"/>
        <w:rPr>
          <w:color w:val="auto"/>
          <w:sz w:val="32"/>
          <w:highlight w:val="none"/>
          <w:u w:val="single"/>
        </w:rPr>
      </w:pPr>
      <w:r>
        <w:rPr>
          <w:rFonts w:hint="eastAsia"/>
          <w:color w:val="auto"/>
          <w:sz w:val="32"/>
          <w:highlight w:val="none"/>
        </w:rPr>
        <w:t>投递日期：</w:t>
      </w:r>
    </w:p>
    <w:p w14:paraId="57BAD605">
      <w:pPr>
        <w:spacing w:line="360" w:lineRule="auto"/>
        <w:ind w:firstLine="643" w:firstLineChars="200"/>
        <w:rPr>
          <w:rFonts w:ascii="宋体" w:hAnsi="宋体"/>
          <w:b/>
          <w:bCs/>
          <w:color w:val="auto"/>
          <w:sz w:val="32"/>
          <w:szCs w:val="32"/>
          <w:highlight w:val="none"/>
        </w:rPr>
      </w:pPr>
    </w:p>
    <w:p w14:paraId="0F075A0F">
      <w:pPr>
        <w:spacing w:line="360" w:lineRule="auto"/>
        <w:ind w:firstLine="723" w:firstLineChars="200"/>
        <w:rPr>
          <w:rFonts w:ascii="黑体" w:eastAsia="黑体"/>
          <w:b/>
          <w:bCs/>
          <w:color w:val="auto"/>
          <w:sz w:val="36"/>
          <w:szCs w:val="36"/>
          <w:highlight w:val="none"/>
        </w:rPr>
      </w:pPr>
    </w:p>
    <w:p w14:paraId="3CA17142">
      <w:pPr>
        <w:spacing w:line="360" w:lineRule="auto"/>
        <w:ind w:firstLine="640" w:firstLineChars="200"/>
        <w:jc w:val="center"/>
        <w:rPr>
          <w:rFonts w:ascii="宋体" w:hAnsi="宋体"/>
          <w:bCs/>
          <w:color w:val="auto"/>
          <w:sz w:val="36"/>
          <w:szCs w:val="36"/>
          <w:highlight w:val="none"/>
        </w:rPr>
      </w:pPr>
      <w:r>
        <w:rPr>
          <w:rFonts w:hint="eastAsia" w:ascii="宋体" w:hAnsi="宋体"/>
          <w:bCs/>
          <w:color w:val="auto"/>
          <w:sz w:val="32"/>
          <w:szCs w:val="36"/>
          <w:highlight w:val="none"/>
        </w:rPr>
        <w:t>（在投标截止时间之前不得启封）</w:t>
      </w:r>
    </w:p>
    <w:p w14:paraId="61013A79">
      <w:pPr>
        <w:spacing w:line="360" w:lineRule="auto"/>
        <w:ind w:firstLine="723" w:firstLineChars="200"/>
        <w:rPr>
          <w:rFonts w:ascii="宋体" w:hAnsi="宋体"/>
          <w:b/>
          <w:bCs/>
          <w:color w:val="auto"/>
          <w:sz w:val="36"/>
          <w:szCs w:val="36"/>
          <w:highlight w:val="none"/>
        </w:rPr>
      </w:pPr>
    </w:p>
    <w:p w14:paraId="0005B275">
      <w:pPr>
        <w:spacing w:line="360" w:lineRule="auto"/>
        <w:ind w:firstLine="723" w:firstLineChars="200"/>
        <w:rPr>
          <w:rFonts w:ascii="黑体" w:eastAsia="黑体"/>
          <w:b/>
          <w:bCs/>
          <w:color w:val="auto"/>
          <w:sz w:val="36"/>
          <w:szCs w:val="36"/>
          <w:highlight w:val="none"/>
        </w:rPr>
      </w:pPr>
    </w:p>
    <w:p w14:paraId="2A7DEE84">
      <w:pPr>
        <w:spacing w:line="360" w:lineRule="auto"/>
        <w:jc w:val="center"/>
        <w:rPr>
          <w:rFonts w:ascii="黑体" w:eastAsia="黑体"/>
          <w:b/>
          <w:bCs/>
          <w:color w:val="auto"/>
          <w:sz w:val="36"/>
          <w:szCs w:val="36"/>
          <w:highlight w:val="none"/>
        </w:rPr>
        <w:sectPr>
          <w:pgSz w:w="11906" w:h="16838"/>
          <w:pgMar w:top="1440" w:right="1418" w:bottom="1418" w:left="1440" w:header="851" w:footer="992" w:gutter="0"/>
          <w:cols w:space="720" w:num="1"/>
          <w:docGrid w:type="lines" w:linePitch="312" w:charSpace="0"/>
        </w:sectPr>
      </w:pPr>
    </w:p>
    <w:p w14:paraId="059F3D9B">
      <w:pPr>
        <w:spacing w:line="360" w:lineRule="auto"/>
        <w:jc w:val="center"/>
        <w:rPr>
          <w:rFonts w:ascii="黑体" w:eastAsia="黑体"/>
          <w:b/>
          <w:bCs/>
          <w:color w:val="auto"/>
          <w:sz w:val="36"/>
          <w:szCs w:val="36"/>
          <w:highlight w:val="none"/>
        </w:rPr>
      </w:pPr>
      <w:r>
        <w:rPr>
          <w:rFonts w:hint="eastAsia" w:ascii="黑体" w:eastAsia="黑体"/>
          <w:b/>
          <w:bCs/>
          <w:color w:val="auto"/>
          <w:sz w:val="36"/>
          <w:szCs w:val="36"/>
          <w:highlight w:val="none"/>
        </w:rPr>
        <w:t>1.投标文件</w:t>
      </w:r>
    </w:p>
    <w:p w14:paraId="27B8489F">
      <w:pPr>
        <w:spacing w:line="360" w:lineRule="auto"/>
        <w:ind w:firstLine="480" w:firstLineChars="200"/>
        <w:jc w:val="left"/>
        <w:rPr>
          <w:rFonts w:hint="eastAsia" w:ascii="宋体" w:hAnsi="宋体" w:eastAsia="宋体"/>
          <w:color w:val="auto"/>
          <w:highlight w:val="none"/>
          <w:lang w:eastAsia="zh-CN"/>
        </w:rPr>
      </w:pPr>
      <w:r>
        <w:rPr>
          <w:rFonts w:hint="eastAsia" w:ascii="宋体" w:hAnsi="宋体"/>
          <w:color w:val="auto"/>
          <w:highlight w:val="none"/>
        </w:rPr>
        <w:t>致：</w:t>
      </w:r>
      <w:r>
        <w:rPr>
          <w:rFonts w:hint="eastAsia" w:ascii="宋体" w:hAnsi="宋体"/>
          <w:color w:val="auto"/>
          <w:highlight w:val="none"/>
          <w:lang w:eastAsia="zh-CN"/>
        </w:rPr>
        <w:t>江西赣能股份有限公司丰城发电厂</w:t>
      </w:r>
    </w:p>
    <w:p w14:paraId="793FECAC">
      <w:pPr>
        <w:spacing w:line="360" w:lineRule="auto"/>
        <w:ind w:firstLine="480" w:firstLineChars="200"/>
        <w:jc w:val="left"/>
        <w:rPr>
          <w:rFonts w:ascii="宋体" w:hAnsi="宋体"/>
          <w:color w:val="auto"/>
          <w:highlight w:val="none"/>
        </w:rPr>
      </w:pPr>
      <w:r>
        <w:rPr>
          <w:rFonts w:hint="eastAsia" w:ascii="宋体" w:hAnsi="宋体"/>
          <w:color w:val="auto"/>
          <w:highlight w:val="none"/>
        </w:rPr>
        <w:t>根据贵方为</w:t>
      </w:r>
      <w:r>
        <w:rPr>
          <w:rFonts w:ascii="宋体" w:hAnsi="宋体"/>
          <w:i/>
          <w:color w:val="auto"/>
          <w:highlight w:val="none"/>
        </w:rPr>
        <w:t>(</w:t>
      </w:r>
      <w:r>
        <w:rPr>
          <w:rFonts w:hint="eastAsia" w:ascii="宋体" w:hAnsi="宋体"/>
          <w:i/>
          <w:color w:val="auto"/>
          <w:highlight w:val="none"/>
          <w:u w:val="single"/>
        </w:rPr>
        <w:t>项目名称</w:t>
      </w:r>
      <w:r>
        <w:rPr>
          <w:rFonts w:ascii="宋体" w:hAnsi="宋体"/>
          <w:i/>
          <w:color w:val="auto"/>
          <w:highlight w:val="none"/>
        </w:rPr>
        <w:t>)</w:t>
      </w:r>
      <w:r>
        <w:rPr>
          <w:rFonts w:hint="eastAsia" w:ascii="宋体" w:hAnsi="宋体"/>
          <w:color w:val="auto"/>
          <w:highlight w:val="none"/>
        </w:rPr>
        <w:t>项目招标的投标邀请</w:t>
      </w:r>
      <w:r>
        <w:rPr>
          <w:rFonts w:hint="eastAsia" w:ascii="宋体" w:hAnsi="宋体"/>
          <w:i/>
          <w:color w:val="auto"/>
          <w:highlight w:val="none"/>
        </w:rPr>
        <w:t>(</w:t>
      </w:r>
      <w:r>
        <w:rPr>
          <w:rFonts w:hint="eastAsia" w:ascii="宋体" w:hAnsi="宋体"/>
          <w:i/>
          <w:color w:val="auto"/>
          <w:highlight w:val="none"/>
          <w:u w:val="single"/>
        </w:rPr>
        <w:t>招标编号</w:t>
      </w:r>
      <w:r>
        <w:rPr>
          <w:rFonts w:ascii="宋体" w:hAnsi="宋体"/>
          <w:color w:val="auto"/>
          <w:highlight w:val="none"/>
        </w:rPr>
        <w:t>)</w:t>
      </w:r>
      <w:r>
        <w:rPr>
          <w:rFonts w:hint="eastAsia" w:ascii="宋体" w:hAnsi="宋体"/>
          <w:color w:val="auto"/>
          <w:highlight w:val="none"/>
        </w:rPr>
        <w:t>，签字代表</w:t>
      </w:r>
      <w:r>
        <w:rPr>
          <w:rFonts w:ascii="宋体" w:hAnsi="宋体"/>
          <w:i/>
          <w:color w:val="auto"/>
          <w:highlight w:val="none"/>
        </w:rPr>
        <w:t>(</w:t>
      </w:r>
      <w:r>
        <w:rPr>
          <w:rFonts w:hint="eastAsia" w:ascii="宋体" w:hAnsi="宋体"/>
          <w:i/>
          <w:color w:val="auto"/>
          <w:highlight w:val="none"/>
          <w:u w:val="single"/>
        </w:rPr>
        <w:t>姓名、职务</w:t>
      </w:r>
      <w:r>
        <w:rPr>
          <w:rFonts w:ascii="宋体" w:hAnsi="宋体"/>
          <w:i/>
          <w:color w:val="auto"/>
          <w:highlight w:val="none"/>
        </w:rPr>
        <w:t>)</w:t>
      </w:r>
      <w:r>
        <w:rPr>
          <w:rFonts w:hint="eastAsia" w:ascii="宋体" w:hAnsi="宋体"/>
          <w:color w:val="auto"/>
          <w:highlight w:val="none"/>
        </w:rPr>
        <w:t>经正式授权并代表投标人</w:t>
      </w:r>
      <w:r>
        <w:rPr>
          <w:rFonts w:ascii="宋体" w:hAnsi="宋体"/>
          <w:i/>
          <w:color w:val="auto"/>
          <w:highlight w:val="none"/>
          <w:u w:val="single"/>
        </w:rPr>
        <w:t>(</w:t>
      </w:r>
      <w:r>
        <w:rPr>
          <w:rFonts w:hint="eastAsia" w:ascii="宋体" w:hAnsi="宋体"/>
          <w:i/>
          <w:color w:val="auto"/>
          <w:highlight w:val="none"/>
          <w:u w:val="single"/>
        </w:rPr>
        <w:t>投标人名称、地址)</w:t>
      </w:r>
      <w:r>
        <w:rPr>
          <w:rFonts w:hint="eastAsia" w:ascii="宋体" w:hAnsi="宋体"/>
          <w:color w:val="auto"/>
          <w:highlight w:val="none"/>
        </w:rPr>
        <w:t>提交下述文件正本一份及副本一份：</w:t>
      </w:r>
    </w:p>
    <w:p w14:paraId="5E2A7E17">
      <w:pPr>
        <w:spacing w:line="360" w:lineRule="auto"/>
        <w:ind w:firstLine="480" w:firstLineChars="20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、投标一览表</w:t>
      </w:r>
    </w:p>
    <w:p w14:paraId="50A403E6">
      <w:pPr>
        <w:spacing w:line="360" w:lineRule="auto"/>
        <w:ind w:firstLine="480" w:firstLineChars="200"/>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、服务要求、服务指标承诺书</w:t>
      </w:r>
    </w:p>
    <w:p w14:paraId="154F0343">
      <w:pPr>
        <w:spacing w:line="360" w:lineRule="auto"/>
        <w:ind w:firstLine="480" w:firstLineChars="200"/>
        <w:jc w:val="left"/>
        <w:rPr>
          <w:rFonts w:ascii="宋体" w:hAnsi="宋体"/>
          <w:color w:val="auto"/>
          <w:highlight w:val="none"/>
        </w:rPr>
      </w:pPr>
      <w:r>
        <w:rPr>
          <w:rFonts w:hint="eastAsia" w:ascii="宋体" w:hAnsi="宋体"/>
          <w:color w:val="auto"/>
          <w:highlight w:val="none"/>
        </w:rPr>
        <w:t>3、投标人的合格条件中需提交原件的复印件</w:t>
      </w:r>
    </w:p>
    <w:p w14:paraId="6EE2B7C1">
      <w:pPr>
        <w:spacing w:line="360" w:lineRule="auto"/>
        <w:ind w:firstLine="480" w:firstLineChars="200"/>
        <w:jc w:val="left"/>
        <w:rPr>
          <w:rFonts w:ascii="宋体" w:hAnsi="宋体"/>
          <w:color w:val="auto"/>
          <w:highlight w:val="none"/>
        </w:rPr>
      </w:pPr>
      <w:r>
        <w:rPr>
          <w:rFonts w:hint="eastAsia" w:ascii="宋体" w:hAnsi="宋体"/>
          <w:color w:val="auto"/>
          <w:highlight w:val="none"/>
        </w:rPr>
        <w:t>4、法定代表人资格证明书或法人代表授权书</w:t>
      </w:r>
    </w:p>
    <w:p w14:paraId="51931520">
      <w:pPr>
        <w:spacing w:line="360" w:lineRule="auto"/>
        <w:ind w:firstLine="480" w:firstLineChars="200"/>
        <w:jc w:val="left"/>
        <w:rPr>
          <w:rFonts w:ascii="宋体" w:hAnsi="宋体"/>
          <w:color w:val="auto"/>
          <w:highlight w:val="none"/>
        </w:rPr>
      </w:pPr>
      <w:r>
        <w:rPr>
          <w:rFonts w:hint="eastAsia" w:ascii="宋体" w:hAnsi="宋体"/>
          <w:color w:val="auto"/>
          <w:highlight w:val="none"/>
        </w:rPr>
        <w:t>5、证明投标者所具有资源、经验、能力和财务状况的资料</w:t>
      </w:r>
    </w:p>
    <w:p w14:paraId="78FC7017">
      <w:pPr>
        <w:spacing w:line="360" w:lineRule="auto"/>
        <w:ind w:firstLine="480" w:firstLineChars="200"/>
        <w:jc w:val="left"/>
        <w:rPr>
          <w:rFonts w:ascii="宋体" w:hAnsi="宋体"/>
          <w:color w:val="auto"/>
          <w:highlight w:val="none"/>
        </w:rPr>
      </w:pPr>
      <w:r>
        <w:rPr>
          <w:rFonts w:hint="eastAsia" w:ascii="宋体" w:hAnsi="宋体"/>
          <w:color w:val="auto"/>
          <w:highlight w:val="none"/>
        </w:rPr>
        <w:t>6、所有参加评标计分原件的复印件</w:t>
      </w:r>
    </w:p>
    <w:p w14:paraId="58C42452">
      <w:pPr>
        <w:spacing w:line="360" w:lineRule="auto"/>
        <w:ind w:firstLine="480" w:firstLineChars="200"/>
        <w:jc w:val="left"/>
        <w:rPr>
          <w:rFonts w:ascii="宋体" w:hAnsi="宋体"/>
          <w:color w:val="auto"/>
          <w:highlight w:val="none"/>
        </w:rPr>
      </w:pPr>
      <w:r>
        <w:rPr>
          <w:rFonts w:hint="eastAsia" w:ascii="宋体" w:hAnsi="宋体"/>
          <w:color w:val="auto"/>
          <w:highlight w:val="none"/>
        </w:rPr>
        <w:t>7、提交加盖单位公章的投标保证金凭证复印件，金额为</w:t>
      </w:r>
    </w:p>
    <w:p w14:paraId="7B5C87A3">
      <w:pPr>
        <w:spacing w:line="360" w:lineRule="auto"/>
        <w:ind w:firstLine="480" w:firstLineChars="200"/>
        <w:jc w:val="left"/>
        <w:rPr>
          <w:rFonts w:ascii="宋体" w:hAnsi="宋体"/>
          <w:color w:val="auto"/>
          <w:highlight w:val="none"/>
        </w:rPr>
      </w:pPr>
      <w:r>
        <w:rPr>
          <w:rFonts w:hint="eastAsia" w:ascii="宋体" w:hAnsi="宋体"/>
          <w:color w:val="auto"/>
          <w:highlight w:val="none"/>
        </w:rPr>
        <w:t>据此函</w:t>
      </w:r>
      <w:r>
        <w:rPr>
          <w:rFonts w:ascii="宋体" w:hAnsi="宋体"/>
          <w:color w:val="auto"/>
          <w:highlight w:val="none"/>
        </w:rPr>
        <w:t>,</w:t>
      </w:r>
      <w:r>
        <w:rPr>
          <w:rFonts w:hint="eastAsia" w:ascii="宋体" w:hAnsi="宋体"/>
          <w:color w:val="auto"/>
          <w:highlight w:val="none"/>
        </w:rPr>
        <w:t>签字代表宣布同意如下：</w:t>
      </w:r>
    </w:p>
    <w:p w14:paraId="39184D7A">
      <w:pPr>
        <w:numPr>
          <w:ilvl w:val="0"/>
          <w:numId w:val="3"/>
        </w:numPr>
        <w:spacing w:line="360" w:lineRule="auto"/>
        <w:jc w:val="left"/>
        <w:rPr>
          <w:rFonts w:ascii="宋体" w:hAnsi="宋体"/>
          <w:color w:val="auto"/>
          <w:highlight w:val="none"/>
        </w:rPr>
      </w:pPr>
      <w:r>
        <w:rPr>
          <w:rFonts w:hint="eastAsia" w:ascii="宋体" w:hAnsi="宋体"/>
          <w:color w:val="auto"/>
          <w:highlight w:val="none"/>
        </w:rPr>
        <w:t>所附投标价格表中规定的</w:t>
      </w:r>
      <w:r>
        <w:rPr>
          <w:rFonts w:hint="eastAsia" w:ascii="宋体" w:hAnsi="宋体"/>
          <w:b/>
          <w:bCs/>
          <w:color w:val="auto"/>
          <w:highlight w:val="none"/>
          <w:lang w:eastAsia="zh-CN"/>
        </w:rPr>
        <w:t>石膏</w:t>
      </w:r>
      <w:r>
        <w:rPr>
          <w:rFonts w:hint="eastAsia" w:ascii="宋体" w:hAnsi="宋体"/>
          <w:b/>
          <w:bCs/>
          <w:color w:val="auto"/>
          <w:highlight w:val="none"/>
        </w:rPr>
        <w:t>投标综合单价</w:t>
      </w:r>
      <w:r>
        <w:rPr>
          <w:rFonts w:hint="eastAsia" w:ascii="宋体" w:hAnsi="宋体"/>
          <w:color w:val="auto"/>
          <w:highlight w:val="none"/>
        </w:rPr>
        <w:t>为 元/吨（含</w:t>
      </w:r>
      <w:r>
        <w:rPr>
          <w:rFonts w:hint="eastAsia" w:ascii="宋体" w:hAnsi="宋体"/>
          <w:color w:val="auto"/>
          <w:highlight w:val="none"/>
          <w:lang w:val="en-US" w:eastAsia="zh-CN"/>
        </w:rPr>
        <w:t xml:space="preserve">  </w:t>
      </w:r>
      <w:r>
        <w:rPr>
          <w:rFonts w:hint="eastAsia" w:ascii="宋体" w:hAnsi="宋体"/>
          <w:color w:val="auto"/>
          <w:highlight w:val="none"/>
        </w:rPr>
        <w:t>%增值税</w:t>
      </w:r>
      <w:r>
        <w:rPr>
          <w:rFonts w:ascii="宋体" w:hAnsi="宋体"/>
          <w:color w:val="auto"/>
          <w:highlight w:val="none"/>
        </w:rPr>
        <w:t>）</w:t>
      </w:r>
      <w:r>
        <w:rPr>
          <w:rFonts w:hint="eastAsia" w:ascii="宋体" w:hAnsi="宋体"/>
          <w:color w:val="auto"/>
          <w:highlight w:val="none"/>
        </w:rPr>
        <w:t>。</w:t>
      </w:r>
    </w:p>
    <w:p w14:paraId="04B8EEA3">
      <w:pPr>
        <w:numPr>
          <w:ilvl w:val="0"/>
          <w:numId w:val="3"/>
        </w:numPr>
        <w:spacing w:line="360" w:lineRule="auto"/>
        <w:jc w:val="left"/>
        <w:rPr>
          <w:rFonts w:ascii="宋体" w:hAnsi="宋体"/>
          <w:color w:val="auto"/>
          <w:highlight w:val="none"/>
        </w:rPr>
      </w:pPr>
      <w:r>
        <w:rPr>
          <w:rFonts w:hint="eastAsia" w:ascii="宋体" w:hAnsi="宋体"/>
          <w:color w:val="auto"/>
          <w:highlight w:val="none"/>
        </w:rPr>
        <w:t>投标人将按招标文件的规定履行合同责任和义务。</w:t>
      </w:r>
    </w:p>
    <w:p w14:paraId="7A279BFD">
      <w:pPr>
        <w:numPr>
          <w:ilvl w:val="0"/>
          <w:numId w:val="3"/>
        </w:numPr>
        <w:spacing w:line="360" w:lineRule="auto"/>
        <w:jc w:val="left"/>
        <w:rPr>
          <w:rFonts w:ascii="宋体" w:hAnsi="宋体"/>
          <w:color w:val="auto"/>
          <w:highlight w:val="none"/>
        </w:rPr>
      </w:pPr>
      <w:r>
        <w:rPr>
          <w:rFonts w:hint="eastAsia" w:ascii="宋体" w:hAnsi="宋体"/>
          <w:color w:val="auto"/>
          <w:highlight w:val="none"/>
        </w:rPr>
        <w:t>投标人已详细审查全部招标文件，包括第</w:t>
      </w:r>
      <w:r>
        <w:rPr>
          <w:rFonts w:ascii="宋体" w:hAnsi="宋体"/>
          <w:color w:val="auto"/>
          <w:highlight w:val="none"/>
          <w:u w:val="single"/>
        </w:rPr>
        <w:t>(</w:t>
      </w:r>
      <w:r>
        <w:rPr>
          <w:rFonts w:hint="eastAsia" w:ascii="宋体" w:hAnsi="宋体"/>
          <w:color w:val="auto"/>
          <w:highlight w:val="none"/>
          <w:u w:val="single"/>
        </w:rPr>
        <w:t>编号、补遗书</w:t>
      </w:r>
      <w:r>
        <w:rPr>
          <w:rFonts w:ascii="宋体" w:hAnsi="宋体"/>
          <w:color w:val="auto"/>
          <w:highlight w:val="none"/>
          <w:u w:val="single"/>
        </w:rPr>
        <w:t>)(</w:t>
      </w:r>
      <w:r>
        <w:rPr>
          <w:rFonts w:hint="eastAsia" w:ascii="宋体" w:hAnsi="宋体"/>
          <w:color w:val="auto"/>
          <w:highlight w:val="none"/>
          <w:u w:val="single"/>
        </w:rPr>
        <w:t>如果有的话</w:t>
      </w:r>
      <w:r>
        <w:rPr>
          <w:rFonts w:ascii="宋体" w:hAnsi="宋体"/>
          <w:color w:val="auto"/>
          <w:highlight w:val="none"/>
          <w:u w:val="single"/>
        </w:rPr>
        <w:t>)</w:t>
      </w:r>
      <w:r>
        <w:rPr>
          <w:rFonts w:hint="eastAsia" w:ascii="宋体" w:hAnsi="宋体"/>
          <w:color w:val="auto"/>
          <w:highlight w:val="none"/>
          <w:u w:val="single"/>
        </w:rPr>
        <w:t>。</w:t>
      </w:r>
      <w:r>
        <w:rPr>
          <w:rFonts w:hint="eastAsia" w:ascii="宋体" w:hAnsi="宋体"/>
          <w:color w:val="auto"/>
          <w:highlight w:val="none"/>
        </w:rPr>
        <w:t>我们完全理解并同意放弃对这方面有不明及误解的权力。</w:t>
      </w:r>
    </w:p>
    <w:p w14:paraId="22CDD97A">
      <w:pPr>
        <w:numPr>
          <w:ilvl w:val="0"/>
          <w:numId w:val="3"/>
        </w:numPr>
        <w:spacing w:line="360" w:lineRule="auto"/>
        <w:jc w:val="left"/>
        <w:rPr>
          <w:rFonts w:ascii="宋体" w:hAnsi="宋体"/>
          <w:color w:val="auto"/>
          <w:highlight w:val="none"/>
        </w:rPr>
      </w:pPr>
      <w:r>
        <w:rPr>
          <w:rFonts w:hint="eastAsia" w:ascii="宋体" w:hAnsi="宋体"/>
          <w:color w:val="auto"/>
          <w:highlight w:val="none"/>
        </w:rPr>
        <w:t>本投标有效期为投标截止时间起</w:t>
      </w:r>
      <w:r>
        <w:rPr>
          <w:rFonts w:hint="eastAsia" w:ascii="宋体" w:hAnsi="宋体"/>
          <w:color w:val="auto"/>
          <w:highlight w:val="none"/>
          <w:u w:val="single"/>
        </w:rPr>
        <w:t xml:space="preserve"> 90 </w:t>
      </w:r>
      <w:r>
        <w:rPr>
          <w:rFonts w:hint="eastAsia" w:ascii="宋体" w:hAnsi="宋体"/>
          <w:color w:val="auto"/>
          <w:highlight w:val="none"/>
        </w:rPr>
        <w:t>个日历日。</w:t>
      </w:r>
    </w:p>
    <w:p w14:paraId="2BE8491D">
      <w:pPr>
        <w:numPr>
          <w:ilvl w:val="0"/>
          <w:numId w:val="3"/>
        </w:numPr>
        <w:spacing w:line="360" w:lineRule="auto"/>
        <w:jc w:val="left"/>
        <w:rPr>
          <w:rFonts w:ascii="宋体" w:hAnsi="宋体"/>
          <w:color w:val="auto"/>
          <w:highlight w:val="none"/>
        </w:rPr>
      </w:pPr>
      <w:r>
        <w:rPr>
          <w:rFonts w:hint="eastAsia" w:ascii="宋体" w:hAnsi="宋体"/>
          <w:color w:val="auto"/>
          <w:highlight w:val="none"/>
        </w:rPr>
        <w:t>如果在规定的开标时间后，投标人在投标有效期内撤回投标，其投标保证金将被贵方不予退还。</w:t>
      </w:r>
    </w:p>
    <w:p w14:paraId="0EF845A3">
      <w:pPr>
        <w:numPr>
          <w:ilvl w:val="0"/>
          <w:numId w:val="3"/>
        </w:numPr>
        <w:spacing w:line="360" w:lineRule="auto"/>
        <w:jc w:val="left"/>
        <w:rPr>
          <w:rFonts w:ascii="宋体" w:hAnsi="宋体"/>
          <w:color w:val="auto"/>
          <w:highlight w:val="none"/>
        </w:rPr>
      </w:pPr>
      <w:r>
        <w:rPr>
          <w:rFonts w:hint="eastAsia" w:ascii="宋体" w:hAnsi="宋体"/>
          <w:color w:val="auto"/>
          <w:highlight w:val="none"/>
        </w:rPr>
        <w:t>我方承诺，与发包人聘请的为此项目提供咨询服务的公司及任何附属机构均无关联，我方不是发包人的附属机构。</w:t>
      </w:r>
    </w:p>
    <w:p w14:paraId="2D0F5C14">
      <w:pPr>
        <w:numPr>
          <w:ilvl w:val="0"/>
          <w:numId w:val="3"/>
        </w:numPr>
        <w:spacing w:line="360" w:lineRule="auto"/>
        <w:jc w:val="left"/>
        <w:rPr>
          <w:rFonts w:ascii="宋体" w:hAnsi="宋体"/>
          <w:color w:val="auto"/>
          <w:highlight w:val="none"/>
        </w:rPr>
      </w:pPr>
      <w:r>
        <w:rPr>
          <w:rFonts w:hint="eastAsia" w:ascii="宋体" w:hAnsi="宋体"/>
          <w:color w:val="auto"/>
          <w:highlight w:val="none"/>
        </w:rPr>
        <w:t>投标人同意提供按照贵方可能要求的与其投标有关的一切数据或资料，完全理解贵方不一定接受最高价的投标。</w:t>
      </w:r>
    </w:p>
    <w:p w14:paraId="12F5FAD6">
      <w:pPr>
        <w:numPr>
          <w:ilvl w:val="0"/>
          <w:numId w:val="3"/>
        </w:numPr>
        <w:spacing w:line="360" w:lineRule="auto"/>
        <w:jc w:val="left"/>
        <w:rPr>
          <w:rFonts w:ascii="宋体" w:hAnsi="宋体"/>
          <w:color w:val="auto"/>
          <w:highlight w:val="none"/>
        </w:rPr>
      </w:pPr>
      <w:r>
        <w:rPr>
          <w:rFonts w:hint="eastAsia" w:ascii="宋体" w:hAnsi="宋体"/>
          <w:color w:val="auto"/>
          <w:highlight w:val="none"/>
        </w:rPr>
        <w:t>与本投标有关的一切正式往来信函请寄：</w:t>
      </w:r>
    </w:p>
    <w:p w14:paraId="5667A035">
      <w:pPr>
        <w:spacing w:line="360" w:lineRule="auto"/>
        <w:rPr>
          <w:color w:val="auto"/>
          <w:highlight w:val="none"/>
          <w:u w:val="single"/>
        </w:rPr>
      </w:pPr>
      <w:r>
        <w:rPr>
          <w:rFonts w:hint="eastAsia"/>
          <w:color w:val="auto"/>
          <w:highlight w:val="none"/>
        </w:rPr>
        <w:t>地址    传真</w:t>
      </w:r>
    </w:p>
    <w:p w14:paraId="55BA160C">
      <w:pPr>
        <w:spacing w:line="360" w:lineRule="auto"/>
        <w:rPr>
          <w:color w:val="auto"/>
          <w:highlight w:val="none"/>
          <w:u w:val="single"/>
        </w:rPr>
      </w:pPr>
      <w:r>
        <w:rPr>
          <w:rFonts w:hint="eastAsia"/>
          <w:color w:val="auto"/>
          <w:highlight w:val="none"/>
        </w:rPr>
        <w:t>电话  电子邮件</w:t>
      </w:r>
    </w:p>
    <w:p w14:paraId="2D71F868">
      <w:pPr>
        <w:spacing w:line="360" w:lineRule="auto"/>
        <w:rPr>
          <w:color w:val="auto"/>
          <w:highlight w:val="none"/>
          <w:u w:val="single"/>
        </w:rPr>
      </w:pPr>
      <w:r>
        <w:rPr>
          <w:rFonts w:hint="eastAsia"/>
          <w:color w:val="auto"/>
          <w:highlight w:val="none"/>
        </w:rPr>
        <w:t>投标人代表签字    投标人名称(公章)</w:t>
      </w:r>
    </w:p>
    <w:p w14:paraId="3E025F8D">
      <w:pPr>
        <w:spacing w:line="360" w:lineRule="auto"/>
        <w:rPr>
          <w:color w:val="auto"/>
          <w:highlight w:val="none"/>
          <w:u w:val="single"/>
        </w:rPr>
      </w:pPr>
      <w:r>
        <w:rPr>
          <w:rFonts w:hint="eastAsia"/>
          <w:color w:val="auto"/>
          <w:highlight w:val="none"/>
        </w:rPr>
        <w:t>日期</w:t>
      </w:r>
    </w:p>
    <w:p w14:paraId="1BFD98BD">
      <w:pPr>
        <w:spacing w:line="360" w:lineRule="auto"/>
        <w:ind w:firstLine="560" w:firstLineChars="200"/>
        <w:rPr>
          <w:rFonts w:ascii="黑体" w:eastAsia="黑体"/>
          <w:color w:val="auto"/>
          <w:sz w:val="28"/>
          <w:highlight w:val="none"/>
        </w:rPr>
        <w:sectPr>
          <w:pgSz w:w="11906" w:h="16838"/>
          <w:pgMar w:top="1440" w:right="1418" w:bottom="1418" w:left="1440" w:header="851" w:footer="992" w:gutter="0"/>
          <w:cols w:space="720" w:num="1"/>
          <w:docGrid w:type="lines" w:linePitch="312" w:charSpace="0"/>
        </w:sectPr>
      </w:pPr>
    </w:p>
    <w:p w14:paraId="42780765">
      <w:pPr>
        <w:spacing w:line="360" w:lineRule="auto"/>
        <w:ind w:firstLine="5460" w:firstLineChars="1950"/>
        <w:rPr>
          <w:rFonts w:ascii="黑体" w:eastAsia="黑体"/>
          <w:color w:val="auto"/>
          <w:sz w:val="28"/>
          <w:highlight w:val="none"/>
        </w:rPr>
      </w:pPr>
      <w:r>
        <w:rPr>
          <w:rFonts w:hint="eastAsia" w:ascii="黑体" w:eastAsia="黑体"/>
          <w:color w:val="auto"/>
          <w:sz w:val="28"/>
          <w:highlight w:val="none"/>
        </w:rPr>
        <w:t>2．</w:t>
      </w:r>
      <w:r>
        <w:rPr>
          <w:rFonts w:hint="eastAsia" w:ascii="黑体" w:hAnsi="宋体" w:eastAsia="黑体"/>
          <w:color w:val="auto"/>
          <w:sz w:val="30"/>
          <w:highlight w:val="none"/>
        </w:rPr>
        <w:t>投标一览表</w:t>
      </w:r>
    </w:p>
    <w:p w14:paraId="276868F8">
      <w:pPr>
        <w:spacing w:line="360" w:lineRule="auto"/>
        <w:ind w:firstLine="480" w:firstLineChars="200"/>
        <w:rPr>
          <w:rFonts w:ascii="宋体" w:hAnsi="宋体"/>
          <w:color w:val="auto"/>
          <w:highlight w:val="none"/>
        </w:rPr>
      </w:pPr>
      <w:r>
        <w:rPr>
          <w:rFonts w:hint="eastAsia" w:ascii="宋体" w:hAnsi="宋体"/>
          <w:color w:val="auto"/>
          <w:highlight w:val="none"/>
        </w:rPr>
        <w:t>投标人名称：                           招标编号：</w:t>
      </w:r>
    </w:p>
    <w:tbl>
      <w:tblPr>
        <w:tblStyle w:val="21"/>
        <w:tblW w:w="138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4649"/>
        <w:gridCol w:w="3472"/>
        <w:gridCol w:w="1907"/>
        <w:gridCol w:w="2735"/>
      </w:tblGrid>
      <w:tr w14:paraId="39234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096" w:type="dxa"/>
            <w:vAlign w:val="center"/>
          </w:tcPr>
          <w:p w14:paraId="76D5030A">
            <w:pPr>
              <w:jc w:val="center"/>
              <w:rPr>
                <w:rFonts w:ascii="宋体" w:hAnsi="宋体"/>
                <w:color w:val="auto"/>
                <w:highlight w:val="none"/>
              </w:rPr>
            </w:pPr>
            <w:r>
              <w:rPr>
                <w:rFonts w:hint="eastAsia" w:ascii="宋体" w:hAnsi="宋体"/>
                <w:color w:val="auto"/>
                <w:highlight w:val="none"/>
              </w:rPr>
              <w:t>序号</w:t>
            </w:r>
          </w:p>
        </w:tc>
        <w:tc>
          <w:tcPr>
            <w:tcW w:w="4649" w:type="dxa"/>
            <w:vAlign w:val="center"/>
          </w:tcPr>
          <w:p w14:paraId="7898C81F">
            <w:pPr>
              <w:jc w:val="center"/>
              <w:rPr>
                <w:rFonts w:ascii="宋体" w:hAnsi="宋体"/>
                <w:color w:val="auto"/>
                <w:highlight w:val="none"/>
              </w:rPr>
            </w:pPr>
            <w:r>
              <w:rPr>
                <w:rFonts w:hint="eastAsia" w:ascii="宋体" w:hAnsi="宋体"/>
                <w:color w:val="auto"/>
                <w:highlight w:val="none"/>
              </w:rPr>
              <w:t>项目名称</w:t>
            </w:r>
          </w:p>
        </w:tc>
        <w:tc>
          <w:tcPr>
            <w:tcW w:w="3472" w:type="dxa"/>
            <w:vAlign w:val="center"/>
          </w:tcPr>
          <w:p w14:paraId="19880D15">
            <w:pPr>
              <w:jc w:val="center"/>
              <w:rPr>
                <w:rFonts w:hint="eastAsia" w:ascii="宋体" w:hAnsi="宋体" w:eastAsia="宋体"/>
                <w:color w:val="auto"/>
                <w:highlight w:val="none"/>
                <w:lang w:eastAsia="zh-CN"/>
              </w:rPr>
            </w:pPr>
            <w:r>
              <w:rPr>
                <w:rFonts w:hint="eastAsia" w:ascii="宋体" w:hAnsi="宋体"/>
                <w:color w:val="auto"/>
                <w:highlight w:val="none"/>
              </w:rPr>
              <w:t>石膏综合单价</w:t>
            </w:r>
            <w:r>
              <w:rPr>
                <w:rFonts w:hint="eastAsia" w:ascii="宋体" w:hAnsi="宋体"/>
                <w:color w:val="auto"/>
                <w:highlight w:val="none"/>
                <w:lang w:eastAsia="zh-CN"/>
              </w:rPr>
              <w:t>（元</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1907" w:type="dxa"/>
            <w:vAlign w:val="center"/>
          </w:tcPr>
          <w:p w14:paraId="64D554AE">
            <w:pPr>
              <w:jc w:val="center"/>
              <w:rPr>
                <w:rFonts w:hint="eastAsia" w:ascii="宋体" w:hAnsi="宋体" w:eastAsia="宋体"/>
                <w:color w:val="auto"/>
                <w:highlight w:val="none"/>
                <w:lang w:eastAsia="zh-CN"/>
              </w:rPr>
            </w:pPr>
            <w:r>
              <w:rPr>
                <w:rFonts w:hint="eastAsia" w:ascii="宋体" w:hAnsi="宋体"/>
                <w:color w:val="auto"/>
                <w:highlight w:val="none"/>
                <w:lang w:eastAsia="zh-CN"/>
              </w:rPr>
              <w:t>数量（万</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2735" w:type="dxa"/>
            <w:vAlign w:val="center"/>
          </w:tcPr>
          <w:p w14:paraId="6E8CB329">
            <w:pPr>
              <w:ind w:left="-125" w:leftChars="-52"/>
              <w:jc w:val="center"/>
              <w:rPr>
                <w:rFonts w:ascii="宋体" w:hAnsi="宋体"/>
                <w:color w:val="auto"/>
                <w:highlight w:val="none"/>
              </w:rPr>
            </w:pPr>
            <w:r>
              <w:rPr>
                <w:rFonts w:hint="eastAsia" w:ascii="宋体" w:hAnsi="宋体"/>
                <w:color w:val="auto"/>
                <w:highlight w:val="none"/>
              </w:rPr>
              <w:t>备注</w:t>
            </w:r>
          </w:p>
        </w:tc>
      </w:tr>
      <w:tr w14:paraId="2FCB3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6" w:type="dxa"/>
            <w:vAlign w:val="center"/>
          </w:tcPr>
          <w:p w14:paraId="14EF4936">
            <w:pPr>
              <w:spacing w:line="360" w:lineRule="auto"/>
              <w:ind w:left="-103" w:leftChars="-43" w:firstLine="120" w:firstLineChars="50"/>
              <w:jc w:val="center"/>
              <w:rPr>
                <w:rFonts w:ascii="宋体" w:hAnsi="宋体"/>
                <w:color w:val="auto"/>
                <w:highlight w:val="none"/>
              </w:rPr>
            </w:pPr>
            <w:r>
              <w:rPr>
                <w:rFonts w:hint="eastAsia" w:ascii="宋体" w:hAnsi="宋体"/>
                <w:color w:val="auto"/>
                <w:highlight w:val="none"/>
              </w:rPr>
              <w:t>1</w:t>
            </w:r>
          </w:p>
        </w:tc>
        <w:tc>
          <w:tcPr>
            <w:tcW w:w="4649" w:type="dxa"/>
            <w:vAlign w:val="center"/>
          </w:tcPr>
          <w:p w14:paraId="64DB526E">
            <w:pPr>
              <w:adjustRightInd w:val="0"/>
              <w:snapToGrid w:val="0"/>
              <w:spacing w:line="360" w:lineRule="auto"/>
              <w:jc w:val="center"/>
              <w:rPr>
                <w:rFonts w:ascii="宋体" w:hAnsi="宋体"/>
                <w:color w:val="auto"/>
                <w:highlight w:val="none"/>
              </w:rPr>
            </w:pPr>
            <w:r>
              <w:rPr>
                <w:rFonts w:hint="eastAsia" w:ascii="宋体" w:hAnsi="宋体"/>
                <w:color w:val="auto"/>
                <w:highlight w:val="none"/>
                <w:lang w:eastAsia="zh-CN"/>
              </w:rPr>
              <w:t>江西赣能股份有限公司丰城发电厂10万吨脱硫石膏处置项目</w:t>
            </w:r>
          </w:p>
        </w:tc>
        <w:tc>
          <w:tcPr>
            <w:tcW w:w="3472" w:type="dxa"/>
            <w:vAlign w:val="center"/>
          </w:tcPr>
          <w:p w14:paraId="3251F762">
            <w:pPr>
              <w:spacing w:line="360" w:lineRule="auto"/>
              <w:ind w:firstLine="480" w:firstLineChars="200"/>
              <w:jc w:val="center"/>
              <w:rPr>
                <w:rFonts w:ascii="宋体" w:hAnsi="宋体"/>
                <w:color w:val="auto"/>
                <w:highlight w:val="none"/>
              </w:rPr>
            </w:pPr>
          </w:p>
        </w:tc>
        <w:tc>
          <w:tcPr>
            <w:tcW w:w="1907" w:type="dxa"/>
            <w:vAlign w:val="center"/>
          </w:tcPr>
          <w:p w14:paraId="426F482E">
            <w:pPr>
              <w:spacing w:line="360" w:lineRule="auto"/>
              <w:jc w:val="center"/>
              <w:rPr>
                <w:rFonts w:ascii="宋体" w:hAnsi="宋体"/>
                <w:color w:val="auto"/>
                <w:sz w:val="28"/>
                <w:highlight w:val="none"/>
              </w:rPr>
            </w:pPr>
          </w:p>
        </w:tc>
        <w:tc>
          <w:tcPr>
            <w:tcW w:w="2735" w:type="dxa"/>
            <w:vAlign w:val="center"/>
          </w:tcPr>
          <w:p w14:paraId="1D75DB4E">
            <w:pPr>
              <w:spacing w:line="360" w:lineRule="auto"/>
              <w:ind w:firstLine="480" w:firstLineChars="200"/>
              <w:jc w:val="center"/>
              <w:rPr>
                <w:rFonts w:ascii="宋体" w:hAnsi="宋体"/>
                <w:color w:val="auto"/>
                <w:sz w:val="28"/>
                <w:highlight w:val="none"/>
              </w:rPr>
            </w:pPr>
            <w:r>
              <w:rPr>
                <w:rFonts w:hint="eastAsia" w:ascii="宋体" w:hAnsi="宋体"/>
                <w:bCs/>
                <w:color w:val="auto"/>
                <w:highlight w:val="none"/>
              </w:rPr>
              <w:t>增值税税率</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w:t>
            </w:r>
          </w:p>
        </w:tc>
      </w:tr>
      <w:tr w14:paraId="168B1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6" w:type="dxa"/>
            <w:vAlign w:val="center"/>
          </w:tcPr>
          <w:p w14:paraId="4E7B567D">
            <w:pPr>
              <w:spacing w:line="360" w:lineRule="auto"/>
              <w:ind w:left="-103" w:leftChars="-43" w:firstLine="120" w:firstLineChars="5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4649" w:type="dxa"/>
            <w:vAlign w:val="center"/>
          </w:tcPr>
          <w:p w14:paraId="58BB0D9C">
            <w:pPr>
              <w:jc w:val="center"/>
              <w:rPr>
                <w:rFonts w:hint="eastAsia" w:ascii="宋体" w:hAnsi="宋体"/>
                <w:color w:val="auto"/>
                <w:highlight w:val="none"/>
                <w:lang w:eastAsia="zh-CN"/>
              </w:rPr>
            </w:pPr>
            <w:r>
              <w:rPr>
                <w:rFonts w:hint="eastAsia" w:ascii="宋体" w:hAnsi="宋体"/>
                <w:color w:val="auto"/>
                <w:highlight w:val="none"/>
              </w:rPr>
              <w:t>项目名称</w:t>
            </w:r>
          </w:p>
        </w:tc>
        <w:tc>
          <w:tcPr>
            <w:tcW w:w="3472" w:type="dxa"/>
            <w:vAlign w:val="center"/>
          </w:tcPr>
          <w:p w14:paraId="4430D7CE">
            <w:pPr>
              <w:jc w:val="center"/>
              <w:rPr>
                <w:rFonts w:ascii="宋体" w:hAnsi="宋体"/>
                <w:color w:val="auto"/>
                <w:highlight w:val="none"/>
              </w:rPr>
            </w:pPr>
            <w:r>
              <w:rPr>
                <w:rFonts w:hint="eastAsia" w:ascii="宋体" w:hAnsi="宋体"/>
                <w:color w:val="auto"/>
                <w:highlight w:val="none"/>
                <w:lang w:eastAsia="zh-CN"/>
              </w:rPr>
              <w:t>干炉渣</w:t>
            </w:r>
            <w:r>
              <w:rPr>
                <w:rFonts w:hint="eastAsia" w:ascii="宋体" w:hAnsi="宋体"/>
                <w:color w:val="auto"/>
                <w:highlight w:val="none"/>
              </w:rPr>
              <w:t>综合单价</w:t>
            </w:r>
            <w:r>
              <w:rPr>
                <w:rFonts w:hint="eastAsia" w:ascii="宋体" w:hAnsi="宋体"/>
                <w:color w:val="auto"/>
                <w:highlight w:val="none"/>
                <w:lang w:eastAsia="zh-CN"/>
              </w:rPr>
              <w:t>（元</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1907" w:type="dxa"/>
            <w:vAlign w:val="center"/>
          </w:tcPr>
          <w:p w14:paraId="4B743C20">
            <w:pPr>
              <w:jc w:val="center"/>
              <w:rPr>
                <w:rFonts w:hint="eastAsia" w:ascii="宋体" w:hAnsi="宋体"/>
                <w:bCs/>
                <w:color w:val="auto"/>
                <w:highlight w:val="none"/>
              </w:rPr>
            </w:pPr>
            <w:r>
              <w:rPr>
                <w:rFonts w:hint="eastAsia" w:ascii="宋体" w:hAnsi="宋体"/>
                <w:color w:val="auto"/>
                <w:highlight w:val="none"/>
                <w:lang w:eastAsia="zh-CN"/>
              </w:rPr>
              <w:t>数量（万</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2735" w:type="dxa"/>
            <w:vAlign w:val="center"/>
          </w:tcPr>
          <w:p w14:paraId="2E9C4DD2">
            <w:pPr>
              <w:ind w:left="-125" w:leftChars="-52"/>
              <w:jc w:val="center"/>
              <w:rPr>
                <w:rFonts w:hint="eastAsia" w:ascii="宋体" w:hAnsi="宋体"/>
                <w:bCs/>
                <w:color w:val="auto"/>
                <w:highlight w:val="none"/>
              </w:rPr>
            </w:pPr>
            <w:r>
              <w:rPr>
                <w:rFonts w:hint="eastAsia" w:ascii="宋体" w:hAnsi="宋体"/>
                <w:color w:val="auto"/>
                <w:highlight w:val="none"/>
              </w:rPr>
              <w:t>备注</w:t>
            </w:r>
          </w:p>
        </w:tc>
      </w:tr>
      <w:tr w14:paraId="19E66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6" w:type="dxa"/>
            <w:vAlign w:val="center"/>
          </w:tcPr>
          <w:p w14:paraId="3CD11F14">
            <w:pPr>
              <w:spacing w:line="360" w:lineRule="auto"/>
              <w:ind w:left="-103" w:leftChars="-43" w:firstLine="120" w:firstLineChars="5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4649" w:type="dxa"/>
            <w:vAlign w:val="center"/>
          </w:tcPr>
          <w:p w14:paraId="75051E58">
            <w:pPr>
              <w:adjustRightInd w:val="0"/>
              <w:snapToGrid w:val="0"/>
              <w:spacing w:line="360" w:lineRule="auto"/>
              <w:jc w:val="center"/>
              <w:rPr>
                <w:rFonts w:hint="eastAsia" w:ascii="宋体" w:hAnsi="宋体"/>
                <w:color w:val="auto"/>
                <w:highlight w:val="none"/>
                <w:lang w:eastAsia="zh-CN"/>
              </w:rPr>
            </w:pPr>
            <w:r>
              <w:rPr>
                <w:rFonts w:hint="eastAsia" w:ascii="宋体" w:hAnsi="宋体"/>
                <w:color w:val="auto"/>
                <w:highlight w:val="none"/>
                <w:lang w:eastAsia="zh-CN"/>
              </w:rPr>
              <w:t>江西赣能股份有限公司丰城发电厂</w:t>
            </w:r>
            <w:r>
              <w:rPr>
                <w:rFonts w:hint="eastAsia" w:ascii="宋体" w:hAnsi="宋体"/>
                <w:color w:val="auto"/>
                <w:highlight w:val="none"/>
                <w:lang w:val="en-US" w:eastAsia="zh-CN"/>
              </w:rPr>
              <w:t>4</w:t>
            </w:r>
            <w:r>
              <w:rPr>
                <w:rFonts w:hint="eastAsia" w:ascii="宋体" w:hAnsi="宋体"/>
                <w:color w:val="auto"/>
                <w:highlight w:val="none"/>
                <w:lang w:eastAsia="zh-CN"/>
              </w:rPr>
              <w:t>.2万吨干炉渣处置项目</w:t>
            </w:r>
          </w:p>
        </w:tc>
        <w:tc>
          <w:tcPr>
            <w:tcW w:w="3472" w:type="dxa"/>
            <w:vAlign w:val="center"/>
          </w:tcPr>
          <w:p w14:paraId="035B0555">
            <w:pPr>
              <w:spacing w:line="360" w:lineRule="auto"/>
              <w:ind w:firstLine="480" w:firstLineChars="200"/>
              <w:jc w:val="center"/>
              <w:rPr>
                <w:rFonts w:ascii="宋体" w:hAnsi="宋体"/>
                <w:color w:val="auto"/>
                <w:highlight w:val="none"/>
              </w:rPr>
            </w:pPr>
          </w:p>
        </w:tc>
        <w:tc>
          <w:tcPr>
            <w:tcW w:w="1907" w:type="dxa"/>
            <w:vAlign w:val="center"/>
          </w:tcPr>
          <w:p w14:paraId="5FFF704F">
            <w:pPr>
              <w:spacing w:line="360" w:lineRule="auto"/>
              <w:jc w:val="center"/>
              <w:rPr>
                <w:rFonts w:hint="eastAsia" w:ascii="宋体" w:hAnsi="宋体"/>
                <w:bCs/>
                <w:color w:val="auto"/>
                <w:highlight w:val="none"/>
              </w:rPr>
            </w:pPr>
          </w:p>
        </w:tc>
        <w:tc>
          <w:tcPr>
            <w:tcW w:w="2735" w:type="dxa"/>
            <w:vAlign w:val="center"/>
          </w:tcPr>
          <w:p w14:paraId="5DD0432B">
            <w:pPr>
              <w:spacing w:line="360" w:lineRule="auto"/>
              <w:ind w:firstLine="480" w:firstLineChars="200"/>
              <w:jc w:val="center"/>
              <w:rPr>
                <w:rFonts w:hint="eastAsia" w:ascii="宋体" w:hAnsi="宋体"/>
                <w:bCs/>
                <w:color w:val="auto"/>
                <w:highlight w:val="none"/>
              </w:rPr>
            </w:pPr>
            <w:r>
              <w:rPr>
                <w:rFonts w:hint="eastAsia" w:ascii="宋体" w:hAnsi="宋体"/>
                <w:bCs/>
                <w:color w:val="auto"/>
                <w:highlight w:val="none"/>
              </w:rPr>
              <w:t>增值税税率</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w:t>
            </w:r>
          </w:p>
        </w:tc>
      </w:tr>
      <w:tr w14:paraId="21CC1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6" w:type="dxa"/>
            <w:vAlign w:val="center"/>
          </w:tcPr>
          <w:p w14:paraId="492A919D">
            <w:pPr>
              <w:spacing w:line="360" w:lineRule="auto"/>
              <w:ind w:left="-103" w:leftChars="-43" w:firstLine="120" w:firstLineChars="50"/>
              <w:jc w:val="center"/>
              <w:rPr>
                <w:rFonts w:hint="default" w:ascii="宋体" w:hAnsi="宋体"/>
                <w:color w:val="auto"/>
                <w:highlight w:val="none"/>
                <w:lang w:val="en-US" w:eastAsia="zh-CN"/>
              </w:rPr>
            </w:pPr>
            <w:r>
              <w:rPr>
                <w:rFonts w:hint="eastAsia" w:ascii="宋体" w:hAnsi="宋体"/>
                <w:color w:val="auto"/>
                <w:highlight w:val="none"/>
                <w:lang w:val="en-US" w:eastAsia="zh-CN"/>
              </w:rPr>
              <w:t>4</w:t>
            </w:r>
          </w:p>
        </w:tc>
        <w:tc>
          <w:tcPr>
            <w:tcW w:w="4649" w:type="dxa"/>
            <w:vAlign w:val="center"/>
          </w:tcPr>
          <w:p w14:paraId="1B8D93C4">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highlight w:val="none"/>
              </w:rPr>
              <w:t>项目名称</w:t>
            </w:r>
          </w:p>
        </w:tc>
        <w:tc>
          <w:tcPr>
            <w:tcW w:w="3472" w:type="dxa"/>
            <w:vAlign w:val="center"/>
          </w:tcPr>
          <w:p w14:paraId="4C6D8863">
            <w:pPr>
              <w:jc w:val="center"/>
              <w:rPr>
                <w:rFonts w:ascii="宋体" w:hAnsi="宋体" w:eastAsia="宋体" w:cs="Times New Roman"/>
                <w:color w:val="auto"/>
                <w:kern w:val="2"/>
                <w:sz w:val="24"/>
                <w:szCs w:val="24"/>
                <w:highlight w:val="none"/>
                <w:lang w:val="en-US" w:eastAsia="zh-CN" w:bidi="ar-SA"/>
              </w:rPr>
            </w:pPr>
            <w:r>
              <w:rPr>
                <w:rFonts w:hint="eastAsia" w:ascii="宋体" w:hAnsi="宋体"/>
                <w:color w:val="auto"/>
                <w:highlight w:val="none"/>
                <w:lang w:eastAsia="zh-CN"/>
              </w:rPr>
              <w:t>湿炉渣</w:t>
            </w:r>
            <w:r>
              <w:rPr>
                <w:rFonts w:hint="eastAsia" w:ascii="宋体" w:hAnsi="宋体"/>
                <w:color w:val="auto"/>
                <w:highlight w:val="none"/>
              </w:rPr>
              <w:t>综合单价</w:t>
            </w:r>
            <w:r>
              <w:rPr>
                <w:rFonts w:hint="eastAsia" w:ascii="宋体" w:hAnsi="宋体"/>
                <w:color w:val="auto"/>
                <w:highlight w:val="none"/>
                <w:lang w:eastAsia="zh-CN"/>
              </w:rPr>
              <w:t>（元</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1907" w:type="dxa"/>
            <w:vAlign w:val="center"/>
          </w:tcPr>
          <w:p w14:paraId="5A69FC24">
            <w:pPr>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color w:val="auto"/>
                <w:highlight w:val="none"/>
                <w:lang w:eastAsia="zh-CN"/>
              </w:rPr>
              <w:t>数量（万</w:t>
            </w:r>
            <w:r>
              <w:rPr>
                <w:rFonts w:hint="eastAsia" w:ascii="宋体" w:hAnsi="宋体"/>
                <w:color w:val="auto"/>
                <w:highlight w:val="none"/>
                <w:lang w:val="en-US" w:eastAsia="zh-CN"/>
              </w:rPr>
              <w:t>吨</w:t>
            </w:r>
            <w:r>
              <w:rPr>
                <w:rFonts w:hint="eastAsia" w:ascii="宋体" w:hAnsi="宋体"/>
                <w:color w:val="auto"/>
                <w:highlight w:val="none"/>
                <w:lang w:eastAsia="zh-CN"/>
              </w:rPr>
              <w:t>）</w:t>
            </w:r>
          </w:p>
        </w:tc>
        <w:tc>
          <w:tcPr>
            <w:tcW w:w="2735" w:type="dxa"/>
            <w:vAlign w:val="center"/>
          </w:tcPr>
          <w:p w14:paraId="73DE8B26">
            <w:pPr>
              <w:ind w:left="-125" w:leftChars="-52"/>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color w:val="auto"/>
                <w:highlight w:val="none"/>
              </w:rPr>
              <w:t>备注</w:t>
            </w:r>
          </w:p>
        </w:tc>
      </w:tr>
      <w:tr w14:paraId="2554E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96" w:type="dxa"/>
            <w:vAlign w:val="center"/>
          </w:tcPr>
          <w:p w14:paraId="2E5C6767">
            <w:pPr>
              <w:spacing w:line="360" w:lineRule="auto"/>
              <w:ind w:left="-103" w:leftChars="-43" w:firstLine="120" w:firstLineChars="50"/>
              <w:jc w:val="center"/>
              <w:rPr>
                <w:rFonts w:hint="default" w:ascii="宋体" w:hAnsi="宋体"/>
                <w:color w:val="auto"/>
                <w:highlight w:val="none"/>
                <w:lang w:val="en-US" w:eastAsia="zh-CN"/>
              </w:rPr>
            </w:pPr>
            <w:r>
              <w:rPr>
                <w:rFonts w:hint="eastAsia" w:ascii="宋体" w:hAnsi="宋体"/>
                <w:color w:val="auto"/>
                <w:highlight w:val="none"/>
                <w:lang w:val="en-US" w:eastAsia="zh-CN"/>
              </w:rPr>
              <w:t>5</w:t>
            </w:r>
          </w:p>
        </w:tc>
        <w:tc>
          <w:tcPr>
            <w:tcW w:w="4649" w:type="dxa"/>
            <w:vAlign w:val="center"/>
          </w:tcPr>
          <w:p w14:paraId="7C5CE817">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highlight w:val="none"/>
                <w:lang w:eastAsia="zh-CN"/>
              </w:rPr>
              <w:t>江西赣能股份有限公司丰城发电厂2万吨湿炉渣处置项目</w:t>
            </w:r>
          </w:p>
        </w:tc>
        <w:tc>
          <w:tcPr>
            <w:tcW w:w="3472" w:type="dxa"/>
            <w:vAlign w:val="center"/>
          </w:tcPr>
          <w:p w14:paraId="698FA2EE">
            <w:pPr>
              <w:spacing w:line="360" w:lineRule="auto"/>
              <w:ind w:firstLine="480" w:firstLineChars="200"/>
              <w:jc w:val="center"/>
              <w:rPr>
                <w:rFonts w:ascii="宋体" w:hAnsi="宋体" w:eastAsia="宋体" w:cs="Times New Roman"/>
                <w:color w:val="auto"/>
                <w:kern w:val="2"/>
                <w:sz w:val="24"/>
                <w:szCs w:val="24"/>
                <w:highlight w:val="none"/>
                <w:lang w:val="en-US" w:eastAsia="zh-CN" w:bidi="ar-SA"/>
              </w:rPr>
            </w:pPr>
          </w:p>
        </w:tc>
        <w:tc>
          <w:tcPr>
            <w:tcW w:w="1907" w:type="dxa"/>
            <w:vAlign w:val="center"/>
          </w:tcPr>
          <w:p w14:paraId="0B49AB7B">
            <w:pPr>
              <w:spacing w:line="360" w:lineRule="auto"/>
              <w:jc w:val="center"/>
              <w:rPr>
                <w:rFonts w:hint="eastAsia" w:ascii="宋体" w:hAnsi="宋体" w:eastAsia="宋体" w:cs="Times New Roman"/>
                <w:bCs/>
                <w:color w:val="auto"/>
                <w:kern w:val="2"/>
                <w:sz w:val="24"/>
                <w:szCs w:val="24"/>
                <w:highlight w:val="none"/>
                <w:lang w:val="en-US" w:eastAsia="zh-CN" w:bidi="ar-SA"/>
              </w:rPr>
            </w:pPr>
          </w:p>
        </w:tc>
        <w:tc>
          <w:tcPr>
            <w:tcW w:w="2735" w:type="dxa"/>
            <w:vAlign w:val="center"/>
          </w:tcPr>
          <w:p w14:paraId="6E9B50DE">
            <w:pPr>
              <w:spacing w:line="360" w:lineRule="auto"/>
              <w:ind w:firstLine="480" w:firstLineChars="200"/>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highlight w:val="none"/>
              </w:rPr>
              <w:t>增值税税率</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w:t>
            </w:r>
          </w:p>
        </w:tc>
      </w:tr>
      <w:tr w14:paraId="4209E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859" w:type="dxa"/>
            <w:gridSpan w:val="5"/>
            <w:vAlign w:val="center"/>
          </w:tcPr>
          <w:p w14:paraId="294EB49B">
            <w:pPr>
              <w:spacing w:line="360" w:lineRule="auto"/>
              <w:ind w:firstLine="482" w:firstLineChars="200"/>
              <w:jc w:val="left"/>
              <w:rPr>
                <w:rFonts w:hint="eastAsia" w:ascii="宋体" w:hAnsi="宋体"/>
                <w:bCs/>
                <w:color w:val="auto"/>
                <w:highlight w:val="none"/>
              </w:rPr>
            </w:pPr>
            <w:r>
              <w:rPr>
                <w:rFonts w:hint="eastAsia" w:ascii="宋体" w:hAnsi="宋体"/>
                <w:b/>
                <w:bCs/>
                <w:color w:val="auto"/>
                <w:highlight w:val="none"/>
                <w:lang w:eastAsia="zh-CN"/>
              </w:rPr>
              <w:t>注：脱硫石膏综合利用（处置</w:t>
            </w:r>
            <w:r>
              <w:rPr>
                <w:rFonts w:hint="eastAsia" w:ascii="宋体" w:hAnsi="宋体"/>
                <w:b/>
                <w:bCs/>
                <w:color w:val="auto"/>
                <w:highlight w:val="none"/>
                <w:lang w:val="en-US" w:eastAsia="zh-CN"/>
              </w:rPr>
              <w:t>+运输）</w:t>
            </w:r>
            <w:r>
              <w:rPr>
                <w:rFonts w:hint="eastAsia" w:ascii="宋体" w:hAnsi="宋体"/>
                <w:b/>
                <w:bCs/>
                <w:color w:val="auto"/>
                <w:highlight w:val="none"/>
                <w:lang w:eastAsia="zh-CN"/>
              </w:rPr>
              <w:t>总量</w:t>
            </w:r>
            <w:r>
              <w:rPr>
                <w:rFonts w:hint="eastAsia" w:ascii="宋体" w:hAnsi="宋体"/>
                <w:b/>
                <w:bCs/>
                <w:color w:val="auto"/>
                <w:highlight w:val="none"/>
                <w:lang w:val="en-US" w:eastAsia="zh-CN"/>
              </w:rPr>
              <w:t>10万吨、干炉渣</w:t>
            </w:r>
            <w:r>
              <w:rPr>
                <w:rFonts w:hint="eastAsia" w:ascii="宋体" w:hAnsi="宋体"/>
                <w:b/>
                <w:bCs/>
                <w:color w:val="auto"/>
                <w:highlight w:val="none"/>
                <w:lang w:eastAsia="zh-CN"/>
              </w:rPr>
              <w:t>综合利用（处置</w:t>
            </w:r>
            <w:r>
              <w:rPr>
                <w:rFonts w:hint="eastAsia" w:ascii="宋体" w:hAnsi="宋体"/>
                <w:b/>
                <w:bCs/>
                <w:color w:val="auto"/>
                <w:highlight w:val="none"/>
                <w:lang w:val="en-US" w:eastAsia="zh-CN"/>
              </w:rPr>
              <w:t>+运输）</w:t>
            </w:r>
            <w:r>
              <w:rPr>
                <w:rFonts w:hint="eastAsia" w:ascii="宋体" w:hAnsi="宋体"/>
                <w:b/>
                <w:bCs/>
                <w:color w:val="auto"/>
                <w:highlight w:val="none"/>
                <w:lang w:eastAsia="zh-CN"/>
              </w:rPr>
              <w:t>总量</w:t>
            </w:r>
            <w:r>
              <w:rPr>
                <w:rFonts w:hint="eastAsia" w:ascii="宋体" w:hAnsi="宋体"/>
                <w:b/>
                <w:bCs/>
                <w:color w:val="auto"/>
                <w:highlight w:val="none"/>
                <w:lang w:val="en-US" w:eastAsia="zh-CN"/>
              </w:rPr>
              <w:t>4.2万吨、湿炉渣</w:t>
            </w:r>
            <w:r>
              <w:rPr>
                <w:rFonts w:hint="eastAsia" w:ascii="宋体" w:hAnsi="宋体"/>
                <w:b/>
                <w:bCs/>
                <w:color w:val="auto"/>
                <w:highlight w:val="none"/>
                <w:lang w:eastAsia="zh-CN"/>
              </w:rPr>
              <w:t>综合利用（处置</w:t>
            </w:r>
            <w:r>
              <w:rPr>
                <w:rFonts w:hint="eastAsia" w:ascii="宋体" w:hAnsi="宋体"/>
                <w:b/>
                <w:bCs/>
                <w:color w:val="auto"/>
                <w:highlight w:val="none"/>
                <w:lang w:val="en-US" w:eastAsia="zh-CN"/>
              </w:rPr>
              <w:t>+运输）</w:t>
            </w:r>
            <w:r>
              <w:rPr>
                <w:rFonts w:hint="eastAsia" w:ascii="宋体" w:hAnsi="宋体"/>
                <w:b/>
                <w:bCs/>
                <w:color w:val="auto"/>
                <w:highlight w:val="none"/>
                <w:lang w:eastAsia="zh-CN"/>
              </w:rPr>
              <w:t>总量</w:t>
            </w:r>
            <w:r>
              <w:rPr>
                <w:rFonts w:hint="eastAsia" w:ascii="宋体" w:hAnsi="宋体"/>
                <w:b/>
                <w:bCs/>
                <w:color w:val="auto"/>
                <w:highlight w:val="none"/>
                <w:lang w:val="en-US" w:eastAsia="zh-CN"/>
              </w:rPr>
              <w:t>2万吨。</w:t>
            </w:r>
          </w:p>
        </w:tc>
      </w:tr>
    </w:tbl>
    <w:p w14:paraId="7CDFD775">
      <w:pPr>
        <w:spacing w:line="360" w:lineRule="auto"/>
        <w:rPr>
          <w:rFonts w:ascii="宋体" w:hAnsi="宋体"/>
          <w:b/>
          <w:bCs/>
          <w:color w:val="auto"/>
          <w:highlight w:val="none"/>
        </w:rPr>
      </w:pPr>
      <w:r>
        <w:rPr>
          <w:rFonts w:hint="eastAsia" w:ascii="宋体" w:hAnsi="宋体"/>
          <w:b/>
          <w:bCs/>
          <w:color w:val="auto"/>
          <w:highlight w:val="none"/>
        </w:rPr>
        <w:t>说明：</w:t>
      </w:r>
    </w:p>
    <w:p w14:paraId="54A23CAA">
      <w:pPr>
        <w:spacing w:line="360" w:lineRule="auto"/>
        <w:rPr>
          <w:rFonts w:ascii="宋体" w:hAnsi="宋体"/>
          <w:bCs/>
          <w:color w:val="auto"/>
          <w:highlight w:val="none"/>
        </w:rPr>
      </w:pPr>
      <w:r>
        <w:rPr>
          <w:rFonts w:hint="eastAsia" w:ascii="宋体" w:hAnsi="宋体"/>
          <w:bCs/>
          <w:color w:val="auto"/>
          <w:highlight w:val="none"/>
        </w:rPr>
        <w:t>1、此表除</w:t>
      </w:r>
      <w:r>
        <w:rPr>
          <w:rFonts w:hint="eastAsia" w:ascii="宋体" w:hAnsi="宋体"/>
          <w:bCs/>
          <w:color w:val="auto"/>
          <w:highlight w:val="none"/>
          <w:lang w:eastAsia="zh-CN"/>
        </w:rPr>
        <w:t>响应文件</w:t>
      </w:r>
      <w:r>
        <w:rPr>
          <w:rFonts w:hint="eastAsia" w:ascii="宋体" w:hAnsi="宋体"/>
          <w:bCs/>
          <w:color w:val="auto"/>
          <w:highlight w:val="none"/>
        </w:rPr>
        <w:t>中应放置并填写此表外，还应按“</w:t>
      </w:r>
      <w:r>
        <w:rPr>
          <w:rFonts w:hint="eastAsia" w:ascii="宋体" w:hAnsi="宋体"/>
          <w:bCs/>
          <w:color w:val="auto"/>
          <w:highlight w:val="none"/>
          <w:lang w:eastAsia="zh-CN"/>
        </w:rPr>
        <w:t>投标人</w:t>
      </w:r>
      <w:r>
        <w:rPr>
          <w:rFonts w:hint="eastAsia" w:ascii="宋体" w:hAnsi="宋体"/>
          <w:bCs/>
          <w:color w:val="auto"/>
          <w:highlight w:val="none"/>
        </w:rPr>
        <w:t>须知”的规定，另附一份与投标保证金一同单独密封在一个信封中，并在封面上注明“</w:t>
      </w:r>
      <w:r>
        <w:rPr>
          <w:rFonts w:hint="eastAsia" w:ascii="宋体" w:hAnsi="宋体"/>
          <w:bCs/>
          <w:color w:val="auto"/>
          <w:highlight w:val="none"/>
          <w:lang w:eastAsia="zh-CN"/>
        </w:rPr>
        <w:t>投标</w:t>
      </w:r>
      <w:r>
        <w:rPr>
          <w:rFonts w:hint="eastAsia" w:ascii="宋体" w:hAnsi="宋体"/>
          <w:bCs/>
          <w:color w:val="auto"/>
          <w:highlight w:val="none"/>
        </w:rPr>
        <w:t>一览表”随</w:t>
      </w:r>
      <w:r>
        <w:rPr>
          <w:rFonts w:hint="eastAsia" w:ascii="宋体" w:hAnsi="宋体"/>
          <w:bCs/>
          <w:color w:val="auto"/>
          <w:highlight w:val="none"/>
          <w:lang w:eastAsia="zh-CN"/>
        </w:rPr>
        <w:t>投标文件</w:t>
      </w:r>
      <w:r>
        <w:rPr>
          <w:rFonts w:hint="eastAsia" w:ascii="宋体" w:hAnsi="宋体"/>
          <w:bCs/>
          <w:color w:val="auto"/>
          <w:highlight w:val="none"/>
        </w:rPr>
        <w:t>一起递交。</w:t>
      </w:r>
    </w:p>
    <w:p w14:paraId="21A4CBC6">
      <w:pPr>
        <w:spacing w:line="360" w:lineRule="auto"/>
        <w:jc w:val="left"/>
        <w:rPr>
          <w:rFonts w:hint="eastAsia" w:ascii="宋体" w:hAnsi="宋体"/>
          <w:b w:val="0"/>
          <w:bCs/>
          <w:color w:val="auto"/>
          <w:highlight w:val="none"/>
          <w:lang w:val="en-US" w:eastAsia="zh-CN"/>
        </w:rPr>
      </w:pPr>
      <w:r>
        <w:rPr>
          <w:rFonts w:hint="eastAsia" w:ascii="宋体" w:hAnsi="宋体"/>
          <w:b w:val="0"/>
          <w:bCs/>
          <w:color w:val="auto"/>
          <w:highlight w:val="none"/>
          <w:lang w:val="en-US" w:eastAsia="zh-CN"/>
        </w:rPr>
        <w:t>2、所有投标报价均以人民币报价,且为从装运地送达甲方指定地点的价格。</w:t>
      </w:r>
    </w:p>
    <w:p w14:paraId="51A35EA4">
      <w:pPr>
        <w:spacing w:line="360" w:lineRule="auto"/>
        <w:jc w:val="left"/>
        <w:rPr>
          <w:rFonts w:hint="eastAsia" w:ascii="宋体" w:hAnsi="宋体"/>
          <w:b w:val="0"/>
          <w:bCs/>
          <w:color w:val="auto"/>
          <w:highlight w:val="none"/>
          <w:lang w:val="en-US" w:eastAsia="zh-CN"/>
        </w:rPr>
      </w:pPr>
      <w:r>
        <w:rPr>
          <w:rFonts w:hint="eastAsia" w:ascii="宋体" w:hAnsi="宋体"/>
          <w:b w:val="0"/>
          <w:bCs/>
          <w:color w:val="auto"/>
          <w:highlight w:val="none"/>
          <w:lang w:val="en-US" w:eastAsia="zh-CN"/>
        </w:rPr>
        <w:t>本次投标报价包括运输过程中的一切费用，包括汽车运费、修理费、路桥费、油费、损耗费、储存费、卸车费、服务费及售后服务费及所有相关税项等费用，且承担授予合同后运输过程中的一切责任。</w:t>
      </w:r>
    </w:p>
    <w:p w14:paraId="4430D544">
      <w:pPr>
        <w:spacing w:line="360" w:lineRule="auto"/>
        <w:jc w:val="left"/>
        <w:rPr>
          <w:rFonts w:hint="eastAsia" w:ascii="宋体" w:hAnsi="宋体"/>
          <w:b w:val="0"/>
          <w:bCs/>
          <w:color w:val="auto"/>
          <w:highlight w:val="none"/>
          <w:lang w:val="en-US" w:eastAsia="zh-CN"/>
        </w:rPr>
      </w:pPr>
      <w:r>
        <w:rPr>
          <w:rFonts w:hint="eastAsia" w:ascii="宋体" w:hAnsi="宋体"/>
          <w:b w:val="0"/>
          <w:bCs/>
          <w:color w:val="auto"/>
          <w:highlight w:val="none"/>
          <w:lang w:val="en-US" w:eastAsia="zh-CN"/>
        </w:rPr>
        <w:t>响应报价应考虑公路“治超”、交通事故等因素的影响。</w:t>
      </w:r>
    </w:p>
    <w:p w14:paraId="36751977">
      <w:pPr>
        <w:spacing w:line="360" w:lineRule="auto"/>
        <w:jc w:val="left"/>
        <w:rPr>
          <w:rFonts w:hint="eastAsia" w:ascii="宋体" w:hAnsi="宋体"/>
          <w:b w:val="0"/>
          <w:bCs/>
          <w:color w:val="auto"/>
          <w:highlight w:val="none"/>
          <w:lang w:val="en-US" w:eastAsia="zh-CN"/>
        </w:rPr>
      </w:pPr>
      <w:r>
        <w:rPr>
          <w:rFonts w:hint="eastAsia" w:ascii="宋体" w:hAnsi="宋体" w:cs="Times New Roman"/>
          <w:color w:val="auto"/>
          <w:sz w:val="24"/>
          <w:highlight w:val="none"/>
          <w:lang w:eastAsia="zh-CN"/>
        </w:rPr>
        <w:t>投标人</w:t>
      </w:r>
      <w:r>
        <w:rPr>
          <w:rFonts w:hint="eastAsia" w:ascii="宋体" w:hAnsi="宋体" w:eastAsia="宋体" w:cs="Times New Roman"/>
          <w:color w:val="auto"/>
          <w:sz w:val="24"/>
          <w:highlight w:val="none"/>
        </w:rPr>
        <w:t>石膏</w:t>
      </w:r>
      <w:r>
        <w:rPr>
          <w:rFonts w:hint="eastAsia" w:ascii="宋体" w:hAnsi="宋体" w:cs="Times New Roman"/>
          <w:color w:val="auto"/>
          <w:sz w:val="24"/>
          <w:highlight w:val="none"/>
          <w:lang w:eastAsia="zh-CN"/>
        </w:rPr>
        <w:t>、炉渣</w:t>
      </w:r>
      <w:r>
        <w:rPr>
          <w:rFonts w:hint="eastAsia" w:ascii="宋体" w:hAnsi="宋体" w:eastAsia="宋体" w:cs="Times New Roman"/>
          <w:color w:val="auto"/>
          <w:sz w:val="24"/>
          <w:highlight w:val="none"/>
        </w:rPr>
        <w:t>运输车辆</w:t>
      </w:r>
      <w:r>
        <w:rPr>
          <w:rFonts w:hint="eastAsia" w:ascii="宋体" w:hAnsi="宋体" w:cs="Times New Roman"/>
          <w:color w:val="auto"/>
          <w:sz w:val="24"/>
          <w:highlight w:val="none"/>
          <w:lang w:val="en-US" w:eastAsia="zh-CN"/>
        </w:rPr>
        <w:t>必须有行驶证且每年度经过交通部门年检合格</w:t>
      </w:r>
      <w:r>
        <w:rPr>
          <w:rFonts w:hint="eastAsia" w:ascii="宋体" w:hAnsi="宋体" w:cs="Times New Roman"/>
          <w:color w:val="auto"/>
          <w:sz w:val="24"/>
          <w:highlight w:val="none"/>
          <w:lang w:val="en-US" w:eastAsia="zh-CN"/>
        </w:rPr>
        <w:t>，车辆</w:t>
      </w:r>
      <w:r>
        <w:rPr>
          <w:rFonts w:hint="eastAsia" w:ascii="宋体" w:hAnsi="宋体" w:eastAsia="宋体" w:cs="Times New Roman"/>
          <w:color w:val="auto"/>
          <w:sz w:val="24"/>
          <w:highlight w:val="none"/>
        </w:rPr>
        <w:t>证件、手续齐全有效，随车携带，</w:t>
      </w:r>
      <w:r>
        <w:rPr>
          <w:rFonts w:hint="eastAsia" w:ascii="宋体" w:hAnsi="宋体" w:eastAsia="宋体" w:cs="Times New Roman"/>
          <w:color w:val="auto"/>
          <w:sz w:val="24"/>
          <w:highlight w:val="none"/>
          <w:lang w:eastAsia="zh-CN"/>
        </w:rPr>
        <w:t>运输车辆要求</w:t>
      </w:r>
      <w:r>
        <w:rPr>
          <w:rFonts w:hint="eastAsia" w:ascii="宋体" w:hAnsi="宋体" w:cs="Times New Roman"/>
          <w:color w:val="auto"/>
          <w:sz w:val="24"/>
          <w:highlight w:val="none"/>
          <w:lang w:val="en-US" w:eastAsia="zh-CN"/>
        </w:rPr>
        <w:t>为环保运输车，</w:t>
      </w:r>
      <w:r>
        <w:rPr>
          <w:rFonts w:hint="eastAsia" w:ascii="宋体" w:hAnsi="宋体" w:eastAsia="宋体" w:cs="Times New Roman"/>
          <w:color w:val="auto"/>
          <w:sz w:val="24"/>
          <w:highlight w:val="none"/>
          <w:lang w:eastAsia="zh-CN"/>
        </w:rPr>
        <w:t>密封性能好，防洒漏、渗漏，装备自动篷布机，</w:t>
      </w:r>
      <w:r>
        <w:rPr>
          <w:rFonts w:hint="eastAsia" w:ascii="宋体" w:hAnsi="宋体" w:cs="Times New Roman"/>
          <w:color w:val="auto"/>
          <w:sz w:val="24"/>
          <w:highlight w:val="none"/>
          <w:lang w:val="en-US" w:eastAsia="zh-CN"/>
        </w:rPr>
        <w:t>运输车辆必须提供≥100万的第三者责任险保单复印件</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运输司机必须为专职驾驶员，取得相应驾驶证。</w:t>
      </w:r>
      <w:r>
        <w:rPr>
          <w:rFonts w:hint="eastAsia" w:ascii="宋体" w:hAnsi="宋体" w:cs="Times New Roman"/>
          <w:color w:val="auto"/>
          <w:sz w:val="24"/>
          <w:highlight w:val="none"/>
          <w:lang w:eastAsia="zh-CN"/>
        </w:rPr>
        <w:t>投标人</w:t>
      </w:r>
      <w:r>
        <w:rPr>
          <w:rFonts w:hint="eastAsia" w:ascii="宋体" w:hAnsi="宋体" w:eastAsia="宋体" w:cs="Times New Roman"/>
          <w:color w:val="auto"/>
          <w:sz w:val="24"/>
          <w:highlight w:val="none"/>
        </w:rPr>
        <w:t>拟派的运输队伍须具有道路运输经营许可证，如因无证运输经营等行为产生的所有处罚及给招标人造成的损失均由投标人承担</w:t>
      </w:r>
      <w:r>
        <w:rPr>
          <w:rFonts w:hint="eastAsia" w:ascii="宋体" w:hAnsi="宋体"/>
          <w:b w:val="0"/>
          <w:bCs/>
          <w:color w:val="auto"/>
          <w:highlight w:val="none"/>
          <w:lang w:val="en-US" w:eastAsia="zh-CN"/>
        </w:rPr>
        <w:t>。</w:t>
      </w:r>
    </w:p>
    <w:p w14:paraId="02C1711A">
      <w:pPr>
        <w:spacing w:line="360" w:lineRule="auto"/>
        <w:jc w:val="left"/>
        <w:rPr>
          <w:rFonts w:ascii="宋体" w:hAnsi="宋体"/>
          <w:bCs/>
          <w:color w:val="auto"/>
          <w:szCs w:val="20"/>
          <w:highlight w:val="none"/>
        </w:rPr>
      </w:pPr>
      <w:r>
        <w:rPr>
          <w:rFonts w:hint="eastAsia" w:ascii="宋体" w:hAnsi="宋体"/>
          <w:b w:val="0"/>
          <w:bCs/>
          <w:color w:val="auto"/>
          <w:highlight w:val="none"/>
          <w:lang w:val="en-US" w:eastAsia="zh-CN"/>
        </w:rPr>
        <w:t>报价单上需承诺运输车辆满足现场装载要求，车辆符合环保规范。</w:t>
      </w:r>
    </w:p>
    <w:p w14:paraId="0572E138">
      <w:pPr>
        <w:spacing w:line="360" w:lineRule="auto"/>
        <w:ind w:firstLine="482" w:firstLineChars="200"/>
        <w:jc w:val="left"/>
        <w:rPr>
          <w:rFonts w:ascii="宋体" w:hAnsi="宋体"/>
          <w:b/>
          <w:color w:val="auto"/>
          <w:highlight w:val="none"/>
        </w:rPr>
      </w:pPr>
      <w:r>
        <w:rPr>
          <w:rFonts w:hint="eastAsia" w:ascii="宋体" w:hAnsi="宋体"/>
          <w:b/>
          <w:color w:val="auto"/>
          <w:highlight w:val="none"/>
        </w:rPr>
        <w:t>投标人（盖章）：</w:t>
      </w:r>
    </w:p>
    <w:p w14:paraId="4FF7F8FA">
      <w:pPr>
        <w:spacing w:line="360" w:lineRule="auto"/>
        <w:ind w:firstLine="482" w:firstLineChars="200"/>
        <w:jc w:val="left"/>
        <w:rPr>
          <w:rFonts w:ascii="宋体" w:hAnsi="宋体"/>
          <w:color w:val="auto"/>
          <w:sz w:val="28"/>
          <w:szCs w:val="28"/>
          <w:highlight w:val="none"/>
        </w:rPr>
        <w:sectPr>
          <w:pgSz w:w="16838" w:h="11906" w:orient="landscape"/>
          <w:pgMar w:top="1701" w:right="1440" w:bottom="1701" w:left="1440" w:header="851" w:footer="992" w:gutter="0"/>
          <w:cols w:space="720" w:num="1"/>
          <w:docGrid w:type="lines" w:linePitch="312" w:charSpace="0"/>
        </w:sectPr>
      </w:pPr>
      <w:r>
        <w:rPr>
          <w:rFonts w:hint="eastAsia" w:ascii="宋体" w:hAnsi="宋体"/>
          <w:b/>
          <w:color w:val="auto"/>
          <w:highlight w:val="none"/>
        </w:rPr>
        <w:t>投标人代表签字</w:t>
      </w:r>
      <w:r>
        <w:rPr>
          <w:rFonts w:hint="eastAsia" w:ascii="宋体" w:hAnsi="宋体"/>
          <w:color w:val="auto"/>
          <w:highlight w:val="none"/>
        </w:rPr>
        <w:t>：              年    月    日</w:t>
      </w:r>
    </w:p>
    <w:p w14:paraId="49B1355E">
      <w:pPr>
        <w:spacing w:line="360" w:lineRule="auto"/>
        <w:ind w:firstLine="602" w:firstLineChars="200"/>
        <w:jc w:val="center"/>
        <w:rPr>
          <w:rFonts w:ascii="宋体" w:hAnsi="宋体"/>
          <w:b/>
          <w:bCs/>
          <w:color w:val="auto"/>
          <w:sz w:val="30"/>
          <w:szCs w:val="30"/>
          <w:highlight w:val="none"/>
        </w:rPr>
      </w:pPr>
      <w:r>
        <w:rPr>
          <w:rFonts w:hint="eastAsia" w:ascii="宋体" w:hAnsi="宋体"/>
          <w:b/>
          <w:bCs/>
          <w:color w:val="auto"/>
          <w:sz w:val="30"/>
          <w:szCs w:val="30"/>
          <w:highlight w:val="none"/>
        </w:rPr>
        <w:t>3、</w:t>
      </w:r>
      <w:r>
        <w:rPr>
          <w:rFonts w:hint="eastAsia" w:ascii="宋体" w:hAnsi="宋体"/>
          <w:b/>
          <w:color w:val="auto"/>
          <w:sz w:val="30"/>
          <w:szCs w:val="30"/>
          <w:highlight w:val="none"/>
        </w:rPr>
        <w:t>服务要求、服务指标承诺书</w:t>
      </w:r>
    </w:p>
    <w:p w14:paraId="0B5ED2C7">
      <w:pPr>
        <w:spacing w:line="360" w:lineRule="auto"/>
        <w:ind w:firstLine="480" w:firstLineChars="200"/>
        <w:jc w:val="center"/>
        <w:rPr>
          <w:rFonts w:ascii="宋体" w:hAnsi="宋体"/>
          <w:color w:val="auto"/>
          <w:highlight w:val="none"/>
        </w:rPr>
      </w:pPr>
      <w:r>
        <w:rPr>
          <w:rFonts w:hint="eastAsia" w:ascii="宋体" w:hAnsi="宋体"/>
          <w:color w:val="auto"/>
          <w:highlight w:val="none"/>
        </w:rPr>
        <w:t>（格式自拟）</w:t>
      </w:r>
    </w:p>
    <w:p w14:paraId="6A37FF7B">
      <w:pPr>
        <w:spacing w:line="360" w:lineRule="auto"/>
        <w:ind w:firstLine="643" w:firstLineChars="200"/>
        <w:rPr>
          <w:b/>
          <w:bCs/>
          <w:color w:val="auto"/>
          <w:sz w:val="32"/>
          <w:szCs w:val="32"/>
          <w:highlight w:val="none"/>
        </w:rPr>
      </w:pPr>
    </w:p>
    <w:p w14:paraId="2CF9C1D6">
      <w:pPr>
        <w:spacing w:line="360" w:lineRule="auto"/>
        <w:ind w:firstLine="643" w:firstLineChars="200"/>
        <w:rPr>
          <w:b/>
          <w:bCs/>
          <w:color w:val="auto"/>
          <w:sz w:val="32"/>
          <w:szCs w:val="32"/>
          <w:highlight w:val="none"/>
        </w:rPr>
      </w:pPr>
    </w:p>
    <w:p w14:paraId="2B222734">
      <w:pPr>
        <w:spacing w:line="360" w:lineRule="auto"/>
        <w:ind w:firstLine="643" w:firstLineChars="200"/>
        <w:rPr>
          <w:b/>
          <w:bCs/>
          <w:color w:val="auto"/>
          <w:sz w:val="32"/>
          <w:szCs w:val="32"/>
          <w:highlight w:val="none"/>
        </w:rPr>
      </w:pPr>
    </w:p>
    <w:p w14:paraId="2391896E">
      <w:pPr>
        <w:spacing w:line="360" w:lineRule="auto"/>
        <w:ind w:firstLine="643" w:firstLineChars="200"/>
        <w:rPr>
          <w:b/>
          <w:bCs/>
          <w:color w:val="auto"/>
          <w:sz w:val="32"/>
          <w:szCs w:val="32"/>
          <w:highlight w:val="none"/>
        </w:rPr>
      </w:pPr>
    </w:p>
    <w:p w14:paraId="5DC3896E">
      <w:pPr>
        <w:spacing w:line="360" w:lineRule="auto"/>
        <w:ind w:firstLine="643" w:firstLineChars="200"/>
        <w:rPr>
          <w:b/>
          <w:bCs/>
          <w:color w:val="auto"/>
          <w:sz w:val="32"/>
          <w:szCs w:val="32"/>
          <w:highlight w:val="none"/>
        </w:rPr>
      </w:pPr>
    </w:p>
    <w:p w14:paraId="28B59DE2">
      <w:pPr>
        <w:spacing w:line="360" w:lineRule="auto"/>
        <w:ind w:firstLine="643" w:firstLineChars="200"/>
        <w:rPr>
          <w:b/>
          <w:bCs/>
          <w:color w:val="auto"/>
          <w:sz w:val="32"/>
          <w:szCs w:val="32"/>
          <w:highlight w:val="none"/>
        </w:rPr>
      </w:pPr>
    </w:p>
    <w:p w14:paraId="050512A7">
      <w:pPr>
        <w:spacing w:line="360" w:lineRule="auto"/>
        <w:ind w:firstLine="643" w:firstLineChars="200"/>
        <w:rPr>
          <w:b/>
          <w:bCs/>
          <w:color w:val="auto"/>
          <w:sz w:val="32"/>
          <w:szCs w:val="32"/>
          <w:highlight w:val="none"/>
        </w:rPr>
      </w:pPr>
    </w:p>
    <w:p w14:paraId="15173BFA">
      <w:pPr>
        <w:spacing w:line="360" w:lineRule="auto"/>
        <w:ind w:firstLine="643" w:firstLineChars="200"/>
        <w:rPr>
          <w:b/>
          <w:bCs/>
          <w:color w:val="auto"/>
          <w:sz w:val="32"/>
          <w:szCs w:val="32"/>
          <w:highlight w:val="none"/>
        </w:rPr>
      </w:pPr>
    </w:p>
    <w:p w14:paraId="3605DE92">
      <w:pPr>
        <w:spacing w:line="360" w:lineRule="auto"/>
        <w:ind w:firstLine="643" w:firstLineChars="200"/>
        <w:rPr>
          <w:b/>
          <w:bCs/>
          <w:color w:val="auto"/>
          <w:sz w:val="32"/>
          <w:szCs w:val="32"/>
          <w:highlight w:val="none"/>
        </w:rPr>
      </w:pPr>
    </w:p>
    <w:p w14:paraId="0C6220EB">
      <w:pPr>
        <w:spacing w:line="360" w:lineRule="auto"/>
        <w:ind w:firstLine="643" w:firstLineChars="200"/>
        <w:rPr>
          <w:b/>
          <w:bCs/>
          <w:color w:val="auto"/>
          <w:sz w:val="32"/>
          <w:szCs w:val="32"/>
          <w:highlight w:val="none"/>
        </w:rPr>
      </w:pPr>
    </w:p>
    <w:p w14:paraId="35227E91">
      <w:pPr>
        <w:spacing w:line="360" w:lineRule="auto"/>
        <w:ind w:firstLine="643" w:firstLineChars="200"/>
        <w:rPr>
          <w:b/>
          <w:bCs/>
          <w:color w:val="auto"/>
          <w:sz w:val="32"/>
          <w:szCs w:val="32"/>
          <w:highlight w:val="none"/>
        </w:rPr>
      </w:pPr>
    </w:p>
    <w:p w14:paraId="416DDFDD">
      <w:pPr>
        <w:spacing w:line="360" w:lineRule="auto"/>
        <w:ind w:firstLine="643" w:firstLineChars="200"/>
        <w:rPr>
          <w:b/>
          <w:bCs/>
          <w:color w:val="auto"/>
          <w:sz w:val="32"/>
          <w:szCs w:val="32"/>
          <w:highlight w:val="none"/>
        </w:rPr>
      </w:pPr>
    </w:p>
    <w:p w14:paraId="0F85281C">
      <w:pPr>
        <w:spacing w:line="360" w:lineRule="auto"/>
        <w:ind w:firstLine="643" w:firstLineChars="200"/>
        <w:rPr>
          <w:b/>
          <w:bCs/>
          <w:color w:val="auto"/>
          <w:sz w:val="32"/>
          <w:szCs w:val="32"/>
          <w:highlight w:val="none"/>
        </w:rPr>
      </w:pPr>
    </w:p>
    <w:p w14:paraId="41E8954F">
      <w:pPr>
        <w:spacing w:line="360" w:lineRule="auto"/>
        <w:ind w:firstLine="643" w:firstLineChars="200"/>
        <w:rPr>
          <w:b/>
          <w:bCs/>
          <w:color w:val="auto"/>
          <w:sz w:val="32"/>
          <w:szCs w:val="32"/>
          <w:highlight w:val="none"/>
        </w:rPr>
      </w:pPr>
    </w:p>
    <w:p w14:paraId="41057DF0">
      <w:pPr>
        <w:spacing w:line="360" w:lineRule="auto"/>
        <w:ind w:firstLine="643" w:firstLineChars="200"/>
        <w:rPr>
          <w:b/>
          <w:bCs/>
          <w:color w:val="auto"/>
          <w:sz w:val="32"/>
          <w:szCs w:val="32"/>
          <w:highlight w:val="none"/>
        </w:rPr>
      </w:pPr>
    </w:p>
    <w:p w14:paraId="3D5FEB8A">
      <w:pPr>
        <w:spacing w:line="360" w:lineRule="auto"/>
        <w:ind w:firstLine="643" w:firstLineChars="200"/>
        <w:rPr>
          <w:b/>
          <w:bCs/>
          <w:color w:val="auto"/>
          <w:sz w:val="32"/>
          <w:szCs w:val="32"/>
          <w:highlight w:val="none"/>
        </w:rPr>
      </w:pPr>
    </w:p>
    <w:p w14:paraId="039AA1D8">
      <w:pPr>
        <w:spacing w:line="360" w:lineRule="auto"/>
        <w:ind w:firstLine="643" w:firstLineChars="200"/>
        <w:rPr>
          <w:b/>
          <w:bCs/>
          <w:color w:val="auto"/>
          <w:sz w:val="32"/>
          <w:szCs w:val="32"/>
          <w:highlight w:val="none"/>
        </w:rPr>
      </w:pPr>
    </w:p>
    <w:p w14:paraId="75BEFC17">
      <w:pPr>
        <w:spacing w:line="360" w:lineRule="auto"/>
        <w:ind w:firstLine="643" w:firstLineChars="200"/>
        <w:rPr>
          <w:b/>
          <w:bCs/>
          <w:color w:val="auto"/>
          <w:sz w:val="32"/>
          <w:szCs w:val="32"/>
          <w:highlight w:val="none"/>
        </w:rPr>
      </w:pPr>
    </w:p>
    <w:p w14:paraId="5D2DF950">
      <w:pPr>
        <w:spacing w:line="360" w:lineRule="auto"/>
        <w:ind w:firstLine="643" w:firstLineChars="200"/>
        <w:rPr>
          <w:b/>
          <w:bCs/>
          <w:color w:val="auto"/>
          <w:sz w:val="32"/>
          <w:szCs w:val="32"/>
          <w:highlight w:val="none"/>
        </w:rPr>
      </w:pPr>
    </w:p>
    <w:p w14:paraId="3D390AAF">
      <w:pPr>
        <w:spacing w:line="360" w:lineRule="auto"/>
        <w:ind w:firstLine="643" w:firstLineChars="200"/>
        <w:rPr>
          <w:b/>
          <w:bCs/>
          <w:color w:val="auto"/>
          <w:sz w:val="32"/>
          <w:szCs w:val="32"/>
          <w:highlight w:val="none"/>
        </w:rPr>
      </w:pPr>
    </w:p>
    <w:p w14:paraId="634CC431">
      <w:pPr>
        <w:pStyle w:val="6"/>
        <w:numPr>
          <w:ilvl w:val="2"/>
          <w:numId w:val="0"/>
        </w:numPr>
        <w:tabs>
          <w:tab w:val="left" w:pos="1307"/>
        </w:tabs>
        <w:spacing w:before="0" w:after="0" w:line="360" w:lineRule="auto"/>
        <w:ind w:firstLine="602" w:firstLineChars="200"/>
        <w:jc w:val="center"/>
        <w:rPr>
          <w:rFonts w:ascii="黑体" w:hAnsi="宋体"/>
          <w:bCs/>
          <w:color w:val="auto"/>
          <w:sz w:val="30"/>
          <w:szCs w:val="30"/>
          <w:highlight w:val="none"/>
        </w:rPr>
      </w:pPr>
      <w:bookmarkStart w:id="11" w:name="_Toc357178304"/>
      <w:r>
        <w:rPr>
          <w:rFonts w:hint="eastAsia"/>
          <w:color w:val="auto"/>
          <w:sz w:val="30"/>
          <w:szCs w:val="30"/>
          <w:highlight w:val="none"/>
        </w:rPr>
        <w:t>4、资格证明文件</w:t>
      </w:r>
      <w:bookmarkEnd w:id="11"/>
    </w:p>
    <w:p w14:paraId="4753ABA7">
      <w:pPr>
        <w:spacing w:line="360" w:lineRule="auto"/>
        <w:ind w:firstLine="482" w:firstLineChars="200"/>
        <w:jc w:val="center"/>
        <w:rPr>
          <w:rFonts w:ascii="宋体" w:hAnsi="宋体"/>
          <w:b/>
          <w:color w:val="auto"/>
          <w:highlight w:val="none"/>
        </w:rPr>
      </w:pPr>
    </w:p>
    <w:p w14:paraId="3F82384C">
      <w:pPr>
        <w:spacing w:line="360" w:lineRule="auto"/>
        <w:ind w:firstLine="562" w:firstLineChars="200"/>
        <w:jc w:val="center"/>
        <w:rPr>
          <w:rFonts w:ascii="宋体" w:hAnsi="宋体"/>
          <w:color w:val="auto"/>
          <w:highlight w:val="none"/>
        </w:rPr>
      </w:pPr>
      <w:r>
        <w:rPr>
          <w:rFonts w:hint="eastAsia" w:ascii="宋体" w:hAnsi="宋体"/>
          <w:b/>
          <w:color w:val="auto"/>
          <w:sz w:val="28"/>
          <w:szCs w:val="28"/>
          <w:highlight w:val="none"/>
        </w:rPr>
        <w:t>附件4-1  法人营业执照副本的复印件（若三证合一，只提供营业执照复印件即可）</w:t>
      </w:r>
      <w:r>
        <w:rPr>
          <w:rFonts w:hint="eastAsia" w:ascii="宋体" w:hAnsi="宋体"/>
          <w:color w:val="auto"/>
          <w:highlight w:val="none"/>
        </w:rPr>
        <w:t>（须加盖本单位公章）</w:t>
      </w:r>
    </w:p>
    <w:p w14:paraId="5F893C02">
      <w:pPr>
        <w:spacing w:line="360" w:lineRule="auto"/>
        <w:ind w:firstLine="480" w:firstLineChars="200"/>
        <w:jc w:val="center"/>
        <w:rPr>
          <w:rFonts w:ascii="宋体" w:hAnsi="宋体"/>
          <w:color w:val="auto"/>
          <w:highlight w:val="none"/>
        </w:rPr>
      </w:pPr>
      <w:r>
        <w:rPr>
          <w:rFonts w:hint="eastAsia" w:ascii="宋体" w:hAnsi="宋体"/>
          <w:color w:val="auto"/>
          <w:highlight w:val="none"/>
        </w:rPr>
        <w:t>注：若营业执照复印件中无法体现营业范围，请提供可体现完整经营范围的其它凭证复印件加盖投标人公章。</w:t>
      </w:r>
    </w:p>
    <w:p w14:paraId="4D66F3BE">
      <w:pPr>
        <w:spacing w:line="360" w:lineRule="auto"/>
        <w:ind w:firstLine="480" w:firstLineChars="200"/>
        <w:jc w:val="center"/>
        <w:rPr>
          <w:rFonts w:ascii="宋体" w:hAnsi="宋体"/>
          <w:color w:val="auto"/>
          <w:highlight w:val="none"/>
        </w:rPr>
      </w:pPr>
    </w:p>
    <w:p w14:paraId="6C5EE969">
      <w:pPr>
        <w:spacing w:line="360" w:lineRule="auto"/>
        <w:ind w:firstLine="562" w:firstLineChars="200"/>
        <w:jc w:val="center"/>
        <w:rPr>
          <w:rFonts w:ascii="宋体" w:hAnsi="宋体"/>
          <w:b/>
          <w:color w:val="auto"/>
          <w:sz w:val="28"/>
          <w:szCs w:val="28"/>
          <w:highlight w:val="none"/>
        </w:rPr>
        <w:sectPr>
          <w:pgSz w:w="11906" w:h="16838"/>
          <w:pgMar w:top="1440" w:right="1247" w:bottom="1247" w:left="1361" w:header="851" w:footer="992" w:gutter="0"/>
          <w:cols w:space="720" w:num="1"/>
          <w:docGrid w:type="lines" w:linePitch="312" w:charSpace="0"/>
        </w:sectPr>
      </w:pPr>
    </w:p>
    <w:p w14:paraId="2333FC95">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附件4-2  税务登记证书复印件</w:t>
      </w:r>
    </w:p>
    <w:p w14:paraId="6F175B84">
      <w:pPr>
        <w:spacing w:line="360" w:lineRule="auto"/>
        <w:ind w:firstLine="480" w:firstLineChars="200"/>
        <w:jc w:val="center"/>
        <w:rPr>
          <w:rFonts w:ascii="宋体" w:hAnsi="宋体"/>
          <w:color w:val="auto"/>
          <w:highlight w:val="none"/>
        </w:rPr>
      </w:pPr>
      <w:r>
        <w:rPr>
          <w:rFonts w:hint="eastAsia" w:ascii="宋体" w:hAnsi="宋体"/>
          <w:color w:val="auto"/>
          <w:highlight w:val="none"/>
        </w:rPr>
        <w:t>（须加盖本单位公章）</w:t>
      </w:r>
    </w:p>
    <w:p w14:paraId="277EF2EF">
      <w:pPr>
        <w:spacing w:line="360" w:lineRule="auto"/>
        <w:ind w:firstLine="480" w:firstLineChars="200"/>
        <w:jc w:val="center"/>
        <w:rPr>
          <w:rFonts w:ascii="宋体" w:hAnsi="宋体"/>
          <w:color w:val="auto"/>
          <w:highlight w:val="none"/>
        </w:rPr>
      </w:pPr>
    </w:p>
    <w:p w14:paraId="0237DF25">
      <w:pPr>
        <w:spacing w:line="360" w:lineRule="auto"/>
        <w:ind w:firstLine="480" w:firstLineChars="200"/>
        <w:jc w:val="center"/>
        <w:rPr>
          <w:rFonts w:ascii="宋体" w:hAnsi="宋体"/>
          <w:color w:val="auto"/>
          <w:highlight w:val="none"/>
        </w:rPr>
      </w:pPr>
    </w:p>
    <w:p w14:paraId="70455E19">
      <w:pPr>
        <w:spacing w:line="360" w:lineRule="auto"/>
        <w:ind w:firstLine="562" w:firstLineChars="200"/>
        <w:jc w:val="center"/>
        <w:rPr>
          <w:rFonts w:ascii="宋体" w:hAnsi="宋体"/>
          <w:b/>
          <w:color w:val="auto"/>
          <w:sz w:val="28"/>
          <w:szCs w:val="28"/>
          <w:highlight w:val="none"/>
        </w:rPr>
        <w:sectPr>
          <w:pgSz w:w="11906" w:h="16838"/>
          <w:pgMar w:top="1440" w:right="1247" w:bottom="1247" w:left="1361" w:header="851" w:footer="992" w:gutter="0"/>
          <w:cols w:space="720" w:num="1"/>
          <w:docGrid w:type="lines" w:linePitch="312" w:charSpace="0"/>
        </w:sectPr>
      </w:pPr>
    </w:p>
    <w:p w14:paraId="2106AEC5">
      <w:pPr>
        <w:spacing w:line="360" w:lineRule="auto"/>
        <w:ind w:firstLine="562" w:firstLineChars="200"/>
        <w:jc w:val="center"/>
        <w:rPr>
          <w:rFonts w:ascii="宋体" w:hAnsi="宋体"/>
          <w:color w:val="auto"/>
          <w:sz w:val="28"/>
          <w:szCs w:val="28"/>
          <w:highlight w:val="none"/>
        </w:rPr>
      </w:pPr>
      <w:r>
        <w:rPr>
          <w:rFonts w:hint="eastAsia" w:ascii="宋体" w:hAnsi="宋体"/>
          <w:b/>
          <w:color w:val="auto"/>
          <w:sz w:val="28"/>
          <w:szCs w:val="28"/>
          <w:highlight w:val="none"/>
        </w:rPr>
        <w:t>附件4-3  组织机构代码证复印</w:t>
      </w:r>
      <w:r>
        <w:rPr>
          <w:rFonts w:hint="eastAsia" w:ascii="宋体" w:hAnsi="宋体"/>
          <w:color w:val="auto"/>
          <w:sz w:val="28"/>
          <w:szCs w:val="28"/>
          <w:highlight w:val="none"/>
        </w:rPr>
        <w:t>件</w:t>
      </w:r>
    </w:p>
    <w:p w14:paraId="35536F2B">
      <w:pPr>
        <w:spacing w:line="360" w:lineRule="auto"/>
        <w:ind w:firstLine="480" w:firstLineChars="200"/>
        <w:jc w:val="center"/>
        <w:rPr>
          <w:rFonts w:ascii="宋体" w:hAnsi="宋体"/>
          <w:color w:val="auto"/>
          <w:highlight w:val="none"/>
        </w:rPr>
      </w:pPr>
      <w:r>
        <w:rPr>
          <w:rFonts w:hint="eastAsia" w:ascii="宋体" w:hAnsi="宋体"/>
          <w:color w:val="auto"/>
          <w:highlight w:val="none"/>
        </w:rPr>
        <w:t>（年检合格，须加盖本单位公章）</w:t>
      </w:r>
    </w:p>
    <w:p w14:paraId="71FC683F">
      <w:pPr>
        <w:spacing w:line="360" w:lineRule="auto"/>
        <w:ind w:firstLine="480" w:firstLineChars="200"/>
        <w:jc w:val="center"/>
        <w:rPr>
          <w:rFonts w:ascii="宋体" w:hAnsi="宋体"/>
          <w:color w:val="auto"/>
          <w:highlight w:val="none"/>
        </w:rPr>
      </w:pPr>
    </w:p>
    <w:p w14:paraId="56BAC11B">
      <w:pPr>
        <w:spacing w:line="360" w:lineRule="auto"/>
        <w:ind w:firstLine="480" w:firstLineChars="200"/>
        <w:jc w:val="center"/>
        <w:rPr>
          <w:rFonts w:ascii="宋体" w:hAnsi="宋体"/>
          <w:color w:val="auto"/>
          <w:highlight w:val="none"/>
        </w:rPr>
      </w:pPr>
    </w:p>
    <w:p w14:paraId="6616701F">
      <w:pPr>
        <w:spacing w:line="360" w:lineRule="auto"/>
        <w:ind w:firstLine="480" w:firstLineChars="200"/>
        <w:jc w:val="center"/>
        <w:rPr>
          <w:rFonts w:ascii="宋体" w:hAnsi="宋体"/>
          <w:color w:val="auto"/>
          <w:highlight w:val="none"/>
        </w:rPr>
      </w:pPr>
    </w:p>
    <w:p w14:paraId="479882E3">
      <w:pPr>
        <w:spacing w:line="360" w:lineRule="auto"/>
        <w:ind w:firstLine="562" w:firstLineChars="200"/>
        <w:jc w:val="center"/>
        <w:rPr>
          <w:rFonts w:ascii="宋体" w:hAnsi="宋体"/>
          <w:b/>
          <w:color w:val="auto"/>
          <w:sz w:val="28"/>
          <w:szCs w:val="28"/>
          <w:highlight w:val="none"/>
        </w:rPr>
        <w:sectPr>
          <w:pgSz w:w="11906" w:h="16838"/>
          <w:pgMar w:top="1440" w:right="1247" w:bottom="1247" w:left="1361" w:header="851" w:footer="992" w:gutter="0"/>
          <w:cols w:space="720" w:num="1"/>
          <w:docGrid w:type="lines" w:linePitch="312" w:charSpace="0"/>
        </w:sectPr>
      </w:pPr>
    </w:p>
    <w:p w14:paraId="40C1B828">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附件4-4  相关行业资质证明、道路运输经营许可证</w:t>
      </w:r>
    </w:p>
    <w:p w14:paraId="0DF3A001">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（复印件加盖投标人公章）</w:t>
      </w:r>
    </w:p>
    <w:p w14:paraId="767BEC33">
      <w:pPr>
        <w:spacing w:line="360" w:lineRule="auto"/>
        <w:ind w:firstLine="562" w:firstLineChars="200"/>
        <w:jc w:val="center"/>
        <w:rPr>
          <w:rFonts w:ascii="宋体" w:hAnsi="宋体"/>
          <w:b/>
          <w:color w:val="auto"/>
          <w:sz w:val="28"/>
          <w:szCs w:val="28"/>
          <w:highlight w:val="none"/>
        </w:rPr>
      </w:pPr>
    </w:p>
    <w:p w14:paraId="3C7FA1EF">
      <w:pPr>
        <w:spacing w:line="360" w:lineRule="auto"/>
        <w:ind w:firstLine="562" w:firstLineChars="200"/>
        <w:jc w:val="center"/>
        <w:rPr>
          <w:rFonts w:ascii="宋体" w:hAnsi="宋体"/>
          <w:b/>
          <w:color w:val="auto"/>
          <w:sz w:val="28"/>
          <w:szCs w:val="28"/>
          <w:highlight w:val="none"/>
        </w:rPr>
      </w:pPr>
    </w:p>
    <w:p w14:paraId="0361519C">
      <w:pPr>
        <w:spacing w:line="360" w:lineRule="auto"/>
        <w:ind w:firstLine="562" w:firstLineChars="200"/>
        <w:jc w:val="center"/>
        <w:rPr>
          <w:rFonts w:ascii="宋体" w:hAnsi="宋体"/>
          <w:b/>
          <w:color w:val="auto"/>
          <w:sz w:val="28"/>
          <w:szCs w:val="28"/>
          <w:highlight w:val="none"/>
        </w:rPr>
      </w:pPr>
    </w:p>
    <w:p w14:paraId="768C06B1">
      <w:pPr>
        <w:spacing w:line="360" w:lineRule="auto"/>
        <w:ind w:firstLine="562" w:firstLineChars="200"/>
        <w:jc w:val="center"/>
        <w:rPr>
          <w:rFonts w:ascii="宋体" w:hAnsi="宋体"/>
          <w:b/>
          <w:color w:val="auto"/>
          <w:sz w:val="28"/>
          <w:szCs w:val="28"/>
          <w:highlight w:val="none"/>
        </w:rPr>
        <w:sectPr>
          <w:pgSz w:w="11906" w:h="16838"/>
          <w:pgMar w:top="1440" w:right="1247" w:bottom="1247" w:left="1361" w:header="851" w:footer="992" w:gutter="0"/>
          <w:cols w:space="720" w:num="1"/>
          <w:docGrid w:type="lines" w:linePitch="312" w:charSpace="0"/>
        </w:sectPr>
      </w:pPr>
    </w:p>
    <w:p w14:paraId="03A0306E">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附件4-5  不转包、不分包承诺书（格式自拟）</w:t>
      </w:r>
    </w:p>
    <w:p w14:paraId="41860933">
      <w:pPr>
        <w:spacing w:line="360" w:lineRule="auto"/>
        <w:ind w:firstLine="480" w:firstLineChars="200"/>
        <w:jc w:val="center"/>
        <w:rPr>
          <w:rFonts w:ascii="宋体" w:hAnsi="宋体"/>
          <w:color w:val="auto"/>
          <w:highlight w:val="none"/>
        </w:rPr>
      </w:pPr>
    </w:p>
    <w:p w14:paraId="05309A9E">
      <w:pPr>
        <w:spacing w:line="360" w:lineRule="auto"/>
        <w:ind w:firstLine="480" w:firstLineChars="200"/>
        <w:jc w:val="center"/>
        <w:rPr>
          <w:rFonts w:ascii="宋体" w:hAnsi="宋体"/>
          <w:color w:val="auto"/>
          <w:highlight w:val="none"/>
        </w:rPr>
      </w:pPr>
    </w:p>
    <w:p w14:paraId="3B00AD6C">
      <w:pPr>
        <w:spacing w:line="360" w:lineRule="auto"/>
        <w:ind w:firstLine="480" w:firstLineChars="200"/>
        <w:rPr>
          <w:rFonts w:ascii="宋体" w:hAnsi="宋体"/>
          <w:color w:val="auto"/>
          <w:highlight w:val="none"/>
        </w:rPr>
      </w:pPr>
    </w:p>
    <w:p w14:paraId="7851E25D">
      <w:pPr>
        <w:spacing w:line="360" w:lineRule="auto"/>
        <w:ind w:firstLine="480" w:firstLineChars="200"/>
        <w:rPr>
          <w:rFonts w:ascii="宋体" w:hAnsi="宋体"/>
          <w:color w:val="auto"/>
          <w:highlight w:val="none"/>
        </w:rPr>
      </w:pPr>
    </w:p>
    <w:p w14:paraId="2BAD4403">
      <w:pPr>
        <w:spacing w:line="360" w:lineRule="auto"/>
        <w:ind w:firstLine="480" w:firstLineChars="200"/>
        <w:rPr>
          <w:rFonts w:ascii="宋体" w:hAnsi="宋体"/>
          <w:color w:val="auto"/>
          <w:highlight w:val="none"/>
        </w:rPr>
      </w:pPr>
    </w:p>
    <w:p w14:paraId="2DCCC70A">
      <w:pPr>
        <w:spacing w:line="360" w:lineRule="auto"/>
        <w:ind w:firstLine="602" w:firstLineChars="200"/>
        <w:jc w:val="center"/>
        <w:rPr>
          <w:rFonts w:ascii="宋体" w:hAnsi="宋体"/>
          <w:b/>
          <w:color w:val="auto"/>
          <w:sz w:val="30"/>
          <w:szCs w:val="30"/>
          <w:highlight w:val="none"/>
        </w:rPr>
        <w:sectPr>
          <w:pgSz w:w="11906" w:h="16838"/>
          <w:pgMar w:top="1440" w:right="1247" w:bottom="1247" w:left="1361" w:header="851" w:footer="992" w:gutter="0"/>
          <w:cols w:space="720" w:num="1"/>
          <w:docGrid w:type="lines" w:linePitch="312" w:charSpace="0"/>
        </w:sectPr>
      </w:pPr>
    </w:p>
    <w:p w14:paraId="08FA282C">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5、法定代表人资格证明书或法人代表授权书</w:t>
      </w:r>
    </w:p>
    <w:p w14:paraId="3C3C4807">
      <w:pPr>
        <w:spacing w:line="360" w:lineRule="auto"/>
        <w:ind w:firstLine="482" w:firstLineChars="200"/>
        <w:rPr>
          <w:rFonts w:ascii="宋体" w:hAnsi="宋体"/>
          <w:b/>
          <w:color w:val="auto"/>
          <w:highlight w:val="none"/>
        </w:rPr>
      </w:pPr>
    </w:p>
    <w:p w14:paraId="061A10D4">
      <w:pPr>
        <w:spacing w:line="360" w:lineRule="auto"/>
        <w:ind w:firstLine="482" w:firstLineChars="200"/>
        <w:jc w:val="center"/>
        <w:rPr>
          <w:rFonts w:ascii="宋体" w:hAnsi="宋体"/>
          <w:b/>
          <w:color w:val="auto"/>
          <w:highlight w:val="none"/>
        </w:rPr>
      </w:pPr>
      <w:r>
        <w:rPr>
          <w:rFonts w:hint="eastAsia" w:ascii="宋体" w:hAnsi="宋体"/>
          <w:b/>
          <w:color w:val="auto"/>
          <w:highlight w:val="none"/>
        </w:rPr>
        <w:t>附件5-1</w:t>
      </w:r>
      <w:r>
        <w:rPr>
          <w:rFonts w:ascii="宋体" w:hAnsi="宋体"/>
          <w:b/>
          <w:color w:val="auto"/>
          <w:highlight w:val="none"/>
        </w:rPr>
        <w:t>法定代表人身份证明</w:t>
      </w:r>
      <w:r>
        <w:rPr>
          <w:rFonts w:hint="eastAsia" w:ascii="宋体" w:hAnsi="宋体"/>
          <w:b/>
          <w:color w:val="auto"/>
          <w:highlight w:val="none"/>
        </w:rPr>
        <w:t>书（格式自拟）</w:t>
      </w:r>
    </w:p>
    <w:p w14:paraId="5B9E1B20">
      <w:pPr>
        <w:spacing w:line="360" w:lineRule="auto"/>
        <w:ind w:firstLine="482" w:firstLineChars="200"/>
        <w:jc w:val="center"/>
        <w:rPr>
          <w:rFonts w:ascii="宋体" w:hAnsi="宋体"/>
          <w:b/>
          <w:color w:val="auto"/>
          <w:highlight w:val="none"/>
        </w:rPr>
      </w:pPr>
    </w:p>
    <w:p w14:paraId="787A0AAB">
      <w:pPr>
        <w:spacing w:line="360" w:lineRule="auto"/>
        <w:ind w:firstLine="482" w:firstLineChars="200"/>
        <w:jc w:val="center"/>
        <w:rPr>
          <w:rFonts w:ascii="宋体" w:hAnsi="宋体"/>
          <w:b/>
          <w:color w:val="auto"/>
          <w:highlight w:val="none"/>
        </w:rPr>
      </w:pPr>
      <w:r>
        <w:rPr>
          <w:rFonts w:hint="eastAsia" w:ascii="宋体" w:hAnsi="宋体"/>
          <w:b/>
          <w:color w:val="auto"/>
          <w:highlight w:val="none"/>
        </w:rPr>
        <w:t>附件5-2法定代表人授权委托书</w:t>
      </w:r>
    </w:p>
    <w:p w14:paraId="10D66E86">
      <w:pPr>
        <w:spacing w:line="360" w:lineRule="auto"/>
        <w:ind w:firstLine="482" w:firstLineChars="200"/>
        <w:jc w:val="center"/>
        <w:rPr>
          <w:rFonts w:ascii="宋体" w:hAnsi="宋体"/>
          <w:b/>
          <w:color w:val="auto"/>
          <w:highlight w:val="none"/>
        </w:rPr>
      </w:pPr>
    </w:p>
    <w:p w14:paraId="18B80642">
      <w:pPr>
        <w:spacing w:line="360" w:lineRule="auto"/>
        <w:ind w:firstLine="482" w:firstLineChars="200"/>
        <w:jc w:val="center"/>
        <w:rPr>
          <w:rFonts w:ascii="宋体" w:hAnsi="宋体"/>
          <w:b/>
          <w:color w:val="auto"/>
          <w:highlight w:val="none"/>
          <w:u w:val="single"/>
        </w:rPr>
      </w:pPr>
      <w:r>
        <w:rPr>
          <w:rFonts w:hint="eastAsia" w:ascii="宋体" w:hAnsi="宋体"/>
          <w:b/>
          <w:color w:val="auto"/>
          <w:highlight w:val="none"/>
        </w:rPr>
        <w:t>法定代表人授权书</w:t>
      </w:r>
      <w:r>
        <w:rPr>
          <w:rFonts w:ascii="宋体" w:hAnsi="宋体"/>
          <w:b/>
          <w:color w:val="auto"/>
          <w:highlight w:val="none"/>
        </w:rPr>
        <w:t>(</w:t>
      </w:r>
      <w:r>
        <w:rPr>
          <w:rFonts w:hint="eastAsia" w:ascii="宋体" w:hAnsi="宋体"/>
          <w:b/>
          <w:color w:val="auto"/>
          <w:highlight w:val="none"/>
        </w:rPr>
        <w:t>格式</w:t>
      </w:r>
      <w:r>
        <w:rPr>
          <w:rFonts w:ascii="宋体" w:hAnsi="宋体"/>
          <w:b/>
          <w:color w:val="auto"/>
          <w:highlight w:val="none"/>
        </w:rPr>
        <w:t>)</w:t>
      </w:r>
    </w:p>
    <w:p w14:paraId="342DFB47">
      <w:pPr>
        <w:pStyle w:val="11"/>
        <w:spacing w:line="360" w:lineRule="auto"/>
        <w:ind w:firstLine="480" w:firstLineChars="200"/>
        <w:rPr>
          <w:rFonts w:hAnsi="宋体"/>
          <w:color w:val="auto"/>
          <w:highlight w:val="none"/>
        </w:rPr>
      </w:pPr>
    </w:p>
    <w:p w14:paraId="0DFE8301">
      <w:pPr>
        <w:pStyle w:val="11"/>
        <w:spacing w:line="360" w:lineRule="auto"/>
        <w:ind w:firstLine="480" w:firstLineChars="200"/>
        <w:rPr>
          <w:rFonts w:hAnsi="宋体"/>
          <w:color w:val="auto"/>
          <w:highlight w:val="none"/>
        </w:rPr>
      </w:pPr>
      <w:r>
        <w:rPr>
          <w:rFonts w:hAnsi="宋体"/>
          <w:color w:val="auto"/>
          <w:highlight w:val="none"/>
        </w:rPr>
        <w:t>本授权书声明：注册于</w:t>
      </w:r>
      <w:r>
        <w:rPr>
          <w:rFonts w:hAnsi="宋体"/>
          <w:color w:val="auto"/>
          <w:highlight w:val="none"/>
          <w:u w:val="single"/>
        </w:rPr>
        <w:t xml:space="preserve">   （国家或地区的名称）</w:t>
      </w:r>
      <w:r>
        <w:rPr>
          <w:rFonts w:hAnsi="宋体"/>
          <w:color w:val="auto"/>
          <w:highlight w:val="none"/>
        </w:rPr>
        <w:t xml:space="preserve">  的</w:t>
      </w:r>
      <w:r>
        <w:rPr>
          <w:rFonts w:hAnsi="宋体"/>
          <w:color w:val="auto"/>
          <w:highlight w:val="none"/>
          <w:u w:val="single"/>
        </w:rPr>
        <w:t xml:space="preserve">  （</w:t>
      </w:r>
      <w:r>
        <w:rPr>
          <w:rFonts w:hAnsi="宋体"/>
          <w:i/>
          <w:color w:val="auto"/>
          <w:highlight w:val="none"/>
          <w:u w:val="single"/>
        </w:rPr>
        <w:t>公司名称</w:t>
      </w:r>
      <w:r>
        <w:rPr>
          <w:rFonts w:hAnsi="宋体"/>
          <w:color w:val="auto"/>
          <w:highlight w:val="none"/>
          <w:u w:val="single"/>
        </w:rPr>
        <w:t xml:space="preserve">）    </w:t>
      </w:r>
      <w:r>
        <w:rPr>
          <w:rFonts w:hAnsi="宋体"/>
          <w:color w:val="auto"/>
          <w:highlight w:val="none"/>
        </w:rPr>
        <w:t>的在下面签字的</w:t>
      </w:r>
      <w:r>
        <w:rPr>
          <w:rFonts w:hAnsi="宋体"/>
          <w:color w:val="auto"/>
          <w:highlight w:val="none"/>
          <w:u w:val="single"/>
        </w:rPr>
        <w:t xml:space="preserve">   （</w:t>
      </w:r>
      <w:r>
        <w:rPr>
          <w:rFonts w:hAnsi="宋体"/>
          <w:i/>
          <w:color w:val="auto"/>
          <w:highlight w:val="none"/>
          <w:u w:val="single"/>
        </w:rPr>
        <w:t>法人代表姓名、职务</w:t>
      </w:r>
      <w:r>
        <w:rPr>
          <w:rFonts w:hAnsi="宋体"/>
          <w:color w:val="auto"/>
          <w:highlight w:val="none"/>
          <w:u w:val="single"/>
        </w:rPr>
        <w:t xml:space="preserve">） </w:t>
      </w:r>
      <w:r>
        <w:rPr>
          <w:rFonts w:hAnsi="宋体"/>
          <w:color w:val="auto"/>
          <w:highlight w:val="none"/>
        </w:rPr>
        <w:t>代表本公司授权</w:t>
      </w:r>
      <w:r>
        <w:rPr>
          <w:rFonts w:hAnsi="宋体"/>
          <w:color w:val="auto"/>
          <w:highlight w:val="none"/>
          <w:u w:val="single"/>
        </w:rPr>
        <w:t xml:space="preserve">  （</w:t>
      </w:r>
      <w:r>
        <w:rPr>
          <w:rFonts w:hAnsi="宋体"/>
          <w:i/>
          <w:color w:val="auto"/>
          <w:highlight w:val="none"/>
          <w:u w:val="single"/>
        </w:rPr>
        <w:t>单位名称</w:t>
      </w:r>
      <w:r>
        <w:rPr>
          <w:rFonts w:hAnsi="宋体"/>
          <w:color w:val="auto"/>
          <w:highlight w:val="none"/>
          <w:u w:val="single"/>
        </w:rPr>
        <w:t xml:space="preserve">） </w:t>
      </w:r>
      <w:r>
        <w:rPr>
          <w:rFonts w:hAnsi="宋体"/>
          <w:color w:val="auto"/>
          <w:highlight w:val="none"/>
        </w:rPr>
        <w:t>的在下面签字的</w:t>
      </w:r>
      <w:r>
        <w:rPr>
          <w:rFonts w:hAnsi="宋体"/>
          <w:color w:val="auto"/>
          <w:highlight w:val="none"/>
          <w:u w:val="single"/>
        </w:rPr>
        <w:t xml:space="preserve">  （</w:t>
      </w:r>
      <w:r>
        <w:rPr>
          <w:rFonts w:hAnsi="宋体"/>
          <w:i/>
          <w:color w:val="auto"/>
          <w:highlight w:val="none"/>
          <w:u w:val="single"/>
        </w:rPr>
        <w:t>被授权人的姓名、职务</w:t>
      </w:r>
      <w:r>
        <w:rPr>
          <w:rFonts w:hAnsi="宋体"/>
          <w:color w:val="auto"/>
          <w:highlight w:val="none"/>
          <w:u w:val="single"/>
        </w:rPr>
        <w:t xml:space="preserve">）  </w:t>
      </w:r>
      <w:r>
        <w:rPr>
          <w:rFonts w:hAnsi="宋体"/>
          <w:color w:val="auto"/>
          <w:highlight w:val="none"/>
        </w:rPr>
        <w:t>为本公司的合法代理人，就</w:t>
      </w:r>
      <w:r>
        <w:rPr>
          <w:rFonts w:hAnsi="宋体"/>
          <w:color w:val="auto"/>
          <w:highlight w:val="none"/>
          <w:u w:val="single"/>
        </w:rPr>
        <w:t xml:space="preserve">  （招标</w:t>
      </w:r>
      <w:r>
        <w:rPr>
          <w:rFonts w:hAnsi="宋体"/>
          <w:i/>
          <w:color w:val="auto"/>
          <w:highlight w:val="none"/>
          <w:u w:val="single"/>
        </w:rPr>
        <w:t>项目名称</w:t>
      </w:r>
      <w:r>
        <w:rPr>
          <w:rFonts w:hAnsi="宋体"/>
          <w:color w:val="auto"/>
          <w:highlight w:val="none"/>
          <w:u w:val="single"/>
        </w:rPr>
        <w:t xml:space="preserve">）  </w:t>
      </w:r>
      <w:r>
        <w:rPr>
          <w:rFonts w:hAnsi="宋体"/>
          <w:color w:val="auto"/>
          <w:highlight w:val="none"/>
        </w:rPr>
        <w:t>的</w:t>
      </w:r>
      <w:r>
        <w:rPr>
          <w:rFonts w:hAnsi="宋体"/>
          <w:color w:val="auto"/>
          <w:highlight w:val="none"/>
          <w:u w:val="single"/>
        </w:rPr>
        <w:t xml:space="preserve">  （</w:t>
      </w:r>
      <w:r>
        <w:rPr>
          <w:rFonts w:hAnsi="宋体"/>
          <w:i/>
          <w:color w:val="auto"/>
          <w:highlight w:val="none"/>
          <w:u w:val="single"/>
        </w:rPr>
        <w:t>招标编号</w:t>
      </w:r>
      <w:r>
        <w:rPr>
          <w:rFonts w:hAnsi="宋体"/>
          <w:color w:val="auto"/>
          <w:highlight w:val="none"/>
          <w:u w:val="single"/>
        </w:rPr>
        <w:t xml:space="preserve">）  </w:t>
      </w:r>
      <w:r>
        <w:rPr>
          <w:rFonts w:hAnsi="宋体"/>
          <w:color w:val="auto"/>
          <w:highlight w:val="none"/>
        </w:rPr>
        <w:t>投标，以本公司名义处理一切与之有关的事务。</w:t>
      </w:r>
    </w:p>
    <w:p w14:paraId="623679DA">
      <w:pPr>
        <w:pStyle w:val="11"/>
        <w:spacing w:line="360" w:lineRule="auto"/>
        <w:ind w:firstLine="480" w:firstLineChars="200"/>
        <w:rPr>
          <w:rFonts w:hAnsi="宋体"/>
          <w:color w:val="auto"/>
          <w:highlight w:val="none"/>
        </w:rPr>
      </w:pPr>
      <w:r>
        <w:rPr>
          <w:rFonts w:hAnsi="宋体"/>
          <w:color w:val="auto"/>
          <w:highlight w:val="none"/>
        </w:rPr>
        <w:t>本授权书于年月日签字生效,特此声明。</w:t>
      </w:r>
    </w:p>
    <w:p w14:paraId="54470955">
      <w:pPr>
        <w:pStyle w:val="11"/>
        <w:spacing w:line="360" w:lineRule="auto"/>
        <w:ind w:firstLine="480" w:firstLineChars="200"/>
        <w:rPr>
          <w:rFonts w:hAnsi="宋体"/>
          <w:color w:val="auto"/>
          <w:highlight w:val="none"/>
        </w:rPr>
      </w:pPr>
    </w:p>
    <w:p w14:paraId="2E64F804">
      <w:pPr>
        <w:pStyle w:val="11"/>
        <w:spacing w:line="360" w:lineRule="auto"/>
        <w:ind w:firstLine="480" w:firstLineChars="200"/>
        <w:rPr>
          <w:rFonts w:hAnsi="宋体"/>
          <w:color w:val="auto"/>
          <w:highlight w:val="none"/>
        </w:rPr>
      </w:pPr>
      <w:r>
        <w:rPr>
          <w:rFonts w:hAnsi="宋体"/>
          <w:color w:val="auto"/>
          <w:highlight w:val="none"/>
        </w:rPr>
        <w:t>法定代表人（签字或盖章）：_________________________</w:t>
      </w:r>
    </w:p>
    <w:p w14:paraId="106A1BEC">
      <w:pPr>
        <w:pStyle w:val="11"/>
        <w:tabs>
          <w:tab w:val="left" w:pos="5580"/>
        </w:tabs>
        <w:spacing w:line="360" w:lineRule="auto"/>
        <w:ind w:firstLine="480" w:firstLineChars="200"/>
        <w:rPr>
          <w:rFonts w:hAnsi="宋体"/>
          <w:color w:val="auto"/>
          <w:highlight w:val="none"/>
        </w:rPr>
      </w:pPr>
      <w:r>
        <w:rPr>
          <w:rFonts w:hAnsi="宋体"/>
          <w:color w:val="auto"/>
          <w:highlight w:val="none"/>
        </w:rPr>
        <w:t>授权代表人（签字）：_______________________________</w:t>
      </w:r>
    </w:p>
    <w:p w14:paraId="6CF05DC4">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投标人（公章）：</w:t>
      </w:r>
    </w:p>
    <w:p w14:paraId="6D281761">
      <w:pPr>
        <w:pStyle w:val="11"/>
        <w:tabs>
          <w:tab w:val="left" w:pos="5580"/>
        </w:tabs>
        <w:spacing w:line="360" w:lineRule="auto"/>
        <w:ind w:firstLine="480" w:firstLineChars="200"/>
        <w:rPr>
          <w:rFonts w:hAnsi="宋体"/>
          <w:color w:val="auto"/>
          <w:highlight w:val="none"/>
        </w:rPr>
      </w:pPr>
    </w:p>
    <w:p w14:paraId="0DF8A964">
      <w:pPr>
        <w:pStyle w:val="11"/>
        <w:tabs>
          <w:tab w:val="left" w:pos="5580"/>
        </w:tabs>
        <w:spacing w:line="360" w:lineRule="auto"/>
        <w:ind w:firstLine="480" w:firstLineChars="200"/>
        <w:rPr>
          <w:rFonts w:hAnsi="宋体"/>
          <w:color w:val="auto"/>
          <w:highlight w:val="none"/>
        </w:rPr>
      </w:pPr>
      <w:r>
        <w:rPr>
          <w:rFonts w:hAnsi="宋体"/>
          <w:color w:val="auto"/>
          <w:highlight w:val="none"/>
        </w:rPr>
        <w:t>附：</w:t>
      </w:r>
    </w:p>
    <w:p w14:paraId="25CE404F">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被授权人姓名：</w:t>
      </w:r>
    </w:p>
    <w:p w14:paraId="09D437BF">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职        务：</w:t>
      </w:r>
    </w:p>
    <w:p w14:paraId="6BC2EB34">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详细通讯地址：</w:t>
      </w:r>
    </w:p>
    <w:p w14:paraId="1653C0DC">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邮 政 编 码：</w:t>
      </w:r>
    </w:p>
    <w:p w14:paraId="777313C1">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传       真：</w:t>
      </w:r>
    </w:p>
    <w:p w14:paraId="0A49909B">
      <w:pPr>
        <w:pStyle w:val="11"/>
        <w:tabs>
          <w:tab w:val="left" w:pos="5580"/>
        </w:tabs>
        <w:spacing w:line="360" w:lineRule="auto"/>
        <w:ind w:firstLine="480" w:firstLineChars="200"/>
        <w:rPr>
          <w:rFonts w:hAnsi="宋体"/>
          <w:color w:val="auto"/>
          <w:highlight w:val="none"/>
          <w:u w:val="single"/>
        </w:rPr>
      </w:pPr>
      <w:r>
        <w:rPr>
          <w:rFonts w:hAnsi="宋体"/>
          <w:color w:val="auto"/>
          <w:highlight w:val="none"/>
        </w:rPr>
        <w:t>电       话：</w:t>
      </w:r>
    </w:p>
    <w:p w14:paraId="47E296FE">
      <w:pPr>
        <w:spacing w:line="360" w:lineRule="auto"/>
        <w:ind w:firstLine="643" w:firstLineChars="200"/>
        <w:rPr>
          <w:rFonts w:ascii="宋体" w:hAnsi="宋体"/>
          <w:b/>
          <w:bCs/>
          <w:color w:val="auto"/>
          <w:sz w:val="32"/>
          <w:szCs w:val="32"/>
          <w:highlight w:val="none"/>
        </w:rPr>
      </w:pPr>
    </w:p>
    <w:p w14:paraId="59C10A9F">
      <w:pPr>
        <w:spacing w:line="360" w:lineRule="auto"/>
        <w:ind w:firstLine="643" w:firstLineChars="200"/>
        <w:jc w:val="center"/>
        <w:rPr>
          <w:rFonts w:ascii="宋体" w:hAnsi="宋体"/>
          <w:b/>
          <w:bCs/>
          <w:color w:val="auto"/>
          <w:sz w:val="32"/>
          <w:szCs w:val="32"/>
          <w:highlight w:val="none"/>
        </w:rPr>
        <w:sectPr>
          <w:pgSz w:w="11906" w:h="16838"/>
          <w:pgMar w:top="1440" w:right="1247" w:bottom="1247" w:left="1361" w:header="851" w:footer="992" w:gutter="0"/>
          <w:cols w:space="720" w:num="1"/>
          <w:docGrid w:type="lines" w:linePitch="312" w:charSpace="0"/>
        </w:sectPr>
      </w:pPr>
    </w:p>
    <w:p w14:paraId="09652419">
      <w:pPr>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6、投标人开户许可证及投标保证金复印件</w:t>
      </w:r>
    </w:p>
    <w:p w14:paraId="10007280">
      <w:pPr>
        <w:spacing w:line="360" w:lineRule="auto"/>
        <w:ind w:firstLine="643" w:firstLineChars="200"/>
        <w:jc w:val="center"/>
        <w:rPr>
          <w:rFonts w:ascii="宋体" w:hAnsi="宋体"/>
          <w:b/>
          <w:bCs/>
          <w:color w:val="auto"/>
          <w:sz w:val="32"/>
          <w:szCs w:val="32"/>
          <w:highlight w:val="none"/>
        </w:rPr>
      </w:pPr>
    </w:p>
    <w:p w14:paraId="79A949F0">
      <w:pPr>
        <w:spacing w:line="360" w:lineRule="auto"/>
        <w:ind w:firstLine="643" w:firstLineChars="200"/>
        <w:jc w:val="center"/>
        <w:rPr>
          <w:rFonts w:ascii="宋体" w:hAnsi="宋体"/>
          <w:b/>
          <w:bCs/>
          <w:color w:val="auto"/>
          <w:sz w:val="32"/>
          <w:szCs w:val="32"/>
          <w:highlight w:val="none"/>
        </w:rPr>
      </w:pPr>
    </w:p>
    <w:p w14:paraId="5F6FBF95">
      <w:pPr>
        <w:spacing w:line="360" w:lineRule="auto"/>
        <w:ind w:firstLine="643" w:firstLineChars="200"/>
        <w:jc w:val="center"/>
        <w:rPr>
          <w:rFonts w:ascii="宋体" w:hAnsi="宋体"/>
          <w:b/>
          <w:bCs/>
          <w:color w:val="auto"/>
          <w:sz w:val="32"/>
          <w:szCs w:val="32"/>
          <w:highlight w:val="none"/>
        </w:rPr>
      </w:pPr>
    </w:p>
    <w:p w14:paraId="13B85894">
      <w:pPr>
        <w:spacing w:line="360" w:lineRule="auto"/>
        <w:ind w:firstLine="643" w:firstLineChars="200"/>
        <w:jc w:val="center"/>
        <w:rPr>
          <w:rFonts w:ascii="宋体" w:hAnsi="宋体"/>
          <w:b/>
          <w:bCs/>
          <w:color w:val="auto"/>
          <w:sz w:val="32"/>
          <w:szCs w:val="32"/>
          <w:highlight w:val="none"/>
        </w:rPr>
      </w:pPr>
    </w:p>
    <w:p w14:paraId="55EF5DA9">
      <w:pPr>
        <w:spacing w:line="360" w:lineRule="auto"/>
        <w:ind w:firstLine="643" w:firstLineChars="200"/>
        <w:jc w:val="center"/>
        <w:rPr>
          <w:rFonts w:ascii="宋体" w:hAnsi="宋体"/>
          <w:b/>
          <w:bCs/>
          <w:color w:val="auto"/>
          <w:sz w:val="32"/>
          <w:szCs w:val="32"/>
          <w:highlight w:val="none"/>
        </w:rPr>
      </w:pPr>
    </w:p>
    <w:p w14:paraId="7ED9F636">
      <w:pPr>
        <w:spacing w:line="360" w:lineRule="auto"/>
        <w:ind w:firstLine="643" w:firstLineChars="200"/>
        <w:jc w:val="center"/>
        <w:rPr>
          <w:rFonts w:ascii="宋体" w:hAnsi="宋体"/>
          <w:b/>
          <w:bCs/>
          <w:color w:val="auto"/>
          <w:sz w:val="32"/>
          <w:szCs w:val="32"/>
          <w:highlight w:val="none"/>
        </w:rPr>
      </w:pPr>
    </w:p>
    <w:p w14:paraId="3709B825">
      <w:pPr>
        <w:spacing w:line="360" w:lineRule="auto"/>
        <w:ind w:firstLine="643" w:firstLineChars="200"/>
        <w:jc w:val="center"/>
        <w:rPr>
          <w:rFonts w:ascii="宋体" w:hAnsi="宋体"/>
          <w:b/>
          <w:bCs/>
          <w:color w:val="auto"/>
          <w:sz w:val="32"/>
          <w:szCs w:val="32"/>
          <w:highlight w:val="none"/>
        </w:rPr>
      </w:pPr>
    </w:p>
    <w:p w14:paraId="75E23EA1">
      <w:pPr>
        <w:spacing w:line="360" w:lineRule="auto"/>
        <w:ind w:firstLine="643" w:firstLineChars="200"/>
        <w:jc w:val="center"/>
        <w:rPr>
          <w:rFonts w:ascii="宋体" w:hAnsi="宋体"/>
          <w:b/>
          <w:bCs/>
          <w:color w:val="auto"/>
          <w:sz w:val="32"/>
          <w:szCs w:val="32"/>
          <w:highlight w:val="none"/>
        </w:rPr>
      </w:pPr>
    </w:p>
    <w:p w14:paraId="6A007EC8">
      <w:pPr>
        <w:spacing w:line="360" w:lineRule="auto"/>
        <w:ind w:firstLine="643" w:firstLineChars="200"/>
        <w:jc w:val="center"/>
        <w:rPr>
          <w:rFonts w:ascii="宋体" w:hAnsi="宋体"/>
          <w:b/>
          <w:bCs/>
          <w:color w:val="auto"/>
          <w:sz w:val="32"/>
          <w:szCs w:val="32"/>
          <w:highlight w:val="none"/>
        </w:rPr>
      </w:pPr>
    </w:p>
    <w:p w14:paraId="4C0728DC">
      <w:pPr>
        <w:spacing w:line="360" w:lineRule="auto"/>
        <w:ind w:firstLine="643" w:firstLineChars="200"/>
        <w:jc w:val="center"/>
        <w:rPr>
          <w:rFonts w:ascii="宋体" w:hAnsi="宋体"/>
          <w:b/>
          <w:bCs/>
          <w:color w:val="auto"/>
          <w:sz w:val="32"/>
          <w:szCs w:val="32"/>
          <w:highlight w:val="none"/>
        </w:rPr>
      </w:pPr>
    </w:p>
    <w:p w14:paraId="19325761">
      <w:pPr>
        <w:spacing w:line="360" w:lineRule="auto"/>
        <w:ind w:firstLine="643" w:firstLineChars="200"/>
        <w:jc w:val="center"/>
        <w:rPr>
          <w:rFonts w:ascii="宋体" w:hAnsi="宋体"/>
          <w:b/>
          <w:bCs/>
          <w:color w:val="auto"/>
          <w:sz w:val="32"/>
          <w:szCs w:val="32"/>
          <w:highlight w:val="none"/>
        </w:rPr>
      </w:pPr>
    </w:p>
    <w:p w14:paraId="32C39AF3">
      <w:pPr>
        <w:spacing w:line="360" w:lineRule="auto"/>
        <w:ind w:firstLine="643" w:firstLineChars="200"/>
        <w:rPr>
          <w:rFonts w:ascii="宋体" w:hAnsi="宋体"/>
          <w:b/>
          <w:bCs/>
          <w:color w:val="auto"/>
          <w:sz w:val="32"/>
          <w:szCs w:val="32"/>
          <w:highlight w:val="none"/>
        </w:rPr>
      </w:pPr>
    </w:p>
    <w:p w14:paraId="3395845F">
      <w:pPr>
        <w:spacing w:line="360" w:lineRule="auto"/>
        <w:ind w:firstLine="643" w:firstLineChars="200"/>
        <w:rPr>
          <w:rFonts w:ascii="宋体" w:hAnsi="宋体"/>
          <w:b/>
          <w:bCs/>
          <w:color w:val="auto"/>
          <w:sz w:val="32"/>
          <w:szCs w:val="32"/>
          <w:highlight w:val="none"/>
        </w:rPr>
      </w:pPr>
    </w:p>
    <w:p w14:paraId="6CE26DB4">
      <w:pPr>
        <w:spacing w:line="360" w:lineRule="auto"/>
        <w:ind w:firstLine="643" w:firstLineChars="200"/>
        <w:rPr>
          <w:rFonts w:ascii="宋体" w:hAnsi="宋体"/>
          <w:b/>
          <w:bCs/>
          <w:color w:val="auto"/>
          <w:sz w:val="32"/>
          <w:szCs w:val="32"/>
          <w:highlight w:val="none"/>
        </w:rPr>
      </w:pPr>
    </w:p>
    <w:p w14:paraId="07140E9E">
      <w:pPr>
        <w:spacing w:line="360" w:lineRule="auto"/>
        <w:ind w:firstLine="643" w:firstLineChars="200"/>
        <w:rPr>
          <w:rFonts w:ascii="宋体" w:hAnsi="宋体"/>
          <w:b/>
          <w:bCs/>
          <w:color w:val="auto"/>
          <w:sz w:val="32"/>
          <w:szCs w:val="32"/>
          <w:highlight w:val="none"/>
        </w:rPr>
      </w:pPr>
    </w:p>
    <w:p w14:paraId="037AC7B0">
      <w:pPr>
        <w:spacing w:line="360" w:lineRule="auto"/>
        <w:ind w:firstLine="643" w:firstLineChars="200"/>
        <w:rPr>
          <w:rFonts w:ascii="宋体" w:hAnsi="宋体"/>
          <w:b/>
          <w:bCs/>
          <w:color w:val="auto"/>
          <w:sz w:val="32"/>
          <w:szCs w:val="32"/>
          <w:highlight w:val="none"/>
        </w:rPr>
      </w:pPr>
    </w:p>
    <w:p w14:paraId="1887CC1A">
      <w:pPr>
        <w:spacing w:line="360" w:lineRule="auto"/>
        <w:ind w:firstLine="643" w:firstLineChars="200"/>
        <w:rPr>
          <w:rFonts w:ascii="宋体" w:hAnsi="宋体"/>
          <w:b/>
          <w:bCs/>
          <w:color w:val="auto"/>
          <w:sz w:val="32"/>
          <w:szCs w:val="32"/>
          <w:highlight w:val="none"/>
        </w:rPr>
      </w:pPr>
    </w:p>
    <w:p w14:paraId="18CBBE82">
      <w:pPr>
        <w:spacing w:line="360" w:lineRule="auto"/>
        <w:ind w:firstLine="643" w:firstLineChars="200"/>
        <w:rPr>
          <w:rFonts w:ascii="宋体" w:hAnsi="宋体"/>
          <w:b/>
          <w:bCs/>
          <w:color w:val="auto"/>
          <w:sz w:val="32"/>
          <w:szCs w:val="32"/>
          <w:highlight w:val="none"/>
        </w:rPr>
      </w:pPr>
    </w:p>
    <w:p w14:paraId="544C92EB">
      <w:pPr>
        <w:spacing w:line="360" w:lineRule="auto"/>
        <w:ind w:firstLine="643" w:firstLineChars="200"/>
        <w:rPr>
          <w:rFonts w:ascii="宋体" w:hAnsi="宋体"/>
          <w:b/>
          <w:bCs/>
          <w:color w:val="auto"/>
          <w:sz w:val="32"/>
          <w:szCs w:val="32"/>
          <w:highlight w:val="none"/>
        </w:rPr>
      </w:pPr>
    </w:p>
    <w:p w14:paraId="73FA3CA5">
      <w:pPr>
        <w:spacing w:line="360" w:lineRule="auto"/>
        <w:ind w:firstLine="643" w:firstLineChars="200"/>
        <w:rPr>
          <w:rFonts w:ascii="宋体" w:hAnsi="宋体"/>
          <w:b/>
          <w:bCs/>
          <w:color w:val="auto"/>
          <w:sz w:val="32"/>
          <w:szCs w:val="32"/>
          <w:highlight w:val="none"/>
        </w:rPr>
      </w:pPr>
    </w:p>
    <w:p w14:paraId="7348D10B">
      <w:pPr>
        <w:spacing w:line="360" w:lineRule="auto"/>
        <w:ind w:firstLine="643" w:firstLineChars="200"/>
        <w:rPr>
          <w:rFonts w:ascii="宋体" w:hAnsi="宋体"/>
          <w:b/>
          <w:bCs/>
          <w:color w:val="auto"/>
          <w:sz w:val="32"/>
          <w:szCs w:val="32"/>
          <w:highlight w:val="none"/>
        </w:rPr>
      </w:pPr>
    </w:p>
    <w:p w14:paraId="1B632868">
      <w:pPr>
        <w:pStyle w:val="2"/>
        <w:spacing w:after="0" w:line="360" w:lineRule="auto"/>
        <w:jc w:val="center"/>
        <w:rPr>
          <w:rFonts w:ascii="宋体" w:hAnsi="宋体"/>
          <w:b/>
          <w:bCs/>
          <w:color w:val="auto"/>
          <w:sz w:val="32"/>
          <w:szCs w:val="32"/>
          <w:highlight w:val="none"/>
        </w:rPr>
      </w:pPr>
      <w:r>
        <w:rPr>
          <w:rFonts w:hint="eastAsia" w:ascii="宋体" w:hAnsi="宋体"/>
          <w:b/>
          <w:color w:val="auto"/>
          <w:sz w:val="32"/>
          <w:szCs w:val="32"/>
          <w:highlight w:val="none"/>
        </w:rPr>
        <w:t>7、</w:t>
      </w:r>
      <w:r>
        <w:rPr>
          <w:rFonts w:hint="eastAsia" w:ascii="宋体" w:hAnsi="宋体"/>
          <w:b/>
          <w:bCs/>
          <w:color w:val="auto"/>
          <w:sz w:val="32"/>
          <w:szCs w:val="32"/>
          <w:highlight w:val="none"/>
        </w:rPr>
        <w:t>承诺书</w:t>
      </w:r>
    </w:p>
    <w:p w14:paraId="6D371BB7">
      <w:pPr>
        <w:spacing w:line="360" w:lineRule="auto"/>
        <w:rPr>
          <w:rFonts w:ascii="宋体" w:hAnsi="宋体"/>
          <w:bCs/>
          <w:color w:val="auto"/>
          <w:szCs w:val="28"/>
          <w:highlight w:val="none"/>
          <w:u w:val="single"/>
        </w:rPr>
      </w:pPr>
      <w:r>
        <w:rPr>
          <w:rFonts w:hint="eastAsia" w:ascii="宋体" w:hAnsi="宋体"/>
          <w:bCs/>
          <w:color w:val="auto"/>
          <w:szCs w:val="28"/>
          <w:highlight w:val="none"/>
        </w:rPr>
        <w:t>招标人：</w:t>
      </w:r>
    </w:p>
    <w:p w14:paraId="6EBD9D1D">
      <w:pPr>
        <w:spacing w:line="360" w:lineRule="auto"/>
        <w:jc w:val="left"/>
        <w:rPr>
          <w:rFonts w:ascii="宋体" w:hAnsi="宋体"/>
          <w:bCs/>
          <w:color w:val="auto"/>
          <w:szCs w:val="28"/>
          <w:highlight w:val="none"/>
        </w:rPr>
      </w:pPr>
      <w:r>
        <w:rPr>
          <w:rFonts w:hint="eastAsia" w:ascii="宋体" w:hAnsi="宋体"/>
          <w:bCs/>
          <w:color w:val="auto"/>
          <w:szCs w:val="28"/>
          <w:highlight w:val="none"/>
        </w:rPr>
        <w:t>我公司对以下内容做出承诺：</w:t>
      </w:r>
    </w:p>
    <w:p w14:paraId="1D931E15">
      <w:pPr>
        <w:spacing w:line="360" w:lineRule="auto"/>
        <w:ind w:firstLine="480" w:firstLineChars="200"/>
        <w:jc w:val="left"/>
        <w:rPr>
          <w:rFonts w:ascii="宋体" w:hAnsi="宋体"/>
          <w:color w:val="auto"/>
          <w:szCs w:val="28"/>
          <w:highlight w:val="none"/>
        </w:rPr>
      </w:pPr>
      <w:r>
        <w:rPr>
          <w:rFonts w:hint="eastAsia" w:ascii="宋体" w:hAnsi="宋体"/>
          <w:color w:val="auto"/>
          <w:szCs w:val="28"/>
          <w:highlight w:val="none"/>
        </w:rPr>
        <w:t>1、我公司没有处于被责令停业、财产被接管冻结、破产状态，不曾在合同中违约、被逐或因投标人的原因而使用合同被解除；有良好的信誉；</w:t>
      </w:r>
    </w:p>
    <w:p w14:paraId="2BE38395">
      <w:pPr>
        <w:spacing w:line="360" w:lineRule="auto"/>
        <w:ind w:firstLine="480" w:firstLineChars="200"/>
        <w:jc w:val="left"/>
        <w:rPr>
          <w:rFonts w:ascii="宋体" w:hAnsi="宋体"/>
          <w:color w:val="auto"/>
          <w:szCs w:val="28"/>
          <w:highlight w:val="none"/>
        </w:rPr>
      </w:pPr>
      <w:r>
        <w:rPr>
          <w:rFonts w:hint="eastAsia" w:ascii="宋体" w:hAnsi="宋体"/>
          <w:color w:val="auto"/>
          <w:szCs w:val="28"/>
          <w:highlight w:val="none"/>
        </w:rPr>
        <w:t>2、我公司（20</w:t>
      </w:r>
      <w:r>
        <w:rPr>
          <w:rFonts w:hint="eastAsia" w:ascii="宋体" w:hAnsi="宋体"/>
          <w:color w:val="auto"/>
          <w:szCs w:val="28"/>
          <w:highlight w:val="none"/>
          <w:lang w:val="en-US" w:eastAsia="zh-CN"/>
        </w:rPr>
        <w:t>22</w:t>
      </w:r>
      <w:r>
        <w:rPr>
          <w:rFonts w:hint="eastAsia" w:ascii="宋体" w:hAnsi="宋体"/>
          <w:color w:val="auto"/>
          <w:szCs w:val="28"/>
          <w:highlight w:val="none"/>
        </w:rPr>
        <w:t>年</w:t>
      </w:r>
      <w:r>
        <w:rPr>
          <w:rFonts w:hint="eastAsia" w:ascii="宋体" w:hAnsi="宋体"/>
          <w:color w:val="auto"/>
          <w:szCs w:val="28"/>
          <w:highlight w:val="none"/>
          <w:lang w:val="en-US" w:eastAsia="zh-CN"/>
        </w:rPr>
        <w:t>9</w:t>
      </w:r>
      <w:r>
        <w:rPr>
          <w:rFonts w:hint="eastAsia" w:ascii="宋体" w:hAnsi="宋体"/>
          <w:color w:val="auto"/>
          <w:szCs w:val="28"/>
          <w:highlight w:val="none"/>
        </w:rPr>
        <w:t>月1日至今）内没有发生一般以上的安全生产事故及质量事故，不曾骗取中标、串标或严重违约、法律纠纷；</w:t>
      </w:r>
    </w:p>
    <w:p w14:paraId="3285B92A">
      <w:pPr>
        <w:spacing w:line="360" w:lineRule="auto"/>
        <w:ind w:firstLine="480" w:firstLineChars="200"/>
        <w:jc w:val="left"/>
        <w:rPr>
          <w:rFonts w:ascii="宋体" w:hAnsi="宋体"/>
          <w:color w:val="auto"/>
          <w:szCs w:val="28"/>
          <w:highlight w:val="none"/>
        </w:rPr>
      </w:pPr>
      <w:r>
        <w:rPr>
          <w:rFonts w:hint="eastAsia" w:ascii="宋体" w:hAnsi="宋体"/>
          <w:color w:val="auto"/>
          <w:szCs w:val="28"/>
          <w:highlight w:val="none"/>
        </w:rPr>
        <w:t>3、我公司承诺为本项目投标提供的证书、证件及材料均是真是有效的；若存在弄虚作假行为，同意取消中标资格，同时保证金将不予退还。</w:t>
      </w:r>
    </w:p>
    <w:p w14:paraId="52878D43">
      <w:pPr>
        <w:pStyle w:val="27"/>
        <w:ind w:firstLine="480" w:firstLineChars="200"/>
        <w:rPr>
          <w:rFonts w:hint="eastAsia" w:eastAsia="宋体"/>
          <w:color w:val="auto"/>
          <w:highlight w:val="none"/>
          <w:lang w:eastAsia="zh-CN"/>
        </w:rPr>
      </w:pPr>
      <w:r>
        <w:rPr>
          <w:rFonts w:hint="eastAsia" w:ascii="宋体" w:hAnsi="宋体"/>
          <w:color w:val="auto"/>
          <w:szCs w:val="28"/>
          <w:highlight w:val="none"/>
          <w:lang w:val="en-US" w:eastAsia="zh-CN"/>
        </w:rPr>
        <w:t>4</w:t>
      </w:r>
      <w:r>
        <w:rPr>
          <w:rFonts w:hint="eastAsia" w:ascii="宋体" w:hAnsi="宋体"/>
          <w:color w:val="auto"/>
          <w:szCs w:val="28"/>
          <w:highlight w:val="none"/>
        </w:rPr>
        <w:t>、</w:t>
      </w:r>
      <w:r>
        <w:rPr>
          <w:rFonts w:hint="eastAsia"/>
          <w:color w:val="auto"/>
          <w:highlight w:val="none"/>
        </w:rPr>
        <w:t>本项目不得转包及分包</w:t>
      </w:r>
      <w:r>
        <w:rPr>
          <w:rFonts w:hint="eastAsia"/>
          <w:color w:val="auto"/>
          <w:highlight w:val="none"/>
          <w:lang w:eastAsia="zh-CN"/>
        </w:rPr>
        <w:t>。</w:t>
      </w:r>
    </w:p>
    <w:p w14:paraId="76966DF2">
      <w:pPr>
        <w:spacing w:line="360" w:lineRule="auto"/>
        <w:jc w:val="right"/>
        <w:rPr>
          <w:rFonts w:ascii="宋体" w:hAnsi="宋体"/>
          <w:bCs/>
          <w:color w:val="auto"/>
          <w:szCs w:val="28"/>
          <w:highlight w:val="none"/>
        </w:rPr>
      </w:pPr>
    </w:p>
    <w:p w14:paraId="036243E6">
      <w:pPr>
        <w:spacing w:line="360" w:lineRule="auto"/>
        <w:ind w:right="120"/>
        <w:jc w:val="left"/>
        <w:rPr>
          <w:rFonts w:ascii="宋体" w:hAnsi="宋体"/>
          <w:bCs/>
          <w:color w:val="auto"/>
          <w:szCs w:val="28"/>
          <w:highlight w:val="none"/>
        </w:rPr>
      </w:pPr>
      <w:r>
        <w:rPr>
          <w:rFonts w:hint="eastAsia" w:ascii="宋体" w:hAnsi="宋体"/>
          <w:bCs/>
          <w:color w:val="auto"/>
          <w:szCs w:val="28"/>
          <w:highlight w:val="none"/>
        </w:rPr>
        <w:t>投标人：    （公章）</w:t>
      </w:r>
    </w:p>
    <w:p w14:paraId="2D7BF880">
      <w:pPr>
        <w:spacing w:line="360" w:lineRule="auto"/>
        <w:jc w:val="left"/>
        <w:rPr>
          <w:rFonts w:ascii="宋体" w:hAnsi="宋体"/>
          <w:bCs/>
          <w:color w:val="auto"/>
          <w:szCs w:val="28"/>
          <w:highlight w:val="none"/>
          <w:u w:val="single"/>
        </w:rPr>
      </w:pPr>
      <w:r>
        <w:rPr>
          <w:rFonts w:hint="eastAsia" w:ascii="宋体" w:hAnsi="宋体"/>
          <w:bCs/>
          <w:color w:val="auto"/>
          <w:szCs w:val="28"/>
          <w:highlight w:val="none"/>
        </w:rPr>
        <w:t>法定代表人或委托代理人：</w:t>
      </w:r>
      <w:r>
        <w:rPr>
          <w:rFonts w:hint="eastAsia" w:ascii="宋体" w:hAnsi="宋体"/>
          <w:bCs/>
          <w:color w:val="auto"/>
          <w:szCs w:val="28"/>
          <w:highlight w:val="none"/>
          <w:u w:val="single"/>
        </w:rPr>
        <w:t xml:space="preserve">           （签字或盖章）</w:t>
      </w:r>
    </w:p>
    <w:p w14:paraId="3332FD88">
      <w:pPr>
        <w:spacing w:line="360" w:lineRule="auto"/>
        <w:jc w:val="left"/>
        <w:rPr>
          <w:rFonts w:ascii="宋体" w:hAnsi="宋体"/>
          <w:bCs/>
          <w:color w:val="auto"/>
          <w:szCs w:val="28"/>
          <w:highlight w:val="none"/>
        </w:rPr>
      </w:pPr>
      <w:r>
        <w:rPr>
          <w:rFonts w:hint="eastAsia" w:ascii="宋体" w:hAnsi="宋体"/>
          <w:bCs/>
          <w:color w:val="auto"/>
          <w:szCs w:val="28"/>
          <w:highlight w:val="none"/>
        </w:rPr>
        <w:t>时  间：    年   月   日</w:t>
      </w:r>
    </w:p>
    <w:p w14:paraId="0B8A74AB">
      <w:pPr>
        <w:spacing w:line="360" w:lineRule="auto"/>
        <w:jc w:val="left"/>
        <w:rPr>
          <w:rFonts w:ascii="宋体" w:hAnsi="宋体"/>
          <w:bCs/>
          <w:color w:val="auto"/>
          <w:szCs w:val="28"/>
          <w:highlight w:val="none"/>
        </w:rPr>
      </w:pPr>
    </w:p>
    <w:p w14:paraId="0F80453E">
      <w:pPr>
        <w:spacing w:line="360" w:lineRule="auto"/>
        <w:jc w:val="left"/>
        <w:rPr>
          <w:rFonts w:ascii="宋体" w:hAnsi="宋体"/>
          <w:bCs/>
          <w:color w:val="auto"/>
          <w:szCs w:val="28"/>
          <w:highlight w:val="none"/>
          <w:u w:val="single"/>
        </w:rPr>
        <w:sectPr>
          <w:pgSz w:w="11906" w:h="16838"/>
          <w:pgMar w:top="1440" w:right="1247" w:bottom="1247" w:left="1361" w:header="851" w:footer="992" w:gutter="0"/>
          <w:cols w:space="720" w:num="1"/>
          <w:docGrid w:type="lines" w:linePitch="312" w:charSpace="0"/>
        </w:sectPr>
      </w:pPr>
    </w:p>
    <w:p w14:paraId="70C7B24F">
      <w:pPr>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8、国家企业信用信息公示系统网上截图打印</w:t>
      </w:r>
    </w:p>
    <w:p w14:paraId="1DE4B99C">
      <w:pPr>
        <w:spacing w:line="360" w:lineRule="auto"/>
        <w:ind w:firstLine="480" w:firstLineChars="200"/>
        <w:jc w:val="center"/>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Style w:val="26"/>
          <w:rFonts w:ascii="宋体" w:hAnsi="宋体"/>
          <w:b/>
          <w:bCs/>
          <w:color w:val="auto"/>
          <w:sz w:val="28"/>
          <w:szCs w:val="32"/>
          <w:highlight w:val="none"/>
        </w:rPr>
        <w:t>http://www.gsxt.gov.cn/index.html</w:t>
      </w:r>
      <w:r>
        <w:rPr>
          <w:rStyle w:val="26"/>
          <w:rFonts w:ascii="宋体" w:hAnsi="宋体"/>
          <w:b/>
          <w:bCs/>
          <w:color w:val="auto"/>
          <w:sz w:val="28"/>
          <w:szCs w:val="32"/>
          <w:highlight w:val="none"/>
        </w:rPr>
        <w:fldChar w:fldCharType="end"/>
      </w:r>
    </w:p>
    <w:p w14:paraId="764C4FF3">
      <w:pPr>
        <w:spacing w:line="360" w:lineRule="auto"/>
        <w:ind w:firstLine="562" w:firstLineChars="200"/>
        <w:jc w:val="center"/>
        <w:rPr>
          <w:rFonts w:ascii="宋体" w:hAnsi="宋体"/>
          <w:b/>
          <w:bCs/>
          <w:color w:val="auto"/>
          <w:sz w:val="28"/>
          <w:szCs w:val="32"/>
          <w:highlight w:val="none"/>
        </w:rPr>
      </w:pPr>
    </w:p>
    <w:p w14:paraId="5BC6AFA8">
      <w:pPr>
        <w:spacing w:line="360" w:lineRule="auto"/>
        <w:ind w:firstLine="562" w:firstLineChars="200"/>
        <w:jc w:val="center"/>
        <w:rPr>
          <w:rFonts w:ascii="宋体" w:hAnsi="宋体"/>
          <w:b/>
          <w:bCs/>
          <w:color w:val="auto"/>
          <w:sz w:val="32"/>
          <w:szCs w:val="32"/>
          <w:highlight w:val="none"/>
        </w:rPr>
      </w:pPr>
      <w:r>
        <w:rPr>
          <w:rFonts w:hint="eastAsia" w:ascii="黑体" w:hAnsi="宋体" w:eastAsia="黑体"/>
          <w:b/>
          <w:color w:val="auto"/>
          <w:sz w:val="28"/>
          <w:szCs w:val="22"/>
          <w:highlight w:val="none"/>
          <w:lang w:val="en-US" w:eastAsia="zh-CN"/>
        </w:rPr>
        <w:t>建设项目及环评批复材料</w:t>
      </w:r>
    </w:p>
    <w:p w14:paraId="2970BEB1">
      <w:pPr>
        <w:spacing w:line="360" w:lineRule="auto"/>
        <w:ind w:firstLine="643" w:firstLineChars="200"/>
        <w:jc w:val="center"/>
        <w:rPr>
          <w:rFonts w:ascii="宋体" w:hAnsi="宋体"/>
          <w:b/>
          <w:bCs/>
          <w:color w:val="auto"/>
          <w:sz w:val="32"/>
          <w:szCs w:val="32"/>
          <w:highlight w:val="none"/>
        </w:rPr>
      </w:pPr>
    </w:p>
    <w:p w14:paraId="4350C82E">
      <w:pPr>
        <w:pStyle w:val="27"/>
        <w:rPr>
          <w:rFonts w:ascii="宋体" w:hAnsi="宋体"/>
          <w:b/>
          <w:bCs/>
          <w:color w:val="auto"/>
          <w:sz w:val="32"/>
          <w:szCs w:val="32"/>
          <w:highlight w:val="none"/>
        </w:rPr>
      </w:pPr>
    </w:p>
    <w:p w14:paraId="25D72266">
      <w:pPr>
        <w:pStyle w:val="27"/>
        <w:rPr>
          <w:rFonts w:ascii="宋体" w:hAnsi="宋体"/>
          <w:b/>
          <w:bCs/>
          <w:color w:val="auto"/>
          <w:sz w:val="32"/>
          <w:szCs w:val="32"/>
          <w:highlight w:val="none"/>
        </w:rPr>
      </w:pPr>
    </w:p>
    <w:p w14:paraId="38116363">
      <w:pPr>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9.商务偏离表</w:t>
      </w:r>
    </w:p>
    <w:tbl>
      <w:tblPr>
        <w:tblStyle w:val="21"/>
        <w:tblW w:w="90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7"/>
        <w:gridCol w:w="2467"/>
        <w:gridCol w:w="2468"/>
        <w:gridCol w:w="3236"/>
      </w:tblGrid>
      <w:tr w14:paraId="6571C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top w:val="single" w:color="auto" w:sz="12" w:space="0"/>
              <w:left w:val="single" w:color="auto" w:sz="12" w:space="0"/>
            </w:tcBorders>
            <w:vAlign w:val="center"/>
          </w:tcPr>
          <w:p w14:paraId="154D7EE7">
            <w:pPr>
              <w:adjustRightInd w:val="0"/>
              <w:snapToGrid w:val="0"/>
              <w:jc w:val="center"/>
              <w:rPr>
                <w:rFonts w:ascii="宋体" w:hAnsi="宋体"/>
                <w:color w:val="auto"/>
                <w:highlight w:val="none"/>
              </w:rPr>
            </w:pPr>
            <w:r>
              <w:rPr>
                <w:rFonts w:hint="eastAsia" w:ascii="宋体" w:hAnsi="宋体"/>
                <w:color w:val="auto"/>
                <w:highlight w:val="none"/>
              </w:rPr>
              <w:t>序号</w:t>
            </w:r>
          </w:p>
        </w:tc>
        <w:tc>
          <w:tcPr>
            <w:tcW w:w="2467" w:type="dxa"/>
            <w:tcBorders>
              <w:top w:val="single" w:color="auto" w:sz="12" w:space="0"/>
            </w:tcBorders>
            <w:vAlign w:val="center"/>
          </w:tcPr>
          <w:p w14:paraId="5AAFE0A1">
            <w:pPr>
              <w:adjustRightInd w:val="0"/>
              <w:snapToGrid w:val="0"/>
              <w:jc w:val="center"/>
              <w:rPr>
                <w:rFonts w:ascii="宋体" w:hAnsi="宋体"/>
                <w:color w:val="auto"/>
                <w:highlight w:val="none"/>
              </w:rPr>
            </w:pPr>
            <w:r>
              <w:rPr>
                <w:rFonts w:hint="eastAsia" w:ascii="宋体" w:hAnsi="宋体"/>
                <w:color w:val="auto"/>
                <w:highlight w:val="none"/>
              </w:rPr>
              <w:t>招标商务条款</w:t>
            </w:r>
          </w:p>
        </w:tc>
        <w:tc>
          <w:tcPr>
            <w:tcW w:w="2468" w:type="dxa"/>
            <w:tcBorders>
              <w:top w:val="single" w:color="auto" w:sz="12" w:space="0"/>
            </w:tcBorders>
            <w:vAlign w:val="center"/>
          </w:tcPr>
          <w:p w14:paraId="5DEC2CFA">
            <w:pPr>
              <w:adjustRightInd w:val="0"/>
              <w:snapToGrid w:val="0"/>
              <w:jc w:val="center"/>
              <w:rPr>
                <w:rFonts w:ascii="宋体" w:hAnsi="宋体"/>
                <w:color w:val="auto"/>
                <w:highlight w:val="none"/>
              </w:rPr>
            </w:pPr>
            <w:r>
              <w:rPr>
                <w:rFonts w:hint="eastAsia" w:ascii="宋体" w:hAnsi="宋体"/>
                <w:color w:val="auto"/>
                <w:highlight w:val="none"/>
              </w:rPr>
              <w:t>投标商务条款</w:t>
            </w:r>
          </w:p>
        </w:tc>
        <w:tc>
          <w:tcPr>
            <w:tcW w:w="3236" w:type="dxa"/>
            <w:tcBorders>
              <w:top w:val="single" w:color="auto" w:sz="12" w:space="0"/>
              <w:right w:val="single" w:color="auto" w:sz="12" w:space="0"/>
            </w:tcBorders>
            <w:vAlign w:val="center"/>
          </w:tcPr>
          <w:p w14:paraId="1DFBD1F7">
            <w:pPr>
              <w:adjustRightInd w:val="0"/>
              <w:snapToGrid w:val="0"/>
              <w:jc w:val="center"/>
              <w:rPr>
                <w:rFonts w:ascii="宋体" w:hAnsi="宋体"/>
                <w:color w:val="auto"/>
                <w:highlight w:val="none"/>
              </w:rPr>
            </w:pPr>
            <w:r>
              <w:rPr>
                <w:rFonts w:hint="eastAsia" w:ascii="宋体" w:hAnsi="宋体"/>
                <w:color w:val="auto"/>
                <w:highlight w:val="none"/>
              </w:rPr>
              <w:t>偏离说明</w:t>
            </w:r>
          </w:p>
        </w:tc>
      </w:tr>
      <w:tr w14:paraId="63280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0C11CAE5">
            <w:pPr>
              <w:adjustRightInd w:val="0"/>
              <w:snapToGrid w:val="0"/>
              <w:jc w:val="center"/>
              <w:rPr>
                <w:rFonts w:ascii="宋体" w:hAnsi="宋体"/>
                <w:color w:val="auto"/>
                <w:highlight w:val="none"/>
              </w:rPr>
            </w:pPr>
            <w:r>
              <w:rPr>
                <w:rFonts w:hint="eastAsia" w:ascii="宋体" w:hAnsi="宋体"/>
                <w:color w:val="auto"/>
                <w:highlight w:val="none"/>
              </w:rPr>
              <w:t>1</w:t>
            </w:r>
          </w:p>
        </w:tc>
        <w:tc>
          <w:tcPr>
            <w:tcW w:w="2467" w:type="dxa"/>
            <w:vAlign w:val="center"/>
          </w:tcPr>
          <w:p w14:paraId="37EABB4B">
            <w:pPr>
              <w:adjustRightInd w:val="0"/>
              <w:snapToGrid w:val="0"/>
              <w:jc w:val="center"/>
              <w:rPr>
                <w:rFonts w:ascii="宋体" w:hAnsi="宋体"/>
                <w:color w:val="auto"/>
                <w:highlight w:val="none"/>
              </w:rPr>
            </w:pPr>
          </w:p>
        </w:tc>
        <w:tc>
          <w:tcPr>
            <w:tcW w:w="2468" w:type="dxa"/>
            <w:vAlign w:val="center"/>
          </w:tcPr>
          <w:p w14:paraId="57B37E5A">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5404371A">
            <w:pPr>
              <w:adjustRightInd w:val="0"/>
              <w:snapToGrid w:val="0"/>
              <w:jc w:val="center"/>
              <w:rPr>
                <w:rFonts w:ascii="宋体" w:hAnsi="宋体"/>
                <w:color w:val="auto"/>
                <w:highlight w:val="none"/>
              </w:rPr>
            </w:pPr>
          </w:p>
        </w:tc>
      </w:tr>
      <w:tr w14:paraId="4E567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52197D5F">
            <w:pPr>
              <w:adjustRightInd w:val="0"/>
              <w:snapToGrid w:val="0"/>
              <w:jc w:val="center"/>
              <w:rPr>
                <w:rFonts w:ascii="宋体" w:hAnsi="宋体"/>
                <w:color w:val="auto"/>
                <w:highlight w:val="none"/>
              </w:rPr>
            </w:pPr>
            <w:r>
              <w:rPr>
                <w:rFonts w:hint="eastAsia" w:ascii="宋体" w:hAnsi="宋体"/>
                <w:color w:val="auto"/>
                <w:highlight w:val="none"/>
              </w:rPr>
              <w:t>2</w:t>
            </w:r>
          </w:p>
        </w:tc>
        <w:tc>
          <w:tcPr>
            <w:tcW w:w="2467" w:type="dxa"/>
            <w:vAlign w:val="center"/>
          </w:tcPr>
          <w:p w14:paraId="404FD3AB">
            <w:pPr>
              <w:adjustRightInd w:val="0"/>
              <w:snapToGrid w:val="0"/>
              <w:jc w:val="center"/>
              <w:rPr>
                <w:rFonts w:ascii="宋体" w:hAnsi="宋体"/>
                <w:color w:val="auto"/>
                <w:highlight w:val="none"/>
              </w:rPr>
            </w:pPr>
          </w:p>
        </w:tc>
        <w:tc>
          <w:tcPr>
            <w:tcW w:w="2468" w:type="dxa"/>
            <w:vAlign w:val="center"/>
          </w:tcPr>
          <w:p w14:paraId="78332A02">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4A999832">
            <w:pPr>
              <w:adjustRightInd w:val="0"/>
              <w:snapToGrid w:val="0"/>
              <w:jc w:val="center"/>
              <w:rPr>
                <w:rFonts w:ascii="宋体" w:hAnsi="宋体"/>
                <w:color w:val="auto"/>
                <w:highlight w:val="none"/>
              </w:rPr>
            </w:pPr>
          </w:p>
        </w:tc>
      </w:tr>
      <w:tr w14:paraId="6457E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6E559407">
            <w:pPr>
              <w:adjustRightInd w:val="0"/>
              <w:snapToGrid w:val="0"/>
              <w:jc w:val="center"/>
              <w:rPr>
                <w:rFonts w:ascii="宋体" w:hAnsi="宋体"/>
                <w:color w:val="auto"/>
                <w:highlight w:val="none"/>
              </w:rPr>
            </w:pPr>
            <w:r>
              <w:rPr>
                <w:rFonts w:hint="eastAsia" w:ascii="宋体" w:hAnsi="宋体"/>
                <w:color w:val="auto"/>
                <w:highlight w:val="none"/>
              </w:rPr>
              <w:t>3</w:t>
            </w:r>
          </w:p>
        </w:tc>
        <w:tc>
          <w:tcPr>
            <w:tcW w:w="2467" w:type="dxa"/>
            <w:vAlign w:val="center"/>
          </w:tcPr>
          <w:p w14:paraId="43E35948">
            <w:pPr>
              <w:adjustRightInd w:val="0"/>
              <w:snapToGrid w:val="0"/>
              <w:jc w:val="center"/>
              <w:rPr>
                <w:rFonts w:ascii="宋体" w:hAnsi="宋体"/>
                <w:color w:val="auto"/>
                <w:highlight w:val="none"/>
              </w:rPr>
            </w:pPr>
          </w:p>
        </w:tc>
        <w:tc>
          <w:tcPr>
            <w:tcW w:w="2468" w:type="dxa"/>
            <w:vAlign w:val="center"/>
          </w:tcPr>
          <w:p w14:paraId="4DB36A15">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48EDA7F4">
            <w:pPr>
              <w:adjustRightInd w:val="0"/>
              <w:snapToGrid w:val="0"/>
              <w:jc w:val="center"/>
              <w:rPr>
                <w:rFonts w:ascii="宋体" w:hAnsi="宋体"/>
                <w:color w:val="auto"/>
                <w:highlight w:val="none"/>
              </w:rPr>
            </w:pPr>
          </w:p>
        </w:tc>
      </w:tr>
      <w:tr w14:paraId="3E9E6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1B470744">
            <w:pPr>
              <w:adjustRightInd w:val="0"/>
              <w:snapToGrid w:val="0"/>
              <w:jc w:val="center"/>
              <w:rPr>
                <w:rFonts w:ascii="宋体" w:hAnsi="宋体"/>
                <w:color w:val="auto"/>
                <w:highlight w:val="none"/>
              </w:rPr>
            </w:pPr>
            <w:r>
              <w:rPr>
                <w:rFonts w:hint="eastAsia" w:ascii="宋体" w:hAnsi="宋体"/>
                <w:color w:val="auto"/>
                <w:highlight w:val="none"/>
              </w:rPr>
              <w:t>4</w:t>
            </w:r>
          </w:p>
        </w:tc>
        <w:tc>
          <w:tcPr>
            <w:tcW w:w="2467" w:type="dxa"/>
            <w:vAlign w:val="center"/>
          </w:tcPr>
          <w:p w14:paraId="496EA416">
            <w:pPr>
              <w:adjustRightInd w:val="0"/>
              <w:snapToGrid w:val="0"/>
              <w:jc w:val="center"/>
              <w:rPr>
                <w:rFonts w:ascii="宋体" w:hAnsi="宋体"/>
                <w:color w:val="auto"/>
                <w:highlight w:val="none"/>
              </w:rPr>
            </w:pPr>
          </w:p>
        </w:tc>
        <w:tc>
          <w:tcPr>
            <w:tcW w:w="2468" w:type="dxa"/>
            <w:vAlign w:val="center"/>
          </w:tcPr>
          <w:p w14:paraId="6F714C3D">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5B00F9A8">
            <w:pPr>
              <w:adjustRightInd w:val="0"/>
              <w:snapToGrid w:val="0"/>
              <w:jc w:val="center"/>
              <w:rPr>
                <w:rFonts w:ascii="宋体" w:hAnsi="宋体"/>
                <w:color w:val="auto"/>
                <w:highlight w:val="none"/>
              </w:rPr>
            </w:pPr>
          </w:p>
        </w:tc>
      </w:tr>
      <w:tr w14:paraId="63C44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61A19324">
            <w:pPr>
              <w:adjustRightInd w:val="0"/>
              <w:snapToGrid w:val="0"/>
              <w:jc w:val="center"/>
              <w:rPr>
                <w:rFonts w:ascii="宋体" w:hAnsi="宋体"/>
                <w:color w:val="auto"/>
                <w:highlight w:val="none"/>
              </w:rPr>
            </w:pPr>
            <w:r>
              <w:rPr>
                <w:rFonts w:hint="eastAsia" w:ascii="宋体" w:hAnsi="宋体"/>
                <w:color w:val="auto"/>
                <w:highlight w:val="none"/>
              </w:rPr>
              <w:t>5</w:t>
            </w:r>
          </w:p>
        </w:tc>
        <w:tc>
          <w:tcPr>
            <w:tcW w:w="2467" w:type="dxa"/>
            <w:vAlign w:val="center"/>
          </w:tcPr>
          <w:p w14:paraId="5E6267E1">
            <w:pPr>
              <w:adjustRightInd w:val="0"/>
              <w:snapToGrid w:val="0"/>
              <w:jc w:val="center"/>
              <w:rPr>
                <w:rFonts w:ascii="宋体" w:hAnsi="宋体"/>
                <w:color w:val="auto"/>
                <w:highlight w:val="none"/>
              </w:rPr>
            </w:pPr>
          </w:p>
        </w:tc>
        <w:tc>
          <w:tcPr>
            <w:tcW w:w="2468" w:type="dxa"/>
            <w:vAlign w:val="center"/>
          </w:tcPr>
          <w:p w14:paraId="1A81EC22">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2814B1E2">
            <w:pPr>
              <w:adjustRightInd w:val="0"/>
              <w:snapToGrid w:val="0"/>
              <w:jc w:val="center"/>
              <w:rPr>
                <w:rFonts w:ascii="宋体" w:hAnsi="宋体"/>
                <w:color w:val="auto"/>
                <w:highlight w:val="none"/>
              </w:rPr>
            </w:pPr>
          </w:p>
        </w:tc>
      </w:tr>
      <w:tr w14:paraId="7B204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bottom w:val="single" w:color="auto" w:sz="12" w:space="0"/>
            </w:tcBorders>
            <w:vAlign w:val="center"/>
          </w:tcPr>
          <w:p w14:paraId="2B9EB465">
            <w:pPr>
              <w:adjustRightInd w:val="0"/>
              <w:snapToGrid w:val="0"/>
              <w:rPr>
                <w:rFonts w:ascii="宋体" w:hAnsi="宋体"/>
                <w:color w:val="auto"/>
                <w:highlight w:val="none"/>
              </w:rPr>
            </w:pPr>
          </w:p>
        </w:tc>
        <w:tc>
          <w:tcPr>
            <w:tcW w:w="2467" w:type="dxa"/>
            <w:tcBorders>
              <w:bottom w:val="single" w:color="auto" w:sz="12" w:space="0"/>
            </w:tcBorders>
            <w:vAlign w:val="center"/>
          </w:tcPr>
          <w:p w14:paraId="24FC047B">
            <w:pPr>
              <w:adjustRightInd w:val="0"/>
              <w:snapToGrid w:val="0"/>
              <w:rPr>
                <w:rFonts w:ascii="宋体" w:hAnsi="宋体"/>
                <w:color w:val="auto"/>
                <w:highlight w:val="none"/>
              </w:rPr>
            </w:pPr>
          </w:p>
        </w:tc>
        <w:tc>
          <w:tcPr>
            <w:tcW w:w="2468" w:type="dxa"/>
            <w:tcBorders>
              <w:bottom w:val="single" w:color="auto" w:sz="12" w:space="0"/>
            </w:tcBorders>
            <w:vAlign w:val="center"/>
          </w:tcPr>
          <w:p w14:paraId="346AFEE7">
            <w:pPr>
              <w:adjustRightInd w:val="0"/>
              <w:snapToGrid w:val="0"/>
              <w:rPr>
                <w:rFonts w:ascii="宋体" w:hAnsi="宋体"/>
                <w:color w:val="auto"/>
                <w:highlight w:val="none"/>
              </w:rPr>
            </w:pPr>
          </w:p>
        </w:tc>
        <w:tc>
          <w:tcPr>
            <w:tcW w:w="3236" w:type="dxa"/>
            <w:tcBorders>
              <w:bottom w:val="single" w:color="auto" w:sz="12" w:space="0"/>
              <w:right w:val="single" w:color="auto" w:sz="12" w:space="0"/>
            </w:tcBorders>
            <w:vAlign w:val="center"/>
          </w:tcPr>
          <w:p w14:paraId="1432F26F">
            <w:pPr>
              <w:adjustRightInd w:val="0"/>
              <w:snapToGrid w:val="0"/>
              <w:rPr>
                <w:rFonts w:ascii="宋体" w:hAnsi="宋体"/>
                <w:color w:val="auto"/>
                <w:highlight w:val="none"/>
              </w:rPr>
            </w:pPr>
          </w:p>
        </w:tc>
      </w:tr>
    </w:tbl>
    <w:p w14:paraId="1BDB9427">
      <w:pPr>
        <w:spacing w:line="360" w:lineRule="auto"/>
        <w:ind w:firstLine="480" w:firstLineChars="200"/>
        <w:jc w:val="left"/>
        <w:rPr>
          <w:rFonts w:ascii="宋体" w:hAnsi="宋体"/>
          <w:color w:val="auto"/>
          <w:highlight w:val="none"/>
        </w:rPr>
      </w:pPr>
      <w:r>
        <w:rPr>
          <w:rFonts w:hint="eastAsia" w:ascii="宋体" w:hAnsi="宋体"/>
          <w:color w:val="auto"/>
          <w:highlight w:val="none"/>
        </w:rPr>
        <w:t>备注：除本偏差表所列的偏离指标外，其它所有内容均完全响应“招标文件”中的要求。若本表空白或未填写完整，则视为完全响应招标文件。</w:t>
      </w:r>
    </w:p>
    <w:p w14:paraId="747B3890">
      <w:pPr>
        <w:spacing w:line="360" w:lineRule="auto"/>
        <w:ind w:firstLine="480" w:firstLineChars="200"/>
        <w:rPr>
          <w:rFonts w:ascii="宋体" w:hAnsi="宋体"/>
          <w:color w:val="auto"/>
          <w:highlight w:val="none"/>
        </w:rPr>
      </w:pPr>
      <w:r>
        <w:rPr>
          <w:rFonts w:hint="eastAsia" w:ascii="宋体" w:hAnsi="宋体"/>
          <w:color w:val="auto"/>
          <w:highlight w:val="none"/>
        </w:rPr>
        <w:t xml:space="preserve">投标人（加盖单位公章）：                          </w:t>
      </w:r>
    </w:p>
    <w:p w14:paraId="65C1F07B">
      <w:pPr>
        <w:spacing w:line="360" w:lineRule="auto"/>
        <w:ind w:firstLine="480" w:firstLineChars="200"/>
        <w:rPr>
          <w:rFonts w:ascii="宋体" w:hAnsi="宋体"/>
          <w:color w:val="auto"/>
          <w:highlight w:val="none"/>
        </w:rPr>
      </w:pPr>
      <w:r>
        <w:rPr>
          <w:rFonts w:hint="eastAsia" w:ascii="宋体" w:hAnsi="宋体"/>
          <w:color w:val="auto"/>
          <w:highlight w:val="none"/>
        </w:rPr>
        <w:t>法定代表人（加盖印章或签字）：</w:t>
      </w:r>
    </w:p>
    <w:p w14:paraId="380B7439">
      <w:pPr>
        <w:spacing w:line="360" w:lineRule="auto"/>
        <w:ind w:firstLine="480" w:firstLineChars="200"/>
        <w:rPr>
          <w:rFonts w:ascii="宋体" w:hAnsi="宋体"/>
          <w:color w:val="auto"/>
          <w:highlight w:val="none"/>
        </w:rPr>
        <w:sectPr>
          <w:pgSz w:w="11906" w:h="16838"/>
          <w:pgMar w:top="1418" w:right="1418" w:bottom="1418" w:left="1418" w:header="851" w:footer="851" w:gutter="0"/>
          <w:cols w:space="720" w:num="1"/>
          <w:docGrid w:linePitch="312" w:charSpace="0"/>
        </w:sectPr>
      </w:pPr>
      <w:r>
        <w:rPr>
          <w:rFonts w:hint="eastAsia" w:ascii="宋体" w:hAnsi="宋体"/>
          <w:color w:val="auto"/>
          <w:highlight w:val="none"/>
        </w:rPr>
        <w:t>年   月  日</w:t>
      </w:r>
    </w:p>
    <w:p w14:paraId="25D0D11E">
      <w:pPr>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10.投标人认为有必要提交的其他材料</w:t>
      </w:r>
    </w:p>
    <w:p w14:paraId="46B48E61">
      <w:pPr>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Cs/>
          <w:color w:val="auto"/>
          <w:sz w:val="32"/>
          <w:szCs w:val="32"/>
          <w:highlight w:val="none"/>
        </w:rPr>
        <w:t>如业绩合同复印件等</w:t>
      </w:r>
      <w:r>
        <w:rPr>
          <w:rFonts w:hint="eastAsia" w:ascii="宋体" w:hAnsi="宋体"/>
          <w:b/>
          <w:bCs/>
          <w:color w:val="auto"/>
          <w:sz w:val="32"/>
          <w:szCs w:val="32"/>
          <w:highlight w:val="none"/>
        </w:rPr>
        <w:t>）</w:t>
      </w:r>
    </w:p>
    <w:p w14:paraId="183CA3E2">
      <w:pPr>
        <w:spacing w:line="360" w:lineRule="auto"/>
        <w:ind w:firstLine="643" w:firstLineChars="200"/>
        <w:jc w:val="center"/>
        <w:rPr>
          <w:rFonts w:ascii="宋体" w:hAnsi="宋体"/>
          <w:b/>
          <w:bCs/>
          <w:color w:val="auto"/>
          <w:sz w:val="32"/>
          <w:szCs w:val="32"/>
          <w:highlight w:val="none"/>
        </w:rPr>
      </w:pPr>
    </w:p>
    <w:p w14:paraId="3B52A7E6">
      <w:pPr>
        <w:adjustRightInd w:val="0"/>
        <w:snapToGrid w:val="0"/>
        <w:spacing w:line="360" w:lineRule="auto"/>
        <w:rPr>
          <w:rFonts w:ascii="宋体" w:hAnsi="宋体"/>
          <w:b/>
          <w:bCs/>
          <w:color w:val="auto"/>
          <w:sz w:val="28"/>
          <w:highlight w:val="none"/>
        </w:rPr>
      </w:pPr>
    </w:p>
    <w:p w14:paraId="30466990">
      <w:pPr>
        <w:spacing w:line="360" w:lineRule="auto"/>
        <w:rPr>
          <w:rFonts w:ascii="宋体" w:hAnsi="宋体"/>
          <w:b/>
          <w:bCs/>
          <w:color w:val="auto"/>
          <w:sz w:val="32"/>
          <w:szCs w:val="32"/>
          <w:highlight w:val="none"/>
        </w:rPr>
        <w:sectPr>
          <w:pgSz w:w="11906" w:h="16838"/>
          <w:pgMar w:top="1418" w:right="1418" w:bottom="1418" w:left="1418" w:header="851" w:footer="851" w:gutter="0"/>
          <w:cols w:space="720" w:num="1"/>
          <w:docGrid w:linePitch="312" w:charSpace="0"/>
        </w:sectPr>
      </w:pPr>
    </w:p>
    <w:p w14:paraId="241369C3">
      <w:pPr>
        <w:spacing w:line="360" w:lineRule="auto"/>
        <w:rPr>
          <w:rFonts w:ascii="宋体" w:hAnsi="宋体"/>
          <w:b/>
          <w:bCs/>
          <w:color w:val="auto"/>
          <w:sz w:val="32"/>
          <w:szCs w:val="32"/>
          <w:highlight w:val="none"/>
        </w:rPr>
      </w:pPr>
      <w:r>
        <w:rPr>
          <w:rFonts w:hint="eastAsia" w:ascii="宋体" w:hAnsi="宋体"/>
          <w:b/>
          <w:bCs/>
          <w:color w:val="auto"/>
          <w:sz w:val="32"/>
          <w:szCs w:val="32"/>
          <w:highlight w:val="none"/>
        </w:rPr>
        <w:t xml:space="preserve">（二）技术标部分 </w:t>
      </w:r>
    </w:p>
    <w:p w14:paraId="2AFFDAC5">
      <w:pPr>
        <w:spacing w:line="360" w:lineRule="auto"/>
        <w:ind w:firstLine="5067" w:firstLineChars="1402"/>
        <w:jc w:val="right"/>
        <w:rPr>
          <w:rFonts w:ascii="黑体" w:eastAsia="黑体"/>
          <w:b/>
          <w:color w:val="auto"/>
          <w:sz w:val="36"/>
          <w:szCs w:val="36"/>
          <w:highlight w:val="none"/>
        </w:rPr>
      </w:pPr>
      <w:r>
        <w:rPr>
          <w:rFonts w:hint="eastAsia"/>
          <w:b/>
          <w:color w:val="auto"/>
          <w:sz w:val="36"/>
          <w:szCs w:val="36"/>
          <w:highlight w:val="none"/>
        </w:rPr>
        <w:t>（正、副）本</w:t>
      </w:r>
    </w:p>
    <w:p w14:paraId="7F9293D4">
      <w:pPr>
        <w:spacing w:line="360" w:lineRule="auto"/>
        <w:ind w:firstLine="883" w:firstLineChars="200"/>
        <w:rPr>
          <w:rFonts w:ascii="黑体" w:eastAsia="黑体"/>
          <w:b/>
          <w:bCs/>
          <w:color w:val="auto"/>
          <w:sz w:val="44"/>
          <w:szCs w:val="44"/>
          <w:highlight w:val="none"/>
        </w:rPr>
      </w:pPr>
    </w:p>
    <w:p w14:paraId="146689CE">
      <w:pPr>
        <w:pStyle w:val="3"/>
        <w:spacing w:line="360" w:lineRule="auto"/>
        <w:jc w:val="center"/>
        <w:rPr>
          <w:rFonts w:hint="eastAsia"/>
          <w:b/>
          <w:color w:val="auto"/>
          <w:sz w:val="44"/>
          <w:szCs w:val="44"/>
          <w:highlight w:val="none"/>
          <w:u w:val="none"/>
        </w:rPr>
      </w:pPr>
      <w:r>
        <w:rPr>
          <w:rFonts w:hint="eastAsia"/>
          <w:b/>
          <w:color w:val="auto"/>
          <w:sz w:val="44"/>
          <w:szCs w:val="44"/>
          <w:highlight w:val="none"/>
          <w:u w:val="none"/>
          <w:lang w:eastAsia="zh-CN"/>
        </w:rPr>
        <w:t>江西赣能股份有限公司丰城发电厂10万吨脱硫石膏处置6.2万吨炉渣处置项目</w:t>
      </w:r>
    </w:p>
    <w:p w14:paraId="417406FD">
      <w:pPr>
        <w:pStyle w:val="3"/>
        <w:spacing w:line="360" w:lineRule="auto"/>
        <w:ind w:firstLine="883" w:firstLineChars="200"/>
        <w:jc w:val="center"/>
        <w:rPr>
          <w:b/>
          <w:color w:val="auto"/>
          <w:sz w:val="44"/>
          <w:szCs w:val="44"/>
          <w:highlight w:val="none"/>
          <w:u w:val="none"/>
        </w:rPr>
      </w:pPr>
      <w:r>
        <w:rPr>
          <w:rFonts w:hint="eastAsia"/>
          <w:b/>
          <w:color w:val="auto"/>
          <w:sz w:val="44"/>
          <w:szCs w:val="44"/>
          <w:highlight w:val="none"/>
          <w:u w:val="none"/>
        </w:rPr>
        <w:t>投标文件</w:t>
      </w:r>
    </w:p>
    <w:p w14:paraId="22EBF1AC">
      <w:pPr>
        <w:spacing w:line="360" w:lineRule="auto"/>
        <w:ind w:firstLine="883" w:firstLineChars="200"/>
        <w:jc w:val="center"/>
        <w:rPr>
          <w:rFonts w:ascii="宋体" w:hAnsi="宋体"/>
          <w:b/>
          <w:color w:val="auto"/>
          <w:sz w:val="44"/>
          <w:highlight w:val="none"/>
        </w:rPr>
      </w:pPr>
      <w:r>
        <w:rPr>
          <w:rFonts w:hint="eastAsia" w:ascii="宋体" w:hAnsi="宋体"/>
          <w:b/>
          <w:color w:val="auto"/>
          <w:sz w:val="44"/>
          <w:highlight w:val="none"/>
        </w:rPr>
        <w:t>（技术标）</w:t>
      </w:r>
    </w:p>
    <w:p w14:paraId="3C80C643">
      <w:pPr>
        <w:spacing w:line="360" w:lineRule="auto"/>
        <w:ind w:firstLine="964" w:firstLineChars="200"/>
        <w:rPr>
          <w:b/>
          <w:color w:val="auto"/>
          <w:sz w:val="48"/>
          <w:highlight w:val="none"/>
        </w:rPr>
      </w:pPr>
    </w:p>
    <w:p w14:paraId="3F13F13D">
      <w:pPr>
        <w:spacing w:line="360" w:lineRule="auto"/>
        <w:ind w:firstLine="640" w:firstLineChars="200"/>
        <w:rPr>
          <w:color w:val="auto"/>
          <w:sz w:val="32"/>
          <w:highlight w:val="none"/>
        </w:rPr>
      </w:pPr>
    </w:p>
    <w:p w14:paraId="4AAE2216">
      <w:pPr>
        <w:spacing w:line="360" w:lineRule="auto"/>
        <w:ind w:firstLine="640" w:firstLineChars="200"/>
        <w:rPr>
          <w:color w:val="auto"/>
          <w:sz w:val="32"/>
          <w:highlight w:val="none"/>
        </w:rPr>
      </w:pPr>
    </w:p>
    <w:p w14:paraId="34E6EC5C">
      <w:pPr>
        <w:spacing w:line="360" w:lineRule="auto"/>
        <w:ind w:firstLine="640" w:firstLineChars="200"/>
        <w:rPr>
          <w:color w:val="auto"/>
          <w:sz w:val="32"/>
          <w:highlight w:val="none"/>
        </w:rPr>
      </w:pPr>
      <w:r>
        <w:rPr>
          <w:rFonts w:hint="eastAsia"/>
          <w:color w:val="auto"/>
          <w:sz w:val="32"/>
          <w:highlight w:val="none"/>
        </w:rPr>
        <w:t>投标人：</w:t>
      </w:r>
      <w:r>
        <w:rPr>
          <w:rFonts w:hint="eastAsia"/>
          <w:color w:val="auto"/>
          <w:sz w:val="32"/>
          <w:highlight w:val="none"/>
          <w:u w:val="single"/>
        </w:rPr>
        <w:t xml:space="preserve">                             （章）</w:t>
      </w:r>
    </w:p>
    <w:p w14:paraId="1E0305EE">
      <w:pPr>
        <w:spacing w:line="360" w:lineRule="auto"/>
        <w:ind w:firstLine="640" w:firstLineChars="200"/>
        <w:rPr>
          <w:color w:val="auto"/>
          <w:sz w:val="32"/>
          <w:highlight w:val="none"/>
          <w:u w:val="single"/>
        </w:rPr>
      </w:pPr>
      <w:r>
        <w:rPr>
          <w:rFonts w:hint="eastAsia"/>
          <w:color w:val="auto"/>
          <w:sz w:val="32"/>
          <w:highlight w:val="none"/>
        </w:rPr>
        <w:t>法定代表人：</w:t>
      </w:r>
      <w:r>
        <w:rPr>
          <w:rFonts w:hint="eastAsia"/>
          <w:color w:val="auto"/>
          <w:sz w:val="32"/>
          <w:highlight w:val="none"/>
          <w:u w:val="single"/>
        </w:rPr>
        <w:t xml:space="preserve">                           （章）</w:t>
      </w:r>
    </w:p>
    <w:p w14:paraId="27E51E51">
      <w:pPr>
        <w:spacing w:line="360" w:lineRule="auto"/>
        <w:ind w:firstLine="640" w:firstLineChars="200"/>
        <w:rPr>
          <w:color w:val="auto"/>
          <w:sz w:val="32"/>
          <w:highlight w:val="none"/>
          <w:u w:val="single"/>
        </w:rPr>
      </w:pPr>
      <w:r>
        <w:rPr>
          <w:rFonts w:hint="eastAsia"/>
          <w:color w:val="auto"/>
          <w:sz w:val="32"/>
          <w:highlight w:val="none"/>
        </w:rPr>
        <w:t>联系人：电话：</w:t>
      </w:r>
    </w:p>
    <w:p w14:paraId="5FEEC7E9">
      <w:pPr>
        <w:spacing w:line="360" w:lineRule="auto"/>
        <w:ind w:firstLine="640" w:firstLineChars="200"/>
        <w:rPr>
          <w:color w:val="auto"/>
          <w:sz w:val="32"/>
          <w:highlight w:val="none"/>
          <w:u w:val="single"/>
        </w:rPr>
      </w:pPr>
      <w:r>
        <w:rPr>
          <w:rFonts w:hint="eastAsia"/>
          <w:color w:val="auto"/>
          <w:sz w:val="32"/>
          <w:highlight w:val="none"/>
        </w:rPr>
        <w:t>投递日期：</w:t>
      </w:r>
    </w:p>
    <w:p w14:paraId="19C1E8D5">
      <w:pPr>
        <w:spacing w:line="360" w:lineRule="auto"/>
        <w:ind w:firstLine="482" w:firstLineChars="200"/>
        <w:rPr>
          <w:rFonts w:ascii="宋体" w:hAnsi="宋体"/>
          <w:b/>
          <w:bCs/>
          <w:color w:val="auto"/>
          <w:highlight w:val="none"/>
        </w:rPr>
      </w:pPr>
    </w:p>
    <w:p w14:paraId="511B72A2">
      <w:pPr>
        <w:spacing w:line="360" w:lineRule="auto"/>
        <w:ind w:firstLine="482" w:firstLineChars="200"/>
        <w:rPr>
          <w:rFonts w:ascii="宋体" w:hAnsi="宋体"/>
          <w:b/>
          <w:bCs/>
          <w:color w:val="auto"/>
          <w:highlight w:val="none"/>
        </w:rPr>
      </w:pPr>
    </w:p>
    <w:p w14:paraId="235CF70B">
      <w:pPr>
        <w:spacing w:line="360" w:lineRule="auto"/>
        <w:ind w:firstLine="482" w:firstLineChars="200"/>
        <w:rPr>
          <w:rFonts w:ascii="宋体" w:hAnsi="宋体"/>
          <w:b/>
          <w:bCs/>
          <w:color w:val="auto"/>
          <w:highlight w:val="none"/>
        </w:rPr>
      </w:pPr>
    </w:p>
    <w:p w14:paraId="45686A6A">
      <w:pPr>
        <w:spacing w:line="360" w:lineRule="auto"/>
        <w:ind w:firstLine="640" w:firstLineChars="200"/>
        <w:jc w:val="center"/>
        <w:rPr>
          <w:rFonts w:ascii="宋体" w:hAnsi="宋体"/>
          <w:bCs/>
          <w:color w:val="auto"/>
          <w:sz w:val="32"/>
          <w:highlight w:val="none"/>
        </w:rPr>
      </w:pPr>
      <w:r>
        <w:rPr>
          <w:rFonts w:hint="eastAsia" w:ascii="宋体" w:hAnsi="宋体"/>
          <w:bCs/>
          <w:color w:val="auto"/>
          <w:sz w:val="32"/>
          <w:highlight w:val="none"/>
        </w:rPr>
        <w:t>（在投标截止时间之前不得启封）</w:t>
      </w:r>
    </w:p>
    <w:p w14:paraId="6901612C">
      <w:pPr>
        <w:spacing w:line="360" w:lineRule="auto"/>
        <w:ind w:firstLine="482" w:firstLineChars="200"/>
        <w:rPr>
          <w:rFonts w:ascii="宋体" w:hAnsi="宋体"/>
          <w:b/>
          <w:bCs/>
          <w:color w:val="auto"/>
          <w:highlight w:val="none"/>
        </w:rPr>
      </w:pPr>
    </w:p>
    <w:p w14:paraId="53C5CF2A">
      <w:pPr>
        <w:spacing w:line="360" w:lineRule="auto"/>
        <w:ind w:firstLine="482" w:firstLineChars="200"/>
        <w:rPr>
          <w:rFonts w:ascii="宋体" w:hAnsi="宋体"/>
          <w:b/>
          <w:bCs/>
          <w:color w:val="auto"/>
          <w:highlight w:val="none"/>
        </w:rPr>
      </w:pPr>
    </w:p>
    <w:p w14:paraId="38DB7C06">
      <w:pPr>
        <w:spacing w:line="360" w:lineRule="auto"/>
        <w:ind w:firstLine="482" w:firstLineChars="200"/>
        <w:rPr>
          <w:rFonts w:ascii="宋体" w:hAnsi="宋体"/>
          <w:b/>
          <w:bCs/>
          <w:color w:val="auto"/>
          <w:highlight w:val="none"/>
        </w:rPr>
      </w:pPr>
    </w:p>
    <w:p w14:paraId="312CA214">
      <w:pPr>
        <w:spacing w:line="360" w:lineRule="auto"/>
        <w:ind w:firstLine="482" w:firstLineChars="200"/>
        <w:rPr>
          <w:rFonts w:ascii="宋体" w:hAnsi="宋体"/>
          <w:b/>
          <w:bCs/>
          <w:color w:val="auto"/>
          <w:highlight w:val="none"/>
        </w:rPr>
      </w:pPr>
    </w:p>
    <w:p w14:paraId="40DD7AA4">
      <w:pPr>
        <w:spacing w:line="360" w:lineRule="auto"/>
        <w:ind w:firstLine="482" w:firstLineChars="200"/>
        <w:rPr>
          <w:rFonts w:ascii="宋体" w:hAnsi="宋体"/>
          <w:b/>
          <w:bCs/>
          <w:color w:val="auto"/>
          <w:highlight w:val="none"/>
        </w:rPr>
      </w:pPr>
    </w:p>
    <w:p w14:paraId="2D9E4A00">
      <w:pPr>
        <w:spacing w:line="360" w:lineRule="auto"/>
        <w:ind w:firstLine="602" w:firstLineChars="200"/>
        <w:jc w:val="center"/>
        <w:rPr>
          <w:rFonts w:ascii="仿宋_GB2312" w:eastAsia="仿宋_GB2312"/>
          <w:b/>
          <w:color w:val="auto"/>
          <w:sz w:val="30"/>
          <w:szCs w:val="30"/>
          <w:highlight w:val="none"/>
        </w:rPr>
      </w:pPr>
      <w:r>
        <w:rPr>
          <w:rFonts w:hint="eastAsia" w:ascii="宋体" w:hAnsi="宋体"/>
          <w:b/>
          <w:color w:val="auto"/>
          <w:sz w:val="30"/>
          <w:szCs w:val="30"/>
          <w:highlight w:val="none"/>
        </w:rPr>
        <w:t>1、投标人公司简介</w:t>
      </w:r>
    </w:p>
    <w:p w14:paraId="21155E82">
      <w:pPr>
        <w:spacing w:line="360" w:lineRule="auto"/>
        <w:ind w:firstLine="480" w:firstLineChars="200"/>
        <w:jc w:val="center"/>
        <w:rPr>
          <w:rFonts w:ascii="宋体" w:hAnsi="宋体"/>
          <w:color w:val="auto"/>
          <w:highlight w:val="none"/>
        </w:rPr>
      </w:pPr>
      <w:r>
        <w:rPr>
          <w:rFonts w:hint="eastAsia" w:ascii="宋体" w:hAnsi="宋体"/>
          <w:color w:val="auto"/>
          <w:highlight w:val="none"/>
        </w:rPr>
        <w:t>（格式自拟）</w:t>
      </w:r>
    </w:p>
    <w:p w14:paraId="0E807B44">
      <w:pPr>
        <w:spacing w:line="360" w:lineRule="auto"/>
        <w:ind w:firstLine="480" w:firstLineChars="200"/>
        <w:jc w:val="center"/>
        <w:rPr>
          <w:rFonts w:ascii="宋体" w:hAnsi="宋体"/>
          <w:color w:val="auto"/>
          <w:highlight w:val="none"/>
        </w:rPr>
      </w:pPr>
    </w:p>
    <w:p w14:paraId="66B10E6B">
      <w:pPr>
        <w:spacing w:line="360" w:lineRule="auto"/>
        <w:ind w:firstLine="480" w:firstLineChars="200"/>
        <w:rPr>
          <w:rFonts w:ascii="宋体" w:hAnsi="宋体"/>
          <w:color w:val="auto"/>
          <w:highlight w:val="none"/>
        </w:rPr>
      </w:pPr>
    </w:p>
    <w:p w14:paraId="3F8BFD75">
      <w:pPr>
        <w:spacing w:line="360" w:lineRule="auto"/>
        <w:ind w:firstLine="480" w:firstLineChars="200"/>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2、投标人一般情况</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224"/>
        <w:gridCol w:w="1651"/>
        <w:gridCol w:w="1237"/>
        <w:gridCol w:w="1445"/>
        <w:gridCol w:w="2344"/>
      </w:tblGrid>
      <w:tr w14:paraId="14C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6"/>
          </w:tcPr>
          <w:p w14:paraId="234023D0">
            <w:pPr>
              <w:spacing w:line="360" w:lineRule="auto"/>
              <w:rPr>
                <w:rFonts w:ascii="宋体" w:hAnsi="宋体"/>
                <w:color w:val="auto"/>
                <w:highlight w:val="none"/>
              </w:rPr>
            </w:pPr>
            <w:r>
              <w:rPr>
                <w:rFonts w:hint="eastAsia" w:ascii="宋体" w:hAnsi="宋体"/>
                <w:color w:val="auto"/>
                <w:highlight w:val="none"/>
              </w:rPr>
              <w:t>投标人全称：</w:t>
            </w:r>
          </w:p>
        </w:tc>
      </w:tr>
      <w:tr w14:paraId="30C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61C4BF51">
            <w:pPr>
              <w:spacing w:line="360" w:lineRule="auto"/>
              <w:rPr>
                <w:rFonts w:ascii="宋体" w:hAnsi="宋体"/>
                <w:color w:val="auto"/>
                <w:highlight w:val="none"/>
              </w:rPr>
            </w:pPr>
            <w:r>
              <w:rPr>
                <w:rFonts w:hint="eastAsia" w:ascii="宋体" w:hAnsi="宋体"/>
                <w:color w:val="auto"/>
                <w:highlight w:val="none"/>
              </w:rPr>
              <w:t>企业资质</w:t>
            </w:r>
          </w:p>
        </w:tc>
        <w:tc>
          <w:tcPr>
            <w:tcW w:w="7901" w:type="dxa"/>
            <w:gridSpan w:val="5"/>
          </w:tcPr>
          <w:p w14:paraId="235D82DE">
            <w:pPr>
              <w:spacing w:line="360" w:lineRule="auto"/>
              <w:ind w:firstLine="480" w:firstLineChars="200"/>
              <w:rPr>
                <w:rFonts w:ascii="宋体" w:hAnsi="宋体"/>
                <w:color w:val="auto"/>
                <w:highlight w:val="none"/>
              </w:rPr>
            </w:pPr>
            <w:r>
              <w:rPr>
                <w:rFonts w:hint="eastAsia" w:ascii="宋体" w:hAnsi="宋体"/>
                <w:color w:val="auto"/>
                <w:highlight w:val="none"/>
              </w:rPr>
              <w:t>1、等级：      　　2、证书号：　　　　3、发证单位：</w:t>
            </w:r>
          </w:p>
        </w:tc>
      </w:tr>
      <w:tr w14:paraId="741E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0F9D275C">
            <w:pPr>
              <w:spacing w:line="360" w:lineRule="auto"/>
              <w:rPr>
                <w:rFonts w:ascii="宋体" w:hAnsi="宋体"/>
                <w:color w:val="auto"/>
                <w:highlight w:val="none"/>
              </w:rPr>
            </w:pPr>
            <w:r>
              <w:rPr>
                <w:rFonts w:hint="eastAsia" w:ascii="宋体" w:hAnsi="宋体"/>
                <w:color w:val="auto"/>
                <w:highlight w:val="none"/>
              </w:rPr>
              <w:t>营业执照</w:t>
            </w:r>
          </w:p>
        </w:tc>
        <w:tc>
          <w:tcPr>
            <w:tcW w:w="7901" w:type="dxa"/>
            <w:gridSpan w:val="5"/>
          </w:tcPr>
          <w:p w14:paraId="76233B6E">
            <w:pPr>
              <w:spacing w:line="360" w:lineRule="auto"/>
              <w:ind w:firstLine="480" w:firstLineChars="200"/>
              <w:rPr>
                <w:rFonts w:ascii="宋体" w:hAnsi="宋体"/>
                <w:color w:val="auto"/>
                <w:highlight w:val="none"/>
              </w:rPr>
            </w:pPr>
            <w:r>
              <w:rPr>
                <w:rFonts w:hint="eastAsia" w:ascii="宋体" w:hAnsi="宋体"/>
                <w:color w:val="auto"/>
                <w:highlight w:val="none"/>
              </w:rPr>
              <w:t>1、编号：　　　　　2、营业范围：　　　3、发照单位：</w:t>
            </w:r>
          </w:p>
        </w:tc>
      </w:tr>
      <w:tr w14:paraId="296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23A5963B">
            <w:pPr>
              <w:spacing w:line="360" w:lineRule="auto"/>
              <w:rPr>
                <w:rFonts w:ascii="宋体" w:hAnsi="宋体"/>
                <w:color w:val="auto"/>
                <w:highlight w:val="none"/>
              </w:rPr>
            </w:pPr>
            <w:r>
              <w:rPr>
                <w:rFonts w:hint="eastAsia" w:ascii="宋体" w:hAnsi="宋体"/>
                <w:color w:val="auto"/>
                <w:highlight w:val="none"/>
              </w:rPr>
              <w:t>成立日期</w:t>
            </w:r>
          </w:p>
        </w:tc>
        <w:tc>
          <w:tcPr>
            <w:tcW w:w="1224" w:type="dxa"/>
          </w:tcPr>
          <w:p w14:paraId="232399E6">
            <w:pPr>
              <w:spacing w:line="360" w:lineRule="auto"/>
              <w:rPr>
                <w:rFonts w:ascii="宋体" w:hAnsi="宋体"/>
                <w:color w:val="auto"/>
                <w:highlight w:val="none"/>
              </w:rPr>
            </w:pPr>
          </w:p>
        </w:tc>
        <w:tc>
          <w:tcPr>
            <w:tcW w:w="1651" w:type="dxa"/>
            <w:vAlign w:val="center"/>
          </w:tcPr>
          <w:p w14:paraId="1844FA18">
            <w:pPr>
              <w:spacing w:line="360" w:lineRule="auto"/>
              <w:ind w:left="-137" w:leftChars="-57" w:firstLine="120" w:firstLineChars="50"/>
              <w:rPr>
                <w:rFonts w:ascii="宋体" w:hAnsi="宋体"/>
                <w:color w:val="auto"/>
                <w:highlight w:val="none"/>
              </w:rPr>
            </w:pPr>
            <w:r>
              <w:rPr>
                <w:rFonts w:hint="eastAsia" w:ascii="宋体" w:hAnsi="宋体"/>
                <w:color w:val="auto"/>
                <w:highlight w:val="none"/>
              </w:rPr>
              <w:t>现有职工</w:t>
            </w:r>
          </w:p>
          <w:p w14:paraId="022C9387">
            <w:pPr>
              <w:spacing w:line="360" w:lineRule="auto"/>
              <w:ind w:left="-137" w:leftChars="-57" w:firstLine="120" w:firstLineChars="50"/>
              <w:rPr>
                <w:rFonts w:ascii="宋体" w:hAnsi="宋体"/>
                <w:color w:val="auto"/>
                <w:highlight w:val="none"/>
              </w:rPr>
            </w:pPr>
            <w:r>
              <w:rPr>
                <w:rFonts w:hint="eastAsia" w:ascii="宋体" w:hAnsi="宋体"/>
                <w:color w:val="auto"/>
                <w:highlight w:val="none"/>
              </w:rPr>
              <w:t>总人数（人）</w:t>
            </w:r>
          </w:p>
        </w:tc>
        <w:tc>
          <w:tcPr>
            <w:tcW w:w="1237" w:type="dxa"/>
            <w:vAlign w:val="center"/>
          </w:tcPr>
          <w:p w14:paraId="0C527DC0">
            <w:pPr>
              <w:spacing w:line="360" w:lineRule="auto"/>
              <w:ind w:firstLine="480" w:firstLineChars="200"/>
              <w:rPr>
                <w:rFonts w:ascii="宋体" w:hAnsi="宋体"/>
                <w:color w:val="auto"/>
                <w:highlight w:val="none"/>
              </w:rPr>
            </w:pPr>
          </w:p>
        </w:tc>
        <w:tc>
          <w:tcPr>
            <w:tcW w:w="1445" w:type="dxa"/>
            <w:vAlign w:val="center"/>
          </w:tcPr>
          <w:p w14:paraId="2D67498C">
            <w:pPr>
              <w:spacing w:line="360" w:lineRule="auto"/>
              <w:ind w:left="-70" w:leftChars="-29"/>
              <w:rPr>
                <w:rFonts w:ascii="宋体" w:hAnsi="宋体"/>
                <w:color w:val="auto"/>
                <w:highlight w:val="none"/>
              </w:rPr>
            </w:pPr>
            <w:r>
              <w:rPr>
                <w:rFonts w:hint="eastAsia" w:ascii="宋体" w:hAnsi="宋体"/>
                <w:color w:val="auto"/>
                <w:highlight w:val="none"/>
              </w:rPr>
              <w:t>固定资产净值（万元）</w:t>
            </w:r>
          </w:p>
        </w:tc>
        <w:tc>
          <w:tcPr>
            <w:tcW w:w="2344" w:type="dxa"/>
          </w:tcPr>
          <w:p w14:paraId="0BC4B79E">
            <w:pPr>
              <w:spacing w:line="360" w:lineRule="auto"/>
              <w:ind w:firstLine="480" w:firstLineChars="200"/>
              <w:rPr>
                <w:rFonts w:ascii="宋体" w:hAnsi="宋体"/>
                <w:color w:val="auto"/>
                <w:highlight w:val="none"/>
              </w:rPr>
            </w:pPr>
          </w:p>
        </w:tc>
      </w:tr>
      <w:tr w14:paraId="468D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350168D2">
            <w:pPr>
              <w:spacing w:line="360" w:lineRule="auto"/>
              <w:rPr>
                <w:rFonts w:ascii="宋体" w:hAnsi="宋体"/>
                <w:color w:val="auto"/>
                <w:highlight w:val="none"/>
              </w:rPr>
            </w:pPr>
            <w:r>
              <w:rPr>
                <w:rFonts w:hint="eastAsia" w:ascii="宋体" w:hAnsi="宋体"/>
                <w:color w:val="auto"/>
                <w:highlight w:val="none"/>
              </w:rPr>
              <w:t>行政负责人</w:t>
            </w:r>
          </w:p>
        </w:tc>
        <w:tc>
          <w:tcPr>
            <w:tcW w:w="7901" w:type="dxa"/>
            <w:gridSpan w:val="5"/>
          </w:tcPr>
          <w:p w14:paraId="615D43FE">
            <w:pPr>
              <w:spacing w:line="360" w:lineRule="auto"/>
              <w:ind w:firstLine="480" w:firstLineChars="200"/>
              <w:rPr>
                <w:rFonts w:ascii="宋体" w:hAnsi="宋体"/>
                <w:color w:val="auto"/>
                <w:highlight w:val="none"/>
              </w:rPr>
            </w:pPr>
            <w:r>
              <w:rPr>
                <w:rFonts w:hint="eastAsia" w:ascii="宋体" w:hAnsi="宋体"/>
                <w:color w:val="auto"/>
                <w:highlight w:val="none"/>
              </w:rPr>
              <w:t>1、姓名：　　　　　2、职务：　　　　　3、职称：</w:t>
            </w:r>
          </w:p>
        </w:tc>
      </w:tr>
      <w:tr w14:paraId="7A54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7490421D">
            <w:pPr>
              <w:spacing w:line="360" w:lineRule="auto"/>
              <w:rPr>
                <w:rFonts w:ascii="宋体" w:hAnsi="宋体"/>
                <w:color w:val="auto"/>
                <w:highlight w:val="none"/>
              </w:rPr>
            </w:pPr>
            <w:r>
              <w:rPr>
                <w:rFonts w:hint="eastAsia" w:ascii="宋体" w:hAnsi="宋体"/>
                <w:color w:val="auto"/>
                <w:highlight w:val="none"/>
              </w:rPr>
              <w:t>技术负责人</w:t>
            </w:r>
          </w:p>
        </w:tc>
        <w:tc>
          <w:tcPr>
            <w:tcW w:w="7901" w:type="dxa"/>
            <w:gridSpan w:val="5"/>
          </w:tcPr>
          <w:p w14:paraId="005AE038">
            <w:pPr>
              <w:spacing w:line="360" w:lineRule="auto"/>
              <w:ind w:firstLine="480" w:firstLineChars="200"/>
              <w:rPr>
                <w:rFonts w:ascii="宋体" w:hAnsi="宋体"/>
                <w:color w:val="auto"/>
                <w:highlight w:val="none"/>
              </w:rPr>
            </w:pPr>
            <w:r>
              <w:rPr>
                <w:rFonts w:hint="eastAsia" w:ascii="宋体" w:hAnsi="宋体"/>
                <w:color w:val="auto"/>
                <w:highlight w:val="none"/>
              </w:rPr>
              <w:t>1、姓名：　　　　　2、职务：　　　　　3、职称：</w:t>
            </w:r>
          </w:p>
        </w:tc>
      </w:tr>
      <w:tr w14:paraId="4C87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3A6BA1BA">
            <w:pPr>
              <w:spacing w:line="360" w:lineRule="auto"/>
              <w:rPr>
                <w:rFonts w:ascii="宋体" w:hAnsi="宋体"/>
                <w:color w:val="auto"/>
                <w:highlight w:val="none"/>
              </w:rPr>
            </w:pPr>
            <w:r>
              <w:rPr>
                <w:rFonts w:hint="eastAsia" w:ascii="宋体" w:hAnsi="宋体"/>
                <w:color w:val="auto"/>
                <w:highlight w:val="none"/>
              </w:rPr>
              <w:t>联系方式</w:t>
            </w:r>
          </w:p>
        </w:tc>
        <w:tc>
          <w:tcPr>
            <w:tcW w:w="7901" w:type="dxa"/>
            <w:gridSpan w:val="5"/>
          </w:tcPr>
          <w:p w14:paraId="05EDD3B1">
            <w:pPr>
              <w:spacing w:line="360" w:lineRule="auto"/>
              <w:ind w:firstLine="480" w:firstLineChars="200"/>
              <w:rPr>
                <w:rFonts w:ascii="宋体" w:hAnsi="宋体"/>
                <w:color w:val="auto"/>
                <w:highlight w:val="none"/>
              </w:rPr>
            </w:pPr>
            <w:r>
              <w:rPr>
                <w:rFonts w:hint="eastAsia" w:ascii="宋体" w:hAnsi="宋体"/>
                <w:color w:val="auto"/>
                <w:highlight w:val="none"/>
              </w:rPr>
              <w:t>1、地址：　　　　　2、邮编：　　　　　3、传真：</w:t>
            </w:r>
          </w:p>
          <w:p w14:paraId="474E1937">
            <w:pPr>
              <w:spacing w:line="360" w:lineRule="auto"/>
              <w:ind w:firstLine="480" w:firstLineChars="200"/>
              <w:rPr>
                <w:rFonts w:ascii="宋体" w:hAnsi="宋体"/>
                <w:color w:val="auto"/>
                <w:highlight w:val="none"/>
              </w:rPr>
            </w:pPr>
            <w:r>
              <w:rPr>
                <w:rFonts w:hint="eastAsia" w:ascii="宋体" w:hAnsi="宋体"/>
                <w:color w:val="auto"/>
                <w:highlight w:val="none"/>
              </w:rPr>
              <w:t>4、电话：　　　　　5、E</w:t>
            </w:r>
            <w:r>
              <w:rPr>
                <w:rFonts w:ascii="宋体" w:hAnsi="宋体"/>
                <w:color w:val="auto"/>
                <w:highlight w:val="none"/>
              </w:rPr>
              <w:t>-mail</w:t>
            </w:r>
            <w:r>
              <w:rPr>
                <w:rFonts w:hint="eastAsia" w:ascii="宋体" w:hAnsi="宋体"/>
                <w:color w:val="auto"/>
                <w:highlight w:val="none"/>
              </w:rPr>
              <w:t>：</w:t>
            </w:r>
          </w:p>
        </w:tc>
      </w:tr>
      <w:tr w14:paraId="5597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23AE89EE">
            <w:pPr>
              <w:spacing w:line="360" w:lineRule="auto"/>
              <w:rPr>
                <w:rFonts w:ascii="宋体" w:hAnsi="宋体"/>
                <w:color w:val="auto"/>
                <w:highlight w:val="none"/>
              </w:rPr>
            </w:pPr>
            <w:r>
              <w:rPr>
                <w:rFonts w:hint="eastAsia" w:ascii="宋体" w:hAnsi="宋体"/>
                <w:color w:val="auto"/>
                <w:highlight w:val="none"/>
              </w:rPr>
              <w:t>开户银行</w:t>
            </w:r>
          </w:p>
        </w:tc>
        <w:tc>
          <w:tcPr>
            <w:tcW w:w="7901" w:type="dxa"/>
            <w:gridSpan w:val="5"/>
          </w:tcPr>
          <w:p w14:paraId="6E5CA15D">
            <w:pPr>
              <w:spacing w:line="360" w:lineRule="auto"/>
              <w:ind w:firstLine="480" w:firstLineChars="200"/>
              <w:rPr>
                <w:rFonts w:ascii="宋体" w:hAnsi="宋体"/>
                <w:color w:val="auto"/>
                <w:highlight w:val="none"/>
              </w:rPr>
            </w:pPr>
            <w:r>
              <w:rPr>
                <w:rFonts w:hint="eastAsia" w:ascii="宋体" w:hAnsi="宋体"/>
                <w:color w:val="auto"/>
                <w:highlight w:val="none"/>
              </w:rPr>
              <w:t>1、名称：　　　　　　　　　　　2、账号：</w:t>
            </w:r>
          </w:p>
        </w:tc>
      </w:tr>
      <w:tr w14:paraId="29F2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1ADC0898">
            <w:pPr>
              <w:spacing w:line="360" w:lineRule="auto"/>
              <w:rPr>
                <w:rFonts w:ascii="宋体" w:hAnsi="宋体"/>
                <w:color w:val="auto"/>
                <w:highlight w:val="none"/>
              </w:rPr>
            </w:pPr>
            <w:r>
              <w:rPr>
                <w:rFonts w:hint="eastAsia" w:ascii="宋体" w:hAnsi="宋体"/>
                <w:color w:val="auto"/>
                <w:highlight w:val="none"/>
              </w:rPr>
              <w:t>下属业务单位简况（个数、专业、年完成工作量等）</w:t>
            </w:r>
          </w:p>
        </w:tc>
        <w:tc>
          <w:tcPr>
            <w:tcW w:w="7901" w:type="dxa"/>
            <w:gridSpan w:val="5"/>
          </w:tcPr>
          <w:p w14:paraId="1D8853D5">
            <w:pPr>
              <w:spacing w:line="360" w:lineRule="auto"/>
              <w:ind w:firstLine="480" w:firstLineChars="200"/>
              <w:rPr>
                <w:rFonts w:ascii="宋体" w:hAnsi="宋体"/>
                <w:color w:val="auto"/>
                <w:highlight w:val="none"/>
              </w:rPr>
            </w:pPr>
          </w:p>
        </w:tc>
      </w:tr>
      <w:tr w14:paraId="1912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5" w:type="dxa"/>
            <w:vAlign w:val="center"/>
          </w:tcPr>
          <w:p w14:paraId="362E6E66">
            <w:pPr>
              <w:spacing w:line="360" w:lineRule="auto"/>
              <w:rPr>
                <w:rFonts w:ascii="宋体" w:hAnsi="宋体"/>
                <w:color w:val="auto"/>
                <w:highlight w:val="none"/>
              </w:rPr>
            </w:pPr>
            <w:r>
              <w:rPr>
                <w:rFonts w:hint="eastAsia" w:ascii="宋体" w:hAnsi="宋体"/>
                <w:color w:val="auto"/>
                <w:highlight w:val="none"/>
              </w:rPr>
              <w:t>组织机构图</w:t>
            </w:r>
          </w:p>
        </w:tc>
        <w:tc>
          <w:tcPr>
            <w:tcW w:w="7901" w:type="dxa"/>
            <w:gridSpan w:val="5"/>
          </w:tcPr>
          <w:p w14:paraId="22251228">
            <w:pPr>
              <w:spacing w:line="360" w:lineRule="auto"/>
              <w:ind w:firstLine="480" w:firstLineChars="200"/>
              <w:rPr>
                <w:rFonts w:ascii="宋体" w:hAnsi="宋体"/>
                <w:color w:val="auto"/>
                <w:highlight w:val="none"/>
              </w:rPr>
            </w:pPr>
          </w:p>
        </w:tc>
      </w:tr>
    </w:tbl>
    <w:p w14:paraId="1FD3B277">
      <w:pPr>
        <w:spacing w:line="360" w:lineRule="auto"/>
        <w:rPr>
          <w:rFonts w:ascii="宋体" w:hAnsi="宋体"/>
          <w:color w:val="auto"/>
          <w:highlight w:val="none"/>
        </w:rPr>
      </w:pPr>
    </w:p>
    <w:p w14:paraId="483FE50B">
      <w:pPr>
        <w:spacing w:line="360" w:lineRule="auto"/>
        <w:rPr>
          <w:rFonts w:ascii="宋体" w:hAnsi="宋体"/>
          <w:color w:val="auto"/>
          <w:highlight w:val="none"/>
        </w:rPr>
      </w:pPr>
      <w:r>
        <w:rPr>
          <w:rFonts w:hint="eastAsia" w:ascii="宋体" w:hAnsi="宋体"/>
          <w:color w:val="auto"/>
          <w:highlight w:val="none"/>
        </w:rPr>
        <w:t>注：投标人须提供企业法人营业执照、组织机构代码证和相关行业资质证书（如有）等的复印件。</w:t>
      </w:r>
    </w:p>
    <w:p w14:paraId="73EF099C">
      <w:pPr>
        <w:spacing w:line="360" w:lineRule="auto"/>
        <w:ind w:firstLine="480" w:firstLineChars="200"/>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3、拟为承包本合同业务设立的组织机构图</w:t>
      </w:r>
    </w:p>
    <w:p w14:paraId="384234CF">
      <w:pPr>
        <w:spacing w:line="360" w:lineRule="auto"/>
        <w:ind w:firstLine="480" w:firstLineChars="200"/>
        <w:jc w:val="center"/>
        <w:rPr>
          <w:rFonts w:ascii="宋体" w:hAnsi="宋体"/>
          <w:color w:val="auto"/>
          <w:highlight w:val="none"/>
        </w:rPr>
      </w:pPr>
      <w:r>
        <w:rPr>
          <w:rFonts w:hint="eastAsia" w:ascii="宋体" w:hAnsi="宋体"/>
          <w:color w:val="auto"/>
          <w:highlight w:val="none"/>
        </w:rPr>
        <w:t>（格式自拟）</w:t>
      </w:r>
    </w:p>
    <w:tbl>
      <w:tblPr>
        <w:tblStyle w:val="21"/>
        <w:tblpPr w:leftFromText="180" w:rightFromText="180" w:vertAnchor="text" w:horzAnchor="margin" w:tblpXSpec="center" w:tblpY="3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FC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1AAA79AD">
            <w:pPr>
              <w:spacing w:line="360" w:lineRule="auto"/>
              <w:ind w:firstLine="480" w:firstLineChars="200"/>
              <w:rPr>
                <w:rFonts w:ascii="宋体" w:hAnsi="宋体"/>
                <w:color w:val="auto"/>
                <w:highlight w:val="none"/>
              </w:rPr>
            </w:pPr>
          </w:p>
          <w:p w14:paraId="2713F943">
            <w:pPr>
              <w:spacing w:line="360" w:lineRule="auto"/>
              <w:ind w:firstLine="480" w:firstLineChars="200"/>
              <w:rPr>
                <w:rFonts w:ascii="宋体" w:hAnsi="宋体"/>
                <w:color w:val="auto"/>
                <w:highlight w:val="none"/>
              </w:rPr>
            </w:pPr>
          </w:p>
          <w:p w14:paraId="2CD3B143">
            <w:pPr>
              <w:spacing w:line="360" w:lineRule="auto"/>
              <w:ind w:firstLine="480" w:firstLineChars="200"/>
              <w:rPr>
                <w:rFonts w:ascii="宋体" w:hAnsi="宋体"/>
                <w:color w:val="auto"/>
                <w:highlight w:val="none"/>
              </w:rPr>
            </w:pPr>
          </w:p>
          <w:p w14:paraId="3455BE53">
            <w:pPr>
              <w:spacing w:line="360" w:lineRule="auto"/>
              <w:ind w:firstLine="480" w:firstLineChars="200"/>
              <w:rPr>
                <w:rFonts w:ascii="宋体" w:hAnsi="宋体"/>
                <w:color w:val="auto"/>
                <w:highlight w:val="none"/>
              </w:rPr>
            </w:pPr>
          </w:p>
          <w:p w14:paraId="1E1FC5CA">
            <w:pPr>
              <w:spacing w:line="360" w:lineRule="auto"/>
              <w:ind w:firstLine="480" w:firstLineChars="200"/>
              <w:rPr>
                <w:rFonts w:ascii="宋体" w:hAnsi="宋体"/>
                <w:color w:val="auto"/>
                <w:highlight w:val="none"/>
              </w:rPr>
            </w:pPr>
          </w:p>
          <w:p w14:paraId="3C5F8AA8">
            <w:pPr>
              <w:spacing w:line="360" w:lineRule="auto"/>
              <w:ind w:firstLine="480" w:firstLineChars="200"/>
              <w:rPr>
                <w:rFonts w:ascii="宋体" w:hAnsi="宋体"/>
                <w:color w:val="auto"/>
                <w:highlight w:val="none"/>
              </w:rPr>
            </w:pPr>
          </w:p>
          <w:p w14:paraId="733E3969">
            <w:pPr>
              <w:spacing w:line="360" w:lineRule="auto"/>
              <w:ind w:firstLine="480" w:firstLineChars="200"/>
              <w:rPr>
                <w:rFonts w:ascii="宋体" w:hAnsi="宋体"/>
                <w:color w:val="auto"/>
                <w:highlight w:val="none"/>
              </w:rPr>
            </w:pPr>
          </w:p>
          <w:p w14:paraId="15C09EF5">
            <w:pPr>
              <w:spacing w:line="360" w:lineRule="auto"/>
              <w:ind w:firstLine="480" w:firstLineChars="200"/>
              <w:rPr>
                <w:rFonts w:ascii="宋体" w:hAnsi="宋体"/>
                <w:color w:val="auto"/>
                <w:highlight w:val="none"/>
              </w:rPr>
            </w:pPr>
          </w:p>
          <w:p w14:paraId="1D5E2E34">
            <w:pPr>
              <w:spacing w:line="360" w:lineRule="auto"/>
              <w:ind w:firstLine="480" w:firstLineChars="200"/>
              <w:rPr>
                <w:rFonts w:ascii="宋体" w:hAnsi="宋体"/>
                <w:color w:val="auto"/>
                <w:highlight w:val="none"/>
              </w:rPr>
            </w:pPr>
          </w:p>
          <w:p w14:paraId="370614D7">
            <w:pPr>
              <w:spacing w:line="360" w:lineRule="auto"/>
              <w:ind w:firstLine="480" w:firstLineChars="200"/>
              <w:rPr>
                <w:rFonts w:ascii="宋体" w:hAnsi="宋体"/>
                <w:color w:val="auto"/>
                <w:highlight w:val="none"/>
              </w:rPr>
            </w:pPr>
          </w:p>
          <w:p w14:paraId="2BAA97D1">
            <w:pPr>
              <w:spacing w:line="360" w:lineRule="auto"/>
              <w:ind w:firstLine="480" w:firstLineChars="200"/>
              <w:rPr>
                <w:rFonts w:ascii="宋体" w:hAnsi="宋体"/>
                <w:color w:val="auto"/>
                <w:highlight w:val="none"/>
              </w:rPr>
            </w:pPr>
          </w:p>
          <w:p w14:paraId="4D43E638">
            <w:pPr>
              <w:spacing w:line="360" w:lineRule="auto"/>
              <w:ind w:firstLine="480" w:firstLineChars="200"/>
              <w:rPr>
                <w:rFonts w:ascii="宋体" w:hAnsi="宋体"/>
                <w:color w:val="auto"/>
                <w:highlight w:val="none"/>
              </w:rPr>
            </w:pPr>
          </w:p>
          <w:p w14:paraId="5CE4DC81">
            <w:pPr>
              <w:spacing w:line="360" w:lineRule="auto"/>
              <w:ind w:firstLine="480" w:firstLineChars="200"/>
              <w:rPr>
                <w:rFonts w:ascii="宋体" w:hAnsi="宋体"/>
                <w:color w:val="auto"/>
                <w:highlight w:val="none"/>
              </w:rPr>
            </w:pPr>
          </w:p>
          <w:p w14:paraId="6A81C163">
            <w:pPr>
              <w:spacing w:line="360" w:lineRule="auto"/>
              <w:ind w:firstLine="480" w:firstLineChars="200"/>
              <w:rPr>
                <w:rFonts w:ascii="宋体" w:hAnsi="宋体"/>
                <w:color w:val="auto"/>
                <w:highlight w:val="none"/>
              </w:rPr>
            </w:pPr>
          </w:p>
          <w:p w14:paraId="150E3BE9">
            <w:pPr>
              <w:spacing w:line="360" w:lineRule="auto"/>
              <w:ind w:firstLine="480" w:firstLineChars="200"/>
              <w:rPr>
                <w:rFonts w:ascii="宋体" w:hAnsi="宋体"/>
                <w:color w:val="auto"/>
                <w:highlight w:val="none"/>
              </w:rPr>
            </w:pPr>
          </w:p>
          <w:p w14:paraId="3F58A763">
            <w:pPr>
              <w:spacing w:line="360" w:lineRule="auto"/>
              <w:ind w:firstLine="480" w:firstLineChars="200"/>
              <w:rPr>
                <w:rFonts w:ascii="宋体" w:hAnsi="宋体"/>
                <w:color w:val="auto"/>
                <w:highlight w:val="none"/>
              </w:rPr>
            </w:pPr>
          </w:p>
        </w:tc>
      </w:tr>
      <w:tr w14:paraId="1FD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050FEB32">
            <w:pPr>
              <w:spacing w:line="360" w:lineRule="auto"/>
              <w:ind w:firstLine="480" w:firstLineChars="200"/>
              <w:rPr>
                <w:rFonts w:ascii="宋体" w:hAnsi="宋体"/>
                <w:color w:val="auto"/>
                <w:highlight w:val="none"/>
              </w:rPr>
            </w:pPr>
            <w:r>
              <w:rPr>
                <w:rFonts w:hint="eastAsia" w:ascii="宋体" w:hAnsi="宋体"/>
                <w:color w:val="auto"/>
                <w:highlight w:val="none"/>
              </w:rPr>
              <w:t>说明：</w:t>
            </w:r>
          </w:p>
          <w:p w14:paraId="1D51AC68">
            <w:pPr>
              <w:spacing w:line="360" w:lineRule="auto"/>
              <w:ind w:firstLine="480" w:firstLineChars="200"/>
              <w:rPr>
                <w:rFonts w:ascii="宋体" w:hAnsi="宋体"/>
                <w:color w:val="auto"/>
                <w:highlight w:val="none"/>
              </w:rPr>
            </w:pPr>
          </w:p>
          <w:p w14:paraId="5344F8F3">
            <w:pPr>
              <w:spacing w:line="360" w:lineRule="auto"/>
              <w:ind w:firstLine="480" w:firstLineChars="200"/>
              <w:rPr>
                <w:rFonts w:ascii="宋体" w:hAnsi="宋体"/>
                <w:color w:val="auto"/>
                <w:highlight w:val="none"/>
              </w:rPr>
            </w:pPr>
          </w:p>
          <w:p w14:paraId="76CCB9C5">
            <w:pPr>
              <w:spacing w:line="360" w:lineRule="auto"/>
              <w:ind w:firstLine="480" w:firstLineChars="200"/>
              <w:rPr>
                <w:rFonts w:ascii="宋体" w:hAnsi="宋体"/>
                <w:color w:val="auto"/>
                <w:highlight w:val="none"/>
              </w:rPr>
            </w:pPr>
          </w:p>
          <w:p w14:paraId="450A5DB3">
            <w:pPr>
              <w:spacing w:line="360" w:lineRule="auto"/>
              <w:ind w:firstLine="480" w:firstLineChars="200"/>
              <w:rPr>
                <w:rFonts w:ascii="宋体" w:hAnsi="宋体"/>
                <w:color w:val="auto"/>
                <w:highlight w:val="none"/>
              </w:rPr>
            </w:pPr>
          </w:p>
          <w:p w14:paraId="7B923581">
            <w:pPr>
              <w:spacing w:line="360" w:lineRule="auto"/>
              <w:ind w:firstLine="480" w:firstLineChars="200"/>
              <w:rPr>
                <w:rFonts w:ascii="宋体" w:hAnsi="宋体"/>
                <w:color w:val="auto"/>
                <w:highlight w:val="none"/>
              </w:rPr>
            </w:pPr>
          </w:p>
          <w:p w14:paraId="5FA5AD63">
            <w:pPr>
              <w:spacing w:line="360" w:lineRule="auto"/>
              <w:ind w:firstLine="480" w:firstLineChars="200"/>
              <w:rPr>
                <w:rFonts w:ascii="宋体" w:hAnsi="宋体"/>
                <w:color w:val="auto"/>
                <w:highlight w:val="none"/>
              </w:rPr>
            </w:pPr>
          </w:p>
        </w:tc>
      </w:tr>
    </w:tbl>
    <w:p w14:paraId="5C65C1EF">
      <w:pPr>
        <w:spacing w:line="360" w:lineRule="auto"/>
        <w:ind w:firstLine="480" w:firstLineChars="200"/>
        <w:rPr>
          <w:rFonts w:ascii="宋体" w:hAnsi="宋体"/>
          <w:color w:val="auto"/>
          <w:highlight w:val="none"/>
        </w:rPr>
      </w:pPr>
    </w:p>
    <w:p w14:paraId="7782F132">
      <w:pPr>
        <w:spacing w:line="360" w:lineRule="auto"/>
        <w:ind w:firstLine="480" w:firstLineChars="200"/>
        <w:rPr>
          <w:rFonts w:ascii="宋体" w:hAnsi="宋体"/>
          <w:color w:val="auto"/>
          <w:highlight w:val="none"/>
        </w:rPr>
      </w:pPr>
    </w:p>
    <w:p w14:paraId="780C352B">
      <w:pPr>
        <w:spacing w:line="360" w:lineRule="auto"/>
        <w:ind w:firstLine="480" w:firstLineChars="200"/>
        <w:rPr>
          <w:rFonts w:ascii="宋体" w:hAnsi="宋体"/>
          <w:color w:val="auto"/>
          <w:highlight w:val="none"/>
        </w:rPr>
      </w:pPr>
    </w:p>
    <w:p w14:paraId="1707A40D">
      <w:pPr>
        <w:spacing w:line="360" w:lineRule="auto"/>
        <w:ind w:firstLine="480" w:firstLineChars="200"/>
        <w:rPr>
          <w:rFonts w:ascii="宋体" w:hAnsi="宋体"/>
          <w:color w:val="auto"/>
          <w:highlight w:val="none"/>
        </w:rPr>
      </w:pPr>
    </w:p>
    <w:p w14:paraId="24B29287">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4、拟在本合同业务任职的主要人员简历表</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95"/>
        <w:gridCol w:w="1547"/>
        <w:gridCol w:w="830"/>
        <w:gridCol w:w="1790"/>
        <w:gridCol w:w="475"/>
        <w:gridCol w:w="1549"/>
        <w:gridCol w:w="1547"/>
      </w:tblGrid>
      <w:tr w14:paraId="4B6C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3" w:type="dxa"/>
            <w:vAlign w:val="center"/>
          </w:tcPr>
          <w:p w14:paraId="49063FF0">
            <w:pPr>
              <w:spacing w:line="360" w:lineRule="auto"/>
              <w:ind w:firstLine="240" w:firstLineChars="100"/>
              <w:rPr>
                <w:rFonts w:ascii="宋体" w:hAnsi="宋体"/>
                <w:color w:val="auto"/>
                <w:highlight w:val="none"/>
              </w:rPr>
            </w:pPr>
            <w:r>
              <w:rPr>
                <w:rFonts w:hint="eastAsia" w:ascii="宋体" w:hAnsi="宋体"/>
                <w:color w:val="auto"/>
                <w:highlight w:val="none"/>
              </w:rPr>
              <w:t>姓名</w:t>
            </w:r>
          </w:p>
        </w:tc>
        <w:tc>
          <w:tcPr>
            <w:tcW w:w="1842" w:type="dxa"/>
            <w:gridSpan w:val="2"/>
            <w:vAlign w:val="center"/>
          </w:tcPr>
          <w:p w14:paraId="098999A7">
            <w:pPr>
              <w:spacing w:line="360" w:lineRule="auto"/>
              <w:ind w:firstLine="480" w:firstLineChars="200"/>
              <w:rPr>
                <w:rFonts w:ascii="宋体" w:hAnsi="宋体"/>
                <w:color w:val="auto"/>
                <w:highlight w:val="none"/>
              </w:rPr>
            </w:pPr>
          </w:p>
        </w:tc>
        <w:tc>
          <w:tcPr>
            <w:tcW w:w="830" w:type="dxa"/>
            <w:vAlign w:val="center"/>
          </w:tcPr>
          <w:p w14:paraId="5AD196FC">
            <w:pPr>
              <w:spacing w:line="360" w:lineRule="auto"/>
              <w:rPr>
                <w:rFonts w:ascii="宋体" w:hAnsi="宋体"/>
                <w:color w:val="auto"/>
                <w:highlight w:val="none"/>
              </w:rPr>
            </w:pPr>
            <w:r>
              <w:rPr>
                <w:rFonts w:hint="eastAsia" w:ascii="宋体" w:hAnsi="宋体"/>
                <w:color w:val="auto"/>
                <w:highlight w:val="none"/>
              </w:rPr>
              <w:t>年龄</w:t>
            </w:r>
          </w:p>
        </w:tc>
        <w:tc>
          <w:tcPr>
            <w:tcW w:w="1790" w:type="dxa"/>
            <w:vAlign w:val="center"/>
          </w:tcPr>
          <w:p w14:paraId="0B0EE082">
            <w:pPr>
              <w:spacing w:line="360" w:lineRule="auto"/>
              <w:ind w:firstLine="480" w:firstLineChars="200"/>
              <w:rPr>
                <w:rFonts w:ascii="宋体" w:hAnsi="宋体"/>
                <w:color w:val="auto"/>
                <w:highlight w:val="none"/>
              </w:rPr>
            </w:pPr>
          </w:p>
        </w:tc>
        <w:tc>
          <w:tcPr>
            <w:tcW w:w="2024" w:type="dxa"/>
            <w:gridSpan w:val="2"/>
            <w:vAlign w:val="center"/>
          </w:tcPr>
          <w:p w14:paraId="27487AB3">
            <w:pPr>
              <w:spacing w:line="360" w:lineRule="auto"/>
              <w:ind w:firstLine="480" w:firstLineChars="200"/>
              <w:rPr>
                <w:rFonts w:ascii="宋体" w:hAnsi="宋体"/>
                <w:color w:val="auto"/>
                <w:highlight w:val="none"/>
              </w:rPr>
            </w:pPr>
            <w:r>
              <w:rPr>
                <w:rFonts w:hint="eastAsia" w:ascii="宋体" w:hAnsi="宋体"/>
                <w:color w:val="auto"/>
                <w:highlight w:val="none"/>
              </w:rPr>
              <w:t>专业</w:t>
            </w:r>
          </w:p>
        </w:tc>
        <w:tc>
          <w:tcPr>
            <w:tcW w:w="1547" w:type="dxa"/>
            <w:vAlign w:val="center"/>
          </w:tcPr>
          <w:p w14:paraId="0402FE50">
            <w:pPr>
              <w:spacing w:line="360" w:lineRule="auto"/>
              <w:ind w:firstLine="480" w:firstLineChars="200"/>
              <w:rPr>
                <w:rFonts w:ascii="宋体" w:hAnsi="宋体"/>
                <w:color w:val="auto"/>
                <w:highlight w:val="none"/>
              </w:rPr>
            </w:pPr>
          </w:p>
        </w:tc>
      </w:tr>
      <w:tr w14:paraId="19E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3" w:type="dxa"/>
            <w:vAlign w:val="center"/>
          </w:tcPr>
          <w:p w14:paraId="68EE756E">
            <w:pPr>
              <w:spacing w:line="360" w:lineRule="auto"/>
              <w:ind w:firstLine="240" w:firstLineChars="100"/>
              <w:rPr>
                <w:rFonts w:ascii="宋体" w:hAnsi="宋体"/>
                <w:color w:val="auto"/>
                <w:highlight w:val="none"/>
              </w:rPr>
            </w:pPr>
            <w:r>
              <w:rPr>
                <w:rFonts w:hint="eastAsia" w:ascii="宋体" w:hAnsi="宋体"/>
                <w:color w:val="auto"/>
                <w:highlight w:val="none"/>
              </w:rPr>
              <w:t>职称</w:t>
            </w:r>
          </w:p>
        </w:tc>
        <w:tc>
          <w:tcPr>
            <w:tcW w:w="1842" w:type="dxa"/>
            <w:gridSpan w:val="2"/>
            <w:vAlign w:val="center"/>
          </w:tcPr>
          <w:p w14:paraId="5743CBA0">
            <w:pPr>
              <w:spacing w:line="360" w:lineRule="auto"/>
              <w:ind w:firstLine="480" w:firstLineChars="200"/>
              <w:rPr>
                <w:rFonts w:ascii="宋体" w:hAnsi="宋体"/>
                <w:color w:val="auto"/>
                <w:highlight w:val="none"/>
              </w:rPr>
            </w:pPr>
          </w:p>
        </w:tc>
        <w:tc>
          <w:tcPr>
            <w:tcW w:w="830" w:type="dxa"/>
            <w:vAlign w:val="center"/>
          </w:tcPr>
          <w:p w14:paraId="304A76A1">
            <w:pPr>
              <w:spacing w:line="360" w:lineRule="auto"/>
              <w:rPr>
                <w:rFonts w:ascii="宋体" w:hAnsi="宋体"/>
                <w:color w:val="auto"/>
                <w:highlight w:val="none"/>
              </w:rPr>
            </w:pPr>
            <w:r>
              <w:rPr>
                <w:rFonts w:hint="eastAsia" w:ascii="宋体" w:hAnsi="宋体"/>
                <w:color w:val="auto"/>
                <w:highlight w:val="none"/>
              </w:rPr>
              <w:t>职务</w:t>
            </w:r>
          </w:p>
        </w:tc>
        <w:tc>
          <w:tcPr>
            <w:tcW w:w="1790" w:type="dxa"/>
            <w:vAlign w:val="center"/>
          </w:tcPr>
          <w:p w14:paraId="08DE2749">
            <w:pPr>
              <w:spacing w:line="360" w:lineRule="auto"/>
              <w:ind w:firstLine="480" w:firstLineChars="200"/>
              <w:rPr>
                <w:rFonts w:ascii="宋体" w:hAnsi="宋体"/>
                <w:color w:val="auto"/>
                <w:highlight w:val="none"/>
              </w:rPr>
            </w:pPr>
          </w:p>
        </w:tc>
        <w:tc>
          <w:tcPr>
            <w:tcW w:w="2024" w:type="dxa"/>
            <w:gridSpan w:val="2"/>
            <w:vAlign w:val="center"/>
          </w:tcPr>
          <w:p w14:paraId="2D208B14">
            <w:pPr>
              <w:spacing w:line="360" w:lineRule="auto"/>
              <w:rPr>
                <w:rFonts w:ascii="宋体" w:hAnsi="宋体"/>
                <w:color w:val="auto"/>
                <w:highlight w:val="none"/>
              </w:rPr>
            </w:pPr>
            <w:r>
              <w:rPr>
                <w:rFonts w:hint="eastAsia" w:ascii="宋体" w:hAnsi="宋体"/>
                <w:color w:val="auto"/>
                <w:highlight w:val="none"/>
              </w:rPr>
              <w:t>拟在本合同业务担任职务</w:t>
            </w:r>
          </w:p>
        </w:tc>
        <w:tc>
          <w:tcPr>
            <w:tcW w:w="1547" w:type="dxa"/>
            <w:vAlign w:val="center"/>
          </w:tcPr>
          <w:p w14:paraId="6F687DF4">
            <w:pPr>
              <w:spacing w:line="360" w:lineRule="auto"/>
              <w:ind w:firstLine="480" w:firstLineChars="200"/>
              <w:rPr>
                <w:rFonts w:ascii="宋体" w:hAnsi="宋体"/>
                <w:color w:val="auto"/>
                <w:highlight w:val="none"/>
              </w:rPr>
            </w:pPr>
          </w:p>
        </w:tc>
      </w:tr>
      <w:tr w14:paraId="419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3" w:type="dxa"/>
            <w:vAlign w:val="center"/>
          </w:tcPr>
          <w:p w14:paraId="3BE783C7">
            <w:pPr>
              <w:spacing w:line="360" w:lineRule="auto"/>
              <w:rPr>
                <w:rFonts w:ascii="宋体" w:hAnsi="宋体"/>
                <w:color w:val="auto"/>
                <w:highlight w:val="none"/>
              </w:rPr>
            </w:pPr>
            <w:r>
              <w:rPr>
                <w:rFonts w:hint="eastAsia" w:ascii="宋体" w:hAnsi="宋体"/>
                <w:color w:val="auto"/>
                <w:highlight w:val="none"/>
              </w:rPr>
              <w:t>毕业学校</w:t>
            </w:r>
          </w:p>
        </w:tc>
        <w:tc>
          <w:tcPr>
            <w:tcW w:w="8033" w:type="dxa"/>
            <w:gridSpan w:val="7"/>
            <w:vAlign w:val="center"/>
          </w:tcPr>
          <w:p w14:paraId="704419B2">
            <w:pPr>
              <w:spacing w:line="360" w:lineRule="auto"/>
              <w:ind w:firstLine="480" w:firstLineChars="200"/>
              <w:rPr>
                <w:rFonts w:ascii="宋体" w:hAnsi="宋体"/>
                <w:color w:val="auto"/>
                <w:highlight w:val="none"/>
              </w:rPr>
            </w:pPr>
            <w:r>
              <w:rPr>
                <w:rFonts w:hint="eastAsia" w:ascii="宋体" w:hAnsi="宋体"/>
                <w:color w:val="auto"/>
                <w:highlight w:val="none"/>
              </w:rPr>
              <w:t>　年</w:t>
            </w:r>
            <w:r>
              <w:rPr>
                <w:rFonts w:hint="eastAsia" w:ascii="宋体" w:hAnsi="宋体"/>
                <w:color w:val="auto"/>
                <w:highlight w:val="none"/>
                <w:u w:val="single"/>
              </w:rPr>
              <w:t>　　</w:t>
            </w:r>
            <w:r>
              <w:rPr>
                <w:rFonts w:hint="eastAsia" w:ascii="宋体" w:hAnsi="宋体"/>
                <w:color w:val="auto"/>
                <w:highlight w:val="none"/>
              </w:rPr>
              <w:t>月毕业于</w:t>
            </w:r>
            <w:r>
              <w:rPr>
                <w:rFonts w:hint="eastAsia" w:ascii="宋体" w:hAnsi="宋体"/>
                <w:color w:val="auto"/>
                <w:highlight w:val="none"/>
                <w:u w:val="single"/>
              </w:rPr>
              <w:t>　　　　</w:t>
            </w:r>
            <w:r>
              <w:rPr>
                <w:rFonts w:hint="eastAsia" w:ascii="宋体" w:hAnsi="宋体"/>
                <w:color w:val="auto"/>
                <w:highlight w:val="none"/>
              </w:rPr>
              <w:t>学校</w:t>
            </w:r>
            <w:r>
              <w:rPr>
                <w:rFonts w:hint="eastAsia" w:ascii="宋体" w:hAnsi="宋体"/>
                <w:color w:val="auto"/>
                <w:highlight w:val="none"/>
                <w:u w:val="single"/>
              </w:rPr>
              <w:t>　　　</w:t>
            </w:r>
            <w:r>
              <w:rPr>
                <w:rFonts w:hint="eastAsia" w:ascii="宋体" w:hAnsi="宋体"/>
                <w:color w:val="auto"/>
                <w:highlight w:val="none"/>
              </w:rPr>
              <w:t>系（科），学制</w:t>
            </w:r>
            <w:r>
              <w:rPr>
                <w:rFonts w:hint="eastAsia" w:ascii="宋体" w:hAnsi="宋体"/>
                <w:color w:val="auto"/>
                <w:highlight w:val="none"/>
                <w:u w:val="single"/>
              </w:rPr>
              <w:t>　　　</w:t>
            </w:r>
            <w:r>
              <w:rPr>
                <w:rFonts w:hint="eastAsia" w:ascii="宋体" w:hAnsi="宋体"/>
                <w:color w:val="auto"/>
                <w:highlight w:val="none"/>
              </w:rPr>
              <w:t>年</w:t>
            </w:r>
          </w:p>
        </w:tc>
      </w:tr>
      <w:tr w14:paraId="43C6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8"/>
            <w:vAlign w:val="center"/>
          </w:tcPr>
          <w:p w14:paraId="32126176">
            <w:pPr>
              <w:spacing w:line="360" w:lineRule="auto"/>
              <w:ind w:firstLine="480" w:firstLineChars="200"/>
              <w:rPr>
                <w:rFonts w:ascii="宋体" w:hAnsi="宋体"/>
                <w:color w:val="auto"/>
                <w:highlight w:val="none"/>
              </w:rPr>
            </w:pPr>
            <w:r>
              <w:rPr>
                <w:rFonts w:hint="eastAsia" w:ascii="宋体" w:hAnsi="宋体"/>
                <w:color w:val="auto"/>
                <w:highlight w:val="none"/>
              </w:rPr>
              <w:t>经历</w:t>
            </w:r>
          </w:p>
        </w:tc>
      </w:tr>
      <w:tr w14:paraId="2A7E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gridSpan w:val="2"/>
            <w:vAlign w:val="center"/>
          </w:tcPr>
          <w:p w14:paraId="2C35C2B0">
            <w:pPr>
              <w:spacing w:line="360" w:lineRule="auto"/>
              <w:ind w:firstLine="240" w:firstLineChars="100"/>
              <w:rPr>
                <w:rFonts w:ascii="宋体" w:hAnsi="宋体"/>
                <w:color w:val="auto"/>
                <w:highlight w:val="none"/>
              </w:rPr>
            </w:pPr>
            <w:r>
              <w:rPr>
                <w:rFonts w:hint="eastAsia" w:ascii="宋体" w:hAnsi="宋体"/>
                <w:color w:val="auto"/>
                <w:highlight w:val="none"/>
              </w:rPr>
              <w:t>年－　年</w:t>
            </w:r>
          </w:p>
        </w:tc>
        <w:tc>
          <w:tcPr>
            <w:tcW w:w="4642" w:type="dxa"/>
            <w:gridSpan w:val="4"/>
            <w:vAlign w:val="center"/>
          </w:tcPr>
          <w:p w14:paraId="4424796E">
            <w:pPr>
              <w:spacing w:line="360" w:lineRule="auto"/>
              <w:ind w:firstLine="240" w:firstLineChars="100"/>
              <w:rPr>
                <w:rFonts w:ascii="宋体" w:hAnsi="宋体"/>
                <w:color w:val="auto"/>
                <w:highlight w:val="none"/>
              </w:rPr>
            </w:pPr>
            <w:r>
              <w:rPr>
                <w:rFonts w:hint="eastAsia" w:ascii="宋体" w:hAnsi="宋体"/>
                <w:color w:val="auto"/>
                <w:highlight w:val="none"/>
              </w:rPr>
              <w:t>参加过脱硫石膏销售业务管理项目名称</w:t>
            </w:r>
          </w:p>
        </w:tc>
        <w:tc>
          <w:tcPr>
            <w:tcW w:w="1549" w:type="dxa"/>
            <w:vAlign w:val="center"/>
          </w:tcPr>
          <w:p w14:paraId="7D7B659B">
            <w:pPr>
              <w:spacing w:line="360" w:lineRule="auto"/>
              <w:rPr>
                <w:rFonts w:ascii="宋体" w:hAnsi="宋体"/>
                <w:color w:val="auto"/>
                <w:highlight w:val="none"/>
              </w:rPr>
            </w:pPr>
            <w:r>
              <w:rPr>
                <w:rFonts w:hint="eastAsia" w:ascii="宋体" w:hAnsi="宋体"/>
                <w:color w:val="auto"/>
                <w:highlight w:val="none"/>
              </w:rPr>
              <w:t>担任何职</w:t>
            </w:r>
          </w:p>
        </w:tc>
        <w:tc>
          <w:tcPr>
            <w:tcW w:w="1547" w:type="dxa"/>
            <w:vAlign w:val="center"/>
          </w:tcPr>
          <w:p w14:paraId="311F5975">
            <w:pPr>
              <w:spacing w:line="360" w:lineRule="auto"/>
              <w:ind w:firstLine="480" w:firstLineChars="200"/>
              <w:rPr>
                <w:rFonts w:ascii="宋体" w:hAnsi="宋体"/>
                <w:color w:val="auto"/>
                <w:highlight w:val="none"/>
              </w:rPr>
            </w:pPr>
            <w:r>
              <w:rPr>
                <w:rFonts w:hint="eastAsia" w:ascii="宋体" w:hAnsi="宋体"/>
                <w:color w:val="auto"/>
                <w:highlight w:val="none"/>
              </w:rPr>
              <w:t>备注</w:t>
            </w:r>
          </w:p>
        </w:tc>
      </w:tr>
      <w:tr w14:paraId="0A10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gridSpan w:val="2"/>
            <w:vAlign w:val="center"/>
          </w:tcPr>
          <w:p w14:paraId="1E7D5295">
            <w:pPr>
              <w:spacing w:line="360" w:lineRule="auto"/>
              <w:ind w:firstLine="480" w:firstLineChars="200"/>
              <w:rPr>
                <w:rFonts w:ascii="宋体" w:hAnsi="宋体"/>
                <w:color w:val="auto"/>
                <w:highlight w:val="none"/>
              </w:rPr>
            </w:pPr>
          </w:p>
          <w:p w14:paraId="6FC74B23">
            <w:pPr>
              <w:spacing w:line="360" w:lineRule="auto"/>
              <w:ind w:firstLine="480" w:firstLineChars="200"/>
              <w:rPr>
                <w:rFonts w:ascii="宋体" w:hAnsi="宋体"/>
                <w:color w:val="auto"/>
                <w:highlight w:val="none"/>
              </w:rPr>
            </w:pPr>
          </w:p>
          <w:p w14:paraId="6780B99C">
            <w:pPr>
              <w:spacing w:line="360" w:lineRule="auto"/>
              <w:ind w:firstLine="480" w:firstLineChars="200"/>
              <w:rPr>
                <w:rFonts w:ascii="宋体" w:hAnsi="宋体"/>
                <w:color w:val="auto"/>
                <w:highlight w:val="none"/>
              </w:rPr>
            </w:pPr>
          </w:p>
          <w:p w14:paraId="544A4424">
            <w:pPr>
              <w:spacing w:line="360" w:lineRule="auto"/>
              <w:ind w:firstLine="480" w:firstLineChars="200"/>
              <w:rPr>
                <w:rFonts w:ascii="宋体" w:hAnsi="宋体"/>
                <w:color w:val="auto"/>
                <w:highlight w:val="none"/>
              </w:rPr>
            </w:pPr>
          </w:p>
          <w:p w14:paraId="70B8DCB6">
            <w:pPr>
              <w:spacing w:line="360" w:lineRule="auto"/>
              <w:ind w:firstLine="480" w:firstLineChars="200"/>
              <w:rPr>
                <w:rFonts w:ascii="宋体" w:hAnsi="宋体"/>
                <w:color w:val="auto"/>
                <w:highlight w:val="none"/>
              </w:rPr>
            </w:pPr>
          </w:p>
          <w:p w14:paraId="65E9A909">
            <w:pPr>
              <w:spacing w:line="360" w:lineRule="auto"/>
              <w:ind w:firstLine="480" w:firstLineChars="200"/>
              <w:rPr>
                <w:rFonts w:ascii="宋体" w:hAnsi="宋体"/>
                <w:color w:val="auto"/>
                <w:highlight w:val="none"/>
              </w:rPr>
            </w:pPr>
          </w:p>
          <w:p w14:paraId="227F3408">
            <w:pPr>
              <w:spacing w:line="360" w:lineRule="auto"/>
              <w:ind w:firstLine="480" w:firstLineChars="200"/>
              <w:rPr>
                <w:rFonts w:ascii="宋体" w:hAnsi="宋体"/>
                <w:color w:val="auto"/>
                <w:highlight w:val="none"/>
              </w:rPr>
            </w:pPr>
          </w:p>
          <w:p w14:paraId="0A1CA430">
            <w:pPr>
              <w:spacing w:line="360" w:lineRule="auto"/>
              <w:ind w:firstLine="480" w:firstLineChars="200"/>
              <w:rPr>
                <w:rFonts w:ascii="宋体" w:hAnsi="宋体"/>
                <w:color w:val="auto"/>
                <w:highlight w:val="none"/>
              </w:rPr>
            </w:pPr>
          </w:p>
        </w:tc>
        <w:tc>
          <w:tcPr>
            <w:tcW w:w="4642" w:type="dxa"/>
            <w:gridSpan w:val="4"/>
            <w:vAlign w:val="center"/>
          </w:tcPr>
          <w:p w14:paraId="44EDAC7E">
            <w:pPr>
              <w:spacing w:line="360" w:lineRule="auto"/>
              <w:ind w:firstLine="480" w:firstLineChars="200"/>
              <w:rPr>
                <w:rFonts w:ascii="宋体" w:hAnsi="宋体"/>
                <w:color w:val="auto"/>
                <w:highlight w:val="none"/>
              </w:rPr>
            </w:pPr>
          </w:p>
        </w:tc>
        <w:tc>
          <w:tcPr>
            <w:tcW w:w="1549" w:type="dxa"/>
            <w:vAlign w:val="center"/>
          </w:tcPr>
          <w:p w14:paraId="3E5C47A5">
            <w:pPr>
              <w:spacing w:line="360" w:lineRule="auto"/>
              <w:ind w:firstLine="480" w:firstLineChars="200"/>
              <w:rPr>
                <w:rFonts w:ascii="宋体" w:hAnsi="宋体"/>
                <w:color w:val="auto"/>
                <w:highlight w:val="none"/>
              </w:rPr>
            </w:pPr>
          </w:p>
        </w:tc>
        <w:tc>
          <w:tcPr>
            <w:tcW w:w="1547" w:type="dxa"/>
            <w:vAlign w:val="center"/>
          </w:tcPr>
          <w:p w14:paraId="3857089C">
            <w:pPr>
              <w:spacing w:line="360" w:lineRule="auto"/>
              <w:ind w:firstLine="480" w:firstLineChars="200"/>
              <w:rPr>
                <w:rFonts w:ascii="宋体" w:hAnsi="宋体"/>
                <w:color w:val="auto"/>
                <w:highlight w:val="none"/>
              </w:rPr>
            </w:pPr>
          </w:p>
        </w:tc>
      </w:tr>
    </w:tbl>
    <w:p w14:paraId="0219DC5A">
      <w:pPr>
        <w:spacing w:line="360" w:lineRule="auto"/>
        <w:ind w:firstLine="480" w:firstLineChars="200"/>
        <w:rPr>
          <w:rFonts w:ascii="宋体" w:hAnsi="宋体"/>
          <w:color w:val="auto"/>
          <w:highlight w:val="none"/>
        </w:rPr>
      </w:pPr>
      <w:r>
        <w:rPr>
          <w:rFonts w:hint="eastAsia" w:ascii="宋体" w:hAnsi="宋体"/>
          <w:color w:val="auto"/>
          <w:highlight w:val="none"/>
        </w:rPr>
        <w:t>说明：1、“主要人员”指实际参加本合同的项目管理等方面的负责人。</w:t>
      </w:r>
    </w:p>
    <w:p w14:paraId="064DD0B9">
      <w:pPr>
        <w:spacing w:line="360" w:lineRule="auto"/>
        <w:ind w:firstLine="480" w:firstLineChars="200"/>
        <w:rPr>
          <w:rFonts w:ascii="宋体" w:hAnsi="宋体"/>
          <w:color w:val="auto"/>
          <w:highlight w:val="none"/>
        </w:rPr>
      </w:pPr>
      <w:r>
        <w:rPr>
          <w:rFonts w:hint="eastAsia" w:ascii="宋体" w:hAnsi="宋体"/>
          <w:color w:val="auto"/>
          <w:highlight w:val="none"/>
        </w:rPr>
        <w:t>下列人员需填写此表，每人填一张：</w:t>
      </w:r>
    </w:p>
    <w:p w14:paraId="71C858B1">
      <w:pPr>
        <w:spacing w:line="360" w:lineRule="auto"/>
        <w:ind w:firstLine="480" w:firstLineChars="200"/>
        <w:rPr>
          <w:rFonts w:ascii="宋体" w:hAnsi="宋体"/>
          <w:color w:val="auto"/>
          <w:highlight w:val="none"/>
        </w:rPr>
      </w:pPr>
      <w:r>
        <w:rPr>
          <w:rFonts w:hint="eastAsia" w:ascii="宋体" w:hAnsi="宋体"/>
          <w:color w:val="auto"/>
          <w:highlight w:val="none"/>
        </w:rPr>
        <w:t>（1）项目管理（总联络人）；</w:t>
      </w:r>
    </w:p>
    <w:p w14:paraId="5D3DAD6B">
      <w:pPr>
        <w:spacing w:line="360" w:lineRule="auto"/>
        <w:ind w:left="547" w:leftChars="228"/>
        <w:rPr>
          <w:rFonts w:hint="eastAsia" w:ascii="宋体" w:hAnsi="宋体" w:eastAsia="宋体"/>
          <w:color w:val="auto"/>
          <w:highlight w:val="none"/>
          <w:lang w:eastAsia="zh-CN"/>
        </w:rPr>
      </w:pPr>
      <w:r>
        <w:rPr>
          <w:rFonts w:hint="eastAsia" w:ascii="宋体" w:hAnsi="宋体"/>
          <w:color w:val="auto"/>
          <w:highlight w:val="none"/>
        </w:rPr>
        <w:t>（2）现场主管；</w:t>
      </w:r>
    </w:p>
    <w:p w14:paraId="0D1D9458">
      <w:pPr>
        <w:spacing w:line="360" w:lineRule="auto"/>
        <w:ind w:left="547" w:leftChars="228"/>
        <w:rPr>
          <w:rFonts w:ascii="宋体" w:hAnsi="宋体"/>
          <w:color w:val="auto"/>
          <w:highlight w:val="none"/>
        </w:rPr>
      </w:pPr>
      <w:r>
        <w:rPr>
          <w:rFonts w:hint="eastAsia" w:ascii="宋体" w:hAnsi="宋体"/>
          <w:color w:val="auto"/>
          <w:highlight w:val="none"/>
        </w:rPr>
        <w:t>（3）</w:t>
      </w:r>
    </w:p>
    <w:p w14:paraId="76D390BA">
      <w:pPr>
        <w:spacing w:line="360" w:lineRule="auto"/>
        <w:ind w:firstLine="480" w:firstLineChars="200"/>
        <w:rPr>
          <w:rFonts w:ascii="宋体" w:hAnsi="宋体"/>
          <w:color w:val="auto"/>
          <w:highlight w:val="none"/>
        </w:rPr>
      </w:pPr>
      <w:r>
        <w:rPr>
          <w:rFonts w:hint="eastAsia" w:ascii="宋体" w:hAnsi="宋体"/>
          <w:color w:val="auto"/>
          <w:highlight w:val="none"/>
        </w:rPr>
        <w:t>（4）</w:t>
      </w:r>
    </w:p>
    <w:p w14:paraId="2BA10250">
      <w:pPr>
        <w:spacing w:line="360" w:lineRule="auto"/>
        <w:ind w:firstLine="48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p>
    <w:p w14:paraId="06384683">
      <w:pPr>
        <w:spacing w:line="360" w:lineRule="auto"/>
        <w:ind w:firstLine="480" w:firstLineChars="200"/>
        <w:rPr>
          <w:rFonts w:ascii="宋体" w:hAnsi="宋体"/>
          <w:color w:val="auto"/>
          <w:highlight w:val="none"/>
        </w:rPr>
      </w:pPr>
      <w:r>
        <w:rPr>
          <w:rFonts w:hint="eastAsia" w:ascii="宋体" w:hAnsi="宋体"/>
          <w:color w:val="auto"/>
          <w:highlight w:val="none"/>
        </w:rPr>
        <w:t>（6）</w:t>
      </w:r>
      <w:r>
        <w:rPr>
          <w:rFonts w:ascii="宋体" w:hAnsi="宋体"/>
          <w:color w:val="auto"/>
          <w:highlight w:val="none"/>
        </w:rPr>
        <w:t>……</w:t>
      </w:r>
    </w:p>
    <w:p w14:paraId="14FB7931">
      <w:pPr>
        <w:spacing w:line="360" w:lineRule="auto"/>
        <w:ind w:firstLine="480" w:firstLineChars="200"/>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p>
    <w:p w14:paraId="2257BA6E">
      <w:pPr>
        <w:spacing w:line="360" w:lineRule="auto"/>
        <w:ind w:firstLine="640" w:firstLineChars="200"/>
        <w:rPr>
          <w:rFonts w:ascii="宋体" w:hAnsi="宋体"/>
          <w:color w:val="auto"/>
          <w:sz w:val="32"/>
          <w:highlight w:val="none"/>
        </w:rPr>
      </w:pPr>
    </w:p>
    <w:p w14:paraId="227B2F50">
      <w:pPr>
        <w:spacing w:line="360" w:lineRule="auto"/>
        <w:ind w:firstLine="640" w:firstLineChars="200"/>
        <w:rPr>
          <w:rFonts w:ascii="宋体" w:hAnsi="宋体"/>
          <w:color w:val="auto"/>
          <w:sz w:val="32"/>
          <w:highlight w:val="none"/>
        </w:rPr>
      </w:pPr>
    </w:p>
    <w:p w14:paraId="6FBD5D39">
      <w:pPr>
        <w:spacing w:line="360" w:lineRule="auto"/>
        <w:ind w:firstLine="640" w:firstLineChars="200"/>
        <w:rPr>
          <w:rFonts w:ascii="宋体" w:hAnsi="宋体"/>
          <w:color w:val="auto"/>
          <w:sz w:val="32"/>
          <w:highlight w:val="none"/>
        </w:rPr>
      </w:pPr>
    </w:p>
    <w:p w14:paraId="0608FC58">
      <w:pPr>
        <w:spacing w:line="360" w:lineRule="auto"/>
        <w:ind w:firstLine="602" w:firstLineChars="200"/>
        <w:jc w:val="center"/>
        <w:rPr>
          <w:rFonts w:ascii="宋体" w:hAnsi="宋体"/>
          <w:b/>
          <w:color w:val="auto"/>
          <w:sz w:val="30"/>
          <w:szCs w:val="30"/>
          <w:highlight w:val="none"/>
        </w:rPr>
        <w:sectPr>
          <w:pgSz w:w="11906" w:h="16838"/>
          <w:pgMar w:top="1418" w:right="1418" w:bottom="1418" w:left="1418" w:header="851" w:footer="851" w:gutter="0"/>
          <w:cols w:space="720" w:num="1"/>
          <w:docGrid w:linePitch="312" w:charSpace="0"/>
        </w:sectPr>
      </w:pPr>
    </w:p>
    <w:p w14:paraId="203B51A4">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5、作业人员配备一般情况表</w:t>
      </w:r>
    </w:p>
    <w:p w14:paraId="0E6F49C4">
      <w:pPr>
        <w:spacing w:line="360" w:lineRule="auto"/>
        <w:ind w:firstLine="480" w:firstLineChars="200"/>
        <w:jc w:val="center"/>
        <w:rPr>
          <w:rFonts w:ascii="宋体" w:hAnsi="宋体"/>
          <w:color w:val="auto"/>
          <w:highlight w:val="none"/>
        </w:rPr>
      </w:pPr>
      <w:r>
        <w:rPr>
          <w:rFonts w:hint="eastAsia" w:ascii="宋体" w:hAnsi="宋体"/>
          <w:color w:val="auto"/>
          <w:highlight w:val="none"/>
        </w:rPr>
        <w:t>（格式自定）</w:t>
      </w:r>
    </w:p>
    <w:p w14:paraId="191B2699">
      <w:pPr>
        <w:spacing w:line="360" w:lineRule="auto"/>
        <w:ind w:firstLine="640" w:firstLineChars="200"/>
        <w:jc w:val="center"/>
        <w:rPr>
          <w:rFonts w:ascii="宋体" w:hAnsi="宋体"/>
          <w:color w:val="auto"/>
          <w:sz w:val="32"/>
          <w:highlight w:val="none"/>
        </w:rPr>
      </w:pPr>
    </w:p>
    <w:p w14:paraId="68A5C00F">
      <w:pPr>
        <w:spacing w:line="360" w:lineRule="auto"/>
        <w:ind w:firstLine="640" w:firstLineChars="200"/>
        <w:jc w:val="center"/>
        <w:rPr>
          <w:rFonts w:ascii="宋体" w:hAnsi="宋体"/>
          <w:color w:val="auto"/>
          <w:sz w:val="32"/>
          <w:highlight w:val="none"/>
        </w:rPr>
      </w:pPr>
    </w:p>
    <w:p w14:paraId="3BA16074">
      <w:pPr>
        <w:spacing w:line="360" w:lineRule="auto"/>
        <w:ind w:firstLine="640" w:firstLineChars="200"/>
        <w:jc w:val="center"/>
        <w:rPr>
          <w:rFonts w:ascii="宋体" w:hAnsi="宋体"/>
          <w:color w:val="auto"/>
          <w:sz w:val="32"/>
          <w:highlight w:val="none"/>
        </w:rPr>
      </w:pPr>
    </w:p>
    <w:p w14:paraId="75D86293">
      <w:pPr>
        <w:spacing w:line="360" w:lineRule="auto"/>
        <w:ind w:firstLine="640" w:firstLineChars="200"/>
        <w:jc w:val="center"/>
        <w:rPr>
          <w:rFonts w:ascii="宋体" w:hAnsi="宋体"/>
          <w:color w:val="auto"/>
          <w:sz w:val="32"/>
          <w:highlight w:val="none"/>
        </w:rPr>
      </w:pPr>
    </w:p>
    <w:p w14:paraId="6C756221">
      <w:pPr>
        <w:spacing w:line="360" w:lineRule="auto"/>
        <w:ind w:firstLine="640" w:firstLineChars="200"/>
        <w:jc w:val="center"/>
        <w:rPr>
          <w:rFonts w:ascii="宋体" w:hAnsi="宋体"/>
          <w:color w:val="auto"/>
          <w:sz w:val="32"/>
          <w:highlight w:val="none"/>
        </w:rPr>
      </w:pPr>
    </w:p>
    <w:p w14:paraId="047F2995">
      <w:pPr>
        <w:spacing w:line="360" w:lineRule="auto"/>
        <w:ind w:firstLine="640" w:firstLineChars="200"/>
        <w:jc w:val="center"/>
        <w:rPr>
          <w:rFonts w:ascii="宋体" w:hAnsi="宋体"/>
          <w:color w:val="auto"/>
          <w:sz w:val="32"/>
          <w:highlight w:val="none"/>
        </w:rPr>
      </w:pPr>
    </w:p>
    <w:p w14:paraId="3DBBCA88">
      <w:pPr>
        <w:spacing w:line="360" w:lineRule="auto"/>
        <w:ind w:firstLine="640" w:firstLineChars="200"/>
        <w:jc w:val="center"/>
        <w:rPr>
          <w:rFonts w:ascii="宋体" w:hAnsi="宋体"/>
          <w:color w:val="auto"/>
          <w:sz w:val="32"/>
          <w:highlight w:val="none"/>
        </w:rPr>
      </w:pPr>
    </w:p>
    <w:p w14:paraId="2D98AFBC">
      <w:pPr>
        <w:spacing w:line="360" w:lineRule="auto"/>
        <w:ind w:firstLine="640" w:firstLineChars="200"/>
        <w:jc w:val="center"/>
        <w:rPr>
          <w:rFonts w:ascii="宋体" w:hAnsi="宋体"/>
          <w:color w:val="auto"/>
          <w:sz w:val="32"/>
          <w:highlight w:val="none"/>
        </w:rPr>
      </w:pPr>
    </w:p>
    <w:p w14:paraId="3E26F326">
      <w:pPr>
        <w:spacing w:line="360" w:lineRule="auto"/>
        <w:ind w:firstLine="640" w:firstLineChars="200"/>
        <w:jc w:val="center"/>
        <w:rPr>
          <w:rFonts w:ascii="宋体" w:hAnsi="宋体"/>
          <w:color w:val="auto"/>
          <w:sz w:val="32"/>
          <w:highlight w:val="none"/>
        </w:rPr>
      </w:pPr>
    </w:p>
    <w:p w14:paraId="366CEE9D">
      <w:pPr>
        <w:spacing w:line="360" w:lineRule="auto"/>
        <w:ind w:firstLine="640" w:firstLineChars="200"/>
        <w:jc w:val="center"/>
        <w:rPr>
          <w:rFonts w:ascii="宋体" w:hAnsi="宋体"/>
          <w:color w:val="auto"/>
          <w:sz w:val="32"/>
          <w:highlight w:val="none"/>
        </w:rPr>
      </w:pPr>
    </w:p>
    <w:p w14:paraId="7A16A0BD">
      <w:pPr>
        <w:spacing w:line="360" w:lineRule="auto"/>
        <w:ind w:firstLine="640" w:firstLineChars="200"/>
        <w:jc w:val="center"/>
        <w:rPr>
          <w:rFonts w:ascii="宋体" w:hAnsi="宋体"/>
          <w:color w:val="auto"/>
          <w:sz w:val="32"/>
          <w:highlight w:val="none"/>
        </w:rPr>
      </w:pPr>
    </w:p>
    <w:p w14:paraId="3F6E840B">
      <w:pPr>
        <w:spacing w:line="360" w:lineRule="auto"/>
        <w:ind w:firstLine="640" w:firstLineChars="200"/>
        <w:jc w:val="center"/>
        <w:rPr>
          <w:rFonts w:ascii="宋体" w:hAnsi="宋体"/>
          <w:color w:val="auto"/>
          <w:sz w:val="32"/>
          <w:highlight w:val="none"/>
        </w:rPr>
      </w:pPr>
    </w:p>
    <w:p w14:paraId="5875DF23">
      <w:pPr>
        <w:spacing w:line="360" w:lineRule="auto"/>
        <w:ind w:firstLine="640" w:firstLineChars="200"/>
        <w:jc w:val="center"/>
        <w:rPr>
          <w:rFonts w:ascii="宋体" w:hAnsi="宋体"/>
          <w:color w:val="auto"/>
          <w:sz w:val="32"/>
          <w:highlight w:val="none"/>
        </w:rPr>
      </w:pPr>
    </w:p>
    <w:p w14:paraId="6E20F888">
      <w:pPr>
        <w:spacing w:line="360" w:lineRule="auto"/>
        <w:ind w:firstLine="640" w:firstLineChars="200"/>
        <w:jc w:val="center"/>
        <w:rPr>
          <w:rFonts w:ascii="宋体" w:hAnsi="宋体"/>
          <w:color w:val="auto"/>
          <w:sz w:val="32"/>
          <w:highlight w:val="none"/>
        </w:rPr>
      </w:pPr>
    </w:p>
    <w:p w14:paraId="4CD9F90F">
      <w:pPr>
        <w:spacing w:line="360" w:lineRule="auto"/>
        <w:ind w:firstLine="640" w:firstLineChars="200"/>
        <w:jc w:val="center"/>
        <w:rPr>
          <w:rFonts w:ascii="宋体" w:hAnsi="宋体"/>
          <w:color w:val="auto"/>
          <w:sz w:val="32"/>
          <w:highlight w:val="none"/>
        </w:rPr>
      </w:pPr>
    </w:p>
    <w:p w14:paraId="7B82160A">
      <w:pPr>
        <w:spacing w:line="360" w:lineRule="auto"/>
        <w:ind w:firstLine="640" w:firstLineChars="200"/>
        <w:jc w:val="center"/>
        <w:rPr>
          <w:rFonts w:ascii="宋体" w:hAnsi="宋体"/>
          <w:color w:val="auto"/>
          <w:sz w:val="32"/>
          <w:highlight w:val="none"/>
        </w:rPr>
      </w:pPr>
    </w:p>
    <w:p w14:paraId="3D0A6468">
      <w:pPr>
        <w:spacing w:line="360" w:lineRule="auto"/>
        <w:ind w:firstLine="640" w:firstLineChars="200"/>
        <w:jc w:val="center"/>
        <w:rPr>
          <w:rFonts w:ascii="宋体" w:hAnsi="宋体"/>
          <w:color w:val="auto"/>
          <w:sz w:val="32"/>
          <w:highlight w:val="none"/>
        </w:rPr>
      </w:pPr>
    </w:p>
    <w:p w14:paraId="5044F4C2">
      <w:pPr>
        <w:spacing w:line="360" w:lineRule="auto"/>
        <w:ind w:firstLine="640" w:firstLineChars="200"/>
        <w:jc w:val="center"/>
        <w:rPr>
          <w:rFonts w:ascii="宋体" w:hAnsi="宋体"/>
          <w:color w:val="auto"/>
          <w:sz w:val="32"/>
          <w:highlight w:val="none"/>
        </w:rPr>
      </w:pPr>
    </w:p>
    <w:p w14:paraId="0170851A">
      <w:pPr>
        <w:spacing w:line="360" w:lineRule="auto"/>
        <w:ind w:firstLine="640" w:firstLineChars="200"/>
        <w:jc w:val="center"/>
        <w:rPr>
          <w:rFonts w:ascii="宋体" w:hAnsi="宋体"/>
          <w:color w:val="auto"/>
          <w:sz w:val="32"/>
          <w:highlight w:val="none"/>
        </w:rPr>
      </w:pPr>
    </w:p>
    <w:p w14:paraId="18EAECE6">
      <w:pPr>
        <w:spacing w:line="360" w:lineRule="auto"/>
        <w:ind w:firstLine="643" w:firstLineChars="200"/>
        <w:jc w:val="center"/>
        <w:rPr>
          <w:rFonts w:ascii="宋体" w:hAnsi="宋体"/>
          <w:b/>
          <w:color w:val="auto"/>
          <w:sz w:val="32"/>
          <w:highlight w:val="none"/>
        </w:rPr>
        <w:sectPr>
          <w:pgSz w:w="11906" w:h="16838"/>
          <w:pgMar w:top="1418" w:right="1418" w:bottom="1418" w:left="1418" w:header="851" w:footer="851" w:gutter="0"/>
          <w:cols w:space="720" w:num="1"/>
          <w:docGrid w:linePitch="312" w:charSpace="0"/>
        </w:sectPr>
      </w:pPr>
    </w:p>
    <w:p w14:paraId="0F850ED1">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6、所投入本合同业务的主要作业机械表</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310"/>
        <w:gridCol w:w="1310"/>
        <w:gridCol w:w="1125"/>
        <w:gridCol w:w="1309"/>
        <w:gridCol w:w="1309"/>
        <w:gridCol w:w="839"/>
        <w:gridCol w:w="839"/>
      </w:tblGrid>
      <w:tr w14:paraId="5BD6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245" w:type="dxa"/>
            <w:vAlign w:val="center"/>
          </w:tcPr>
          <w:p w14:paraId="26453D93">
            <w:pPr>
              <w:spacing w:line="360" w:lineRule="auto"/>
              <w:jc w:val="center"/>
              <w:rPr>
                <w:rFonts w:ascii="宋体" w:hAnsi="宋体"/>
                <w:b/>
                <w:color w:val="auto"/>
                <w:highlight w:val="none"/>
              </w:rPr>
            </w:pPr>
            <w:r>
              <w:rPr>
                <w:rFonts w:hint="eastAsia" w:ascii="宋体" w:hAnsi="宋体"/>
                <w:b/>
                <w:color w:val="auto"/>
                <w:highlight w:val="none"/>
              </w:rPr>
              <w:t>机械名称</w:t>
            </w:r>
          </w:p>
        </w:tc>
        <w:tc>
          <w:tcPr>
            <w:tcW w:w="1310" w:type="dxa"/>
            <w:vAlign w:val="center"/>
          </w:tcPr>
          <w:p w14:paraId="456DABBF">
            <w:pPr>
              <w:spacing w:line="360" w:lineRule="auto"/>
              <w:jc w:val="center"/>
              <w:rPr>
                <w:rFonts w:ascii="宋体" w:hAnsi="宋体"/>
                <w:b/>
                <w:color w:val="auto"/>
                <w:highlight w:val="none"/>
              </w:rPr>
            </w:pPr>
            <w:r>
              <w:rPr>
                <w:rFonts w:hint="eastAsia" w:ascii="宋体" w:hAnsi="宋体"/>
                <w:b/>
                <w:color w:val="auto"/>
                <w:highlight w:val="none"/>
              </w:rPr>
              <w:t>生产厂家</w:t>
            </w:r>
          </w:p>
        </w:tc>
        <w:tc>
          <w:tcPr>
            <w:tcW w:w="1310" w:type="dxa"/>
            <w:vAlign w:val="center"/>
          </w:tcPr>
          <w:p w14:paraId="331BDF2D">
            <w:pPr>
              <w:spacing w:line="360" w:lineRule="auto"/>
              <w:ind w:left="-122" w:leftChars="-51"/>
              <w:jc w:val="center"/>
              <w:rPr>
                <w:rFonts w:ascii="宋体" w:hAnsi="宋体"/>
                <w:b/>
                <w:color w:val="auto"/>
                <w:highlight w:val="none"/>
              </w:rPr>
            </w:pPr>
            <w:r>
              <w:rPr>
                <w:rFonts w:hint="eastAsia" w:ascii="宋体" w:hAnsi="宋体"/>
                <w:b/>
                <w:color w:val="auto"/>
                <w:highlight w:val="none"/>
              </w:rPr>
              <w:t>规格型号</w:t>
            </w:r>
          </w:p>
        </w:tc>
        <w:tc>
          <w:tcPr>
            <w:tcW w:w="1125" w:type="dxa"/>
            <w:vAlign w:val="center"/>
          </w:tcPr>
          <w:p w14:paraId="4EF58F71">
            <w:pPr>
              <w:spacing w:line="360" w:lineRule="auto"/>
              <w:jc w:val="center"/>
              <w:rPr>
                <w:rFonts w:ascii="宋体" w:hAnsi="宋体"/>
                <w:b/>
                <w:color w:val="auto"/>
                <w:highlight w:val="none"/>
              </w:rPr>
            </w:pPr>
            <w:r>
              <w:rPr>
                <w:rFonts w:hint="eastAsia" w:ascii="宋体" w:hAnsi="宋体"/>
                <w:b/>
                <w:color w:val="auto"/>
                <w:highlight w:val="none"/>
              </w:rPr>
              <w:t>吨位</w:t>
            </w:r>
            <w:r>
              <w:rPr>
                <w:rFonts w:ascii="宋体" w:hAnsi="宋体"/>
                <w:b/>
                <w:color w:val="auto"/>
                <w:highlight w:val="none"/>
              </w:rPr>
              <w:t>(t)</w:t>
            </w:r>
          </w:p>
        </w:tc>
        <w:tc>
          <w:tcPr>
            <w:tcW w:w="1309" w:type="dxa"/>
            <w:vAlign w:val="center"/>
          </w:tcPr>
          <w:p w14:paraId="25CB60B1">
            <w:pPr>
              <w:spacing w:line="360" w:lineRule="auto"/>
              <w:jc w:val="center"/>
              <w:rPr>
                <w:rFonts w:ascii="宋体" w:hAnsi="宋体"/>
                <w:b/>
                <w:color w:val="auto"/>
                <w:highlight w:val="none"/>
              </w:rPr>
            </w:pPr>
            <w:r>
              <w:rPr>
                <w:rFonts w:hint="eastAsia" w:ascii="宋体" w:hAnsi="宋体"/>
                <w:b/>
                <w:color w:val="auto"/>
                <w:highlight w:val="none"/>
              </w:rPr>
              <w:t>是否具有</w:t>
            </w:r>
          </w:p>
          <w:p w14:paraId="03F37846">
            <w:pPr>
              <w:spacing w:line="360" w:lineRule="auto"/>
              <w:jc w:val="center"/>
              <w:rPr>
                <w:rFonts w:ascii="宋体" w:hAnsi="宋体"/>
                <w:b/>
                <w:color w:val="auto"/>
                <w:highlight w:val="none"/>
              </w:rPr>
            </w:pPr>
            <w:r>
              <w:rPr>
                <w:rFonts w:hint="eastAsia" w:ascii="宋体" w:hAnsi="宋体"/>
                <w:b/>
                <w:color w:val="auto"/>
                <w:highlight w:val="none"/>
              </w:rPr>
              <w:t>产权关系</w:t>
            </w:r>
          </w:p>
        </w:tc>
        <w:tc>
          <w:tcPr>
            <w:tcW w:w="1309" w:type="dxa"/>
            <w:vAlign w:val="center"/>
          </w:tcPr>
          <w:p w14:paraId="7D156530">
            <w:pPr>
              <w:spacing w:line="360" w:lineRule="auto"/>
              <w:jc w:val="center"/>
              <w:rPr>
                <w:rFonts w:ascii="宋体" w:hAnsi="宋体"/>
                <w:b/>
                <w:color w:val="auto"/>
                <w:highlight w:val="none"/>
              </w:rPr>
            </w:pPr>
            <w:r>
              <w:rPr>
                <w:rFonts w:hint="eastAsia" w:ascii="宋体" w:hAnsi="宋体"/>
                <w:b/>
                <w:color w:val="auto"/>
                <w:highlight w:val="none"/>
              </w:rPr>
              <w:t>是否租赁</w:t>
            </w:r>
          </w:p>
        </w:tc>
        <w:tc>
          <w:tcPr>
            <w:tcW w:w="839" w:type="dxa"/>
            <w:vAlign w:val="center"/>
          </w:tcPr>
          <w:p w14:paraId="6C9EC599">
            <w:pPr>
              <w:spacing w:line="360" w:lineRule="auto"/>
              <w:ind w:left="-96" w:leftChars="-40"/>
              <w:jc w:val="center"/>
              <w:rPr>
                <w:rFonts w:ascii="宋体" w:hAnsi="宋体"/>
                <w:b/>
                <w:color w:val="auto"/>
                <w:highlight w:val="none"/>
              </w:rPr>
            </w:pPr>
            <w:r>
              <w:rPr>
                <w:rFonts w:hint="eastAsia" w:ascii="宋体" w:hAnsi="宋体"/>
                <w:b/>
                <w:color w:val="auto"/>
                <w:highlight w:val="none"/>
              </w:rPr>
              <w:t>是否 雇用</w:t>
            </w:r>
          </w:p>
        </w:tc>
        <w:tc>
          <w:tcPr>
            <w:tcW w:w="839" w:type="dxa"/>
            <w:vAlign w:val="center"/>
          </w:tcPr>
          <w:p w14:paraId="07A222F6">
            <w:pPr>
              <w:spacing w:line="360" w:lineRule="auto"/>
              <w:ind w:left="-96" w:leftChars="-40"/>
              <w:jc w:val="center"/>
              <w:rPr>
                <w:rFonts w:ascii="宋体" w:hAnsi="宋体"/>
                <w:b/>
                <w:color w:val="auto"/>
                <w:highlight w:val="none"/>
              </w:rPr>
            </w:pPr>
            <w:r>
              <w:rPr>
                <w:rFonts w:hint="eastAsia" w:ascii="宋体" w:hAnsi="宋体"/>
                <w:b/>
                <w:color w:val="auto"/>
                <w:highlight w:val="none"/>
              </w:rPr>
              <w:t>备注</w:t>
            </w:r>
          </w:p>
        </w:tc>
      </w:tr>
      <w:tr w14:paraId="741D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0EEDA793">
            <w:pPr>
              <w:spacing w:line="360" w:lineRule="auto"/>
              <w:rPr>
                <w:rFonts w:ascii="宋体" w:hAnsi="宋体"/>
                <w:color w:val="auto"/>
                <w:highlight w:val="none"/>
              </w:rPr>
            </w:pPr>
            <w:r>
              <w:rPr>
                <w:rFonts w:hint="eastAsia" w:ascii="宋体" w:hAnsi="宋体"/>
                <w:color w:val="auto"/>
                <w:highlight w:val="none"/>
              </w:rPr>
              <w:t>自卸货车</w:t>
            </w:r>
          </w:p>
        </w:tc>
        <w:tc>
          <w:tcPr>
            <w:tcW w:w="1310" w:type="dxa"/>
            <w:vAlign w:val="center"/>
          </w:tcPr>
          <w:p w14:paraId="55FD5895">
            <w:pPr>
              <w:spacing w:line="360" w:lineRule="auto"/>
              <w:ind w:firstLine="480" w:firstLineChars="200"/>
              <w:rPr>
                <w:rFonts w:ascii="宋体" w:hAnsi="宋体"/>
                <w:color w:val="auto"/>
                <w:highlight w:val="none"/>
              </w:rPr>
            </w:pPr>
          </w:p>
        </w:tc>
        <w:tc>
          <w:tcPr>
            <w:tcW w:w="1310" w:type="dxa"/>
          </w:tcPr>
          <w:p w14:paraId="0EEA45B0">
            <w:pPr>
              <w:spacing w:line="360" w:lineRule="auto"/>
              <w:ind w:left="-122" w:leftChars="-51"/>
              <w:rPr>
                <w:rFonts w:ascii="宋体" w:hAnsi="宋体"/>
                <w:color w:val="auto"/>
                <w:highlight w:val="none"/>
              </w:rPr>
            </w:pPr>
          </w:p>
        </w:tc>
        <w:tc>
          <w:tcPr>
            <w:tcW w:w="1125" w:type="dxa"/>
            <w:vAlign w:val="center"/>
          </w:tcPr>
          <w:p w14:paraId="0FA66DF9">
            <w:pPr>
              <w:spacing w:line="360" w:lineRule="auto"/>
              <w:ind w:firstLine="480" w:firstLineChars="200"/>
              <w:rPr>
                <w:rFonts w:ascii="宋体" w:hAnsi="宋体"/>
                <w:color w:val="auto"/>
                <w:highlight w:val="none"/>
              </w:rPr>
            </w:pPr>
          </w:p>
        </w:tc>
        <w:tc>
          <w:tcPr>
            <w:tcW w:w="1309" w:type="dxa"/>
            <w:vAlign w:val="center"/>
          </w:tcPr>
          <w:p w14:paraId="67994344">
            <w:pPr>
              <w:spacing w:line="360" w:lineRule="auto"/>
              <w:ind w:firstLine="480" w:firstLineChars="200"/>
              <w:rPr>
                <w:rFonts w:ascii="宋体" w:hAnsi="宋体"/>
                <w:color w:val="auto"/>
                <w:highlight w:val="none"/>
              </w:rPr>
            </w:pPr>
          </w:p>
        </w:tc>
        <w:tc>
          <w:tcPr>
            <w:tcW w:w="1309" w:type="dxa"/>
            <w:vAlign w:val="center"/>
          </w:tcPr>
          <w:p w14:paraId="67ECDBA3">
            <w:pPr>
              <w:spacing w:line="360" w:lineRule="auto"/>
              <w:ind w:firstLine="480" w:firstLineChars="200"/>
              <w:rPr>
                <w:rFonts w:ascii="宋体" w:hAnsi="宋体"/>
                <w:color w:val="auto"/>
                <w:highlight w:val="none"/>
              </w:rPr>
            </w:pPr>
          </w:p>
        </w:tc>
        <w:tc>
          <w:tcPr>
            <w:tcW w:w="839" w:type="dxa"/>
            <w:vAlign w:val="center"/>
          </w:tcPr>
          <w:p w14:paraId="1E1ED9D7">
            <w:pPr>
              <w:spacing w:line="360" w:lineRule="auto"/>
              <w:ind w:firstLine="480" w:firstLineChars="200"/>
              <w:rPr>
                <w:rFonts w:ascii="宋体" w:hAnsi="宋体"/>
                <w:color w:val="auto"/>
                <w:highlight w:val="none"/>
              </w:rPr>
            </w:pPr>
          </w:p>
        </w:tc>
        <w:tc>
          <w:tcPr>
            <w:tcW w:w="839" w:type="dxa"/>
          </w:tcPr>
          <w:p w14:paraId="64179B16">
            <w:pPr>
              <w:spacing w:line="360" w:lineRule="auto"/>
              <w:ind w:firstLine="480" w:firstLineChars="200"/>
              <w:rPr>
                <w:rFonts w:ascii="宋体" w:hAnsi="宋体"/>
                <w:color w:val="auto"/>
                <w:highlight w:val="none"/>
              </w:rPr>
            </w:pPr>
          </w:p>
        </w:tc>
      </w:tr>
      <w:tr w14:paraId="5571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650E3663">
            <w:pPr>
              <w:spacing w:line="360" w:lineRule="auto"/>
              <w:rPr>
                <w:rFonts w:ascii="宋体" w:hAnsi="宋体"/>
                <w:color w:val="auto"/>
                <w:highlight w:val="none"/>
              </w:rPr>
            </w:pPr>
            <w:r>
              <w:rPr>
                <w:rFonts w:ascii="宋体" w:hAnsi="宋体"/>
                <w:color w:val="auto"/>
                <w:highlight w:val="none"/>
              </w:rPr>
              <w:t>……</w:t>
            </w:r>
          </w:p>
        </w:tc>
        <w:tc>
          <w:tcPr>
            <w:tcW w:w="1310" w:type="dxa"/>
            <w:vAlign w:val="center"/>
          </w:tcPr>
          <w:p w14:paraId="427E56F6">
            <w:pPr>
              <w:spacing w:line="360" w:lineRule="auto"/>
              <w:ind w:firstLine="480" w:firstLineChars="200"/>
              <w:rPr>
                <w:rFonts w:ascii="宋体" w:hAnsi="宋体"/>
                <w:color w:val="auto"/>
                <w:highlight w:val="none"/>
              </w:rPr>
            </w:pPr>
          </w:p>
        </w:tc>
        <w:tc>
          <w:tcPr>
            <w:tcW w:w="1310" w:type="dxa"/>
          </w:tcPr>
          <w:p w14:paraId="2D40AEA4">
            <w:pPr>
              <w:spacing w:line="360" w:lineRule="auto"/>
              <w:ind w:firstLine="480" w:firstLineChars="200"/>
              <w:rPr>
                <w:rFonts w:ascii="宋体" w:hAnsi="宋体"/>
                <w:color w:val="auto"/>
                <w:highlight w:val="none"/>
              </w:rPr>
            </w:pPr>
          </w:p>
        </w:tc>
        <w:tc>
          <w:tcPr>
            <w:tcW w:w="1125" w:type="dxa"/>
            <w:vAlign w:val="center"/>
          </w:tcPr>
          <w:p w14:paraId="04C7561F">
            <w:pPr>
              <w:spacing w:line="360" w:lineRule="auto"/>
              <w:ind w:firstLine="480" w:firstLineChars="200"/>
              <w:rPr>
                <w:rFonts w:ascii="宋体" w:hAnsi="宋体"/>
                <w:color w:val="auto"/>
                <w:highlight w:val="none"/>
              </w:rPr>
            </w:pPr>
          </w:p>
        </w:tc>
        <w:tc>
          <w:tcPr>
            <w:tcW w:w="1309" w:type="dxa"/>
            <w:vAlign w:val="center"/>
          </w:tcPr>
          <w:p w14:paraId="7AAF332B">
            <w:pPr>
              <w:spacing w:line="360" w:lineRule="auto"/>
              <w:ind w:firstLine="480" w:firstLineChars="200"/>
              <w:rPr>
                <w:rFonts w:ascii="宋体" w:hAnsi="宋体"/>
                <w:color w:val="auto"/>
                <w:highlight w:val="none"/>
              </w:rPr>
            </w:pPr>
          </w:p>
        </w:tc>
        <w:tc>
          <w:tcPr>
            <w:tcW w:w="1309" w:type="dxa"/>
            <w:vAlign w:val="center"/>
          </w:tcPr>
          <w:p w14:paraId="5CC585A7">
            <w:pPr>
              <w:spacing w:line="360" w:lineRule="auto"/>
              <w:ind w:firstLine="480" w:firstLineChars="200"/>
              <w:rPr>
                <w:rFonts w:ascii="宋体" w:hAnsi="宋体"/>
                <w:color w:val="auto"/>
                <w:highlight w:val="none"/>
              </w:rPr>
            </w:pPr>
          </w:p>
        </w:tc>
        <w:tc>
          <w:tcPr>
            <w:tcW w:w="839" w:type="dxa"/>
            <w:vAlign w:val="center"/>
          </w:tcPr>
          <w:p w14:paraId="42C7AE63">
            <w:pPr>
              <w:spacing w:line="360" w:lineRule="auto"/>
              <w:ind w:firstLine="480" w:firstLineChars="200"/>
              <w:rPr>
                <w:rFonts w:ascii="宋体" w:hAnsi="宋体"/>
                <w:color w:val="auto"/>
                <w:highlight w:val="none"/>
              </w:rPr>
            </w:pPr>
          </w:p>
        </w:tc>
        <w:tc>
          <w:tcPr>
            <w:tcW w:w="839" w:type="dxa"/>
          </w:tcPr>
          <w:p w14:paraId="2544FA7A">
            <w:pPr>
              <w:spacing w:line="360" w:lineRule="auto"/>
              <w:ind w:firstLine="480" w:firstLineChars="200"/>
              <w:rPr>
                <w:rFonts w:ascii="宋体" w:hAnsi="宋体"/>
                <w:color w:val="auto"/>
                <w:highlight w:val="none"/>
              </w:rPr>
            </w:pPr>
          </w:p>
        </w:tc>
      </w:tr>
      <w:tr w14:paraId="705E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5BD69F89">
            <w:pPr>
              <w:spacing w:line="360" w:lineRule="auto"/>
              <w:rPr>
                <w:rFonts w:ascii="宋体" w:hAnsi="宋体"/>
                <w:color w:val="auto"/>
                <w:highlight w:val="none"/>
              </w:rPr>
            </w:pPr>
            <w:r>
              <w:rPr>
                <w:rFonts w:hint="eastAsia" w:ascii="宋体" w:hAnsi="宋体"/>
                <w:color w:val="auto"/>
                <w:highlight w:val="none"/>
              </w:rPr>
              <w:t>铲车</w:t>
            </w:r>
          </w:p>
        </w:tc>
        <w:tc>
          <w:tcPr>
            <w:tcW w:w="1310" w:type="dxa"/>
            <w:vAlign w:val="center"/>
          </w:tcPr>
          <w:p w14:paraId="0C386C5D">
            <w:pPr>
              <w:spacing w:line="360" w:lineRule="auto"/>
              <w:ind w:firstLine="480" w:firstLineChars="200"/>
              <w:rPr>
                <w:rFonts w:ascii="宋体" w:hAnsi="宋体"/>
                <w:color w:val="auto"/>
                <w:highlight w:val="none"/>
              </w:rPr>
            </w:pPr>
          </w:p>
        </w:tc>
        <w:tc>
          <w:tcPr>
            <w:tcW w:w="1310" w:type="dxa"/>
          </w:tcPr>
          <w:p w14:paraId="0BCEA145">
            <w:pPr>
              <w:spacing w:line="360" w:lineRule="auto"/>
              <w:ind w:firstLine="480" w:firstLineChars="200"/>
              <w:rPr>
                <w:rFonts w:ascii="宋体" w:hAnsi="宋体"/>
                <w:color w:val="auto"/>
                <w:highlight w:val="none"/>
              </w:rPr>
            </w:pPr>
          </w:p>
        </w:tc>
        <w:tc>
          <w:tcPr>
            <w:tcW w:w="1125" w:type="dxa"/>
            <w:vAlign w:val="center"/>
          </w:tcPr>
          <w:p w14:paraId="3EE76F91">
            <w:pPr>
              <w:spacing w:line="360" w:lineRule="auto"/>
              <w:ind w:firstLine="480" w:firstLineChars="200"/>
              <w:rPr>
                <w:rFonts w:ascii="宋体" w:hAnsi="宋体"/>
                <w:color w:val="auto"/>
                <w:highlight w:val="none"/>
              </w:rPr>
            </w:pPr>
          </w:p>
        </w:tc>
        <w:tc>
          <w:tcPr>
            <w:tcW w:w="1309" w:type="dxa"/>
            <w:vAlign w:val="center"/>
          </w:tcPr>
          <w:p w14:paraId="64A6F02A">
            <w:pPr>
              <w:spacing w:line="360" w:lineRule="auto"/>
              <w:ind w:firstLine="480" w:firstLineChars="200"/>
              <w:rPr>
                <w:rFonts w:ascii="宋体" w:hAnsi="宋体"/>
                <w:color w:val="auto"/>
                <w:highlight w:val="none"/>
              </w:rPr>
            </w:pPr>
          </w:p>
        </w:tc>
        <w:tc>
          <w:tcPr>
            <w:tcW w:w="1309" w:type="dxa"/>
            <w:vAlign w:val="center"/>
          </w:tcPr>
          <w:p w14:paraId="5F4E2BFB">
            <w:pPr>
              <w:spacing w:line="360" w:lineRule="auto"/>
              <w:ind w:firstLine="480" w:firstLineChars="200"/>
              <w:rPr>
                <w:rFonts w:ascii="宋体" w:hAnsi="宋体"/>
                <w:color w:val="auto"/>
                <w:highlight w:val="none"/>
              </w:rPr>
            </w:pPr>
          </w:p>
        </w:tc>
        <w:tc>
          <w:tcPr>
            <w:tcW w:w="839" w:type="dxa"/>
            <w:vAlign w:val="center"/>
          </w:tcPr>
          <w:p w14:paraId="456D6278">
            <w:pPr>
              <w:spacing w:line="360" w:lineRule="auto"/>
              <w:ind w:firstLine="480" w:firstLineChars="200"/>
              <w:rPr>
                <w:rFonts w:ascii="宋体" w:hAnsi="宋体"/>
                <w:color w:val="auto"/>
                <w:highlight w:val="none"/>
              </w:rPr>
            </w:pPr>
          </w:p>
        </w:tc>
        <w:tc>
          <w:tcPr>
            <w:tcW w:w="839" w:type="dxa"/>
          </w:tcPr>
          <w:p w14:paraId="6DA2D7D8">
            <w:pPr>
              <w:spacing w:line="360" w:lineRule="auto"/>
              <w:ind w:firstLine="480" w:firstLineChars="200"/>
              <w:rPr>
                <w:rFonts w:ascii="宋体" w:hAnsi="宋体"/>
                <w:color w:val="auto"/>
                <w:highlight w:val="none"/>
              </w:rPr>
            </w:pPr>
          </w:p>
        </w:tc>
      </w:tr>
      <w:tr w14:paraId="43D2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3D337088">
            <w:pPr>
              <w:spacing w:line="360" w:lineRule="auto"/>
              <w:rPr>
                <w:rFonts w:ascii="宋体" w:hAnsi="宋体"/>
                <w:color w:val="auto"/>
                <w:highlight w:val="none"/>
              </w:rPr>
            </w:pPr>
            <w:r>
              <w:rPr>
                <w:rFonts w:ascii="宋体" w:hAnsi="宋体"/>
                <w:color w:val="auto"/>
                <w:highlight w:val="none"/>
              </w:rPr>
              <w:t>……</w:t>
            </w:r>
          </w:p>
        </w:tc>
        <w:tc>
          <w:tcPr>
            <w:tcW w:w="1310" w:type="dxa"/>
            <w:vAlign w:val="center"/>
          </w:tcPr>
          <w:p w14:paraId="73701A47">
            <w:pPr>
              <w:spacing w:line="360" w:lineRule="auto"/>
              <w:ind w:firstLine="480" w:firstLineChars="200"/>
              <w:rPr>
                <w:rFonts w:ascii="宋体" w:hAnsi="宋体"/>
                <w:color w:val="auto"/>
                <w:highlight w:val="none"/>
              </w:rPr>
            </w:pPr>
          </w:p>
        </w:tc>
        <w:tc>
          <w:tcPr>
            <w:tcW w:w="1310" w:type="dxa"/>
          </w:tcPr>
          <w:p w14:paraId="69EBB69A">
            <w:pPr>
              <w:spacing w:line="360" w:lineRule="auto"/>
              <w:ind w:firstLine="480" w:firstLineChars="200"/>
              <w:rPr>
                <w:rFonts w:ascii="宋体" w:hAnsi="宋体"/>
                <w:color w:val="auto"/>
                <w:highlight w:val="none"/>
              </w:rPr>
            </w:pPr>
          </w:p>
        </w:tc>
        <w:tc>
          <w:tcPr>
            <w:tcW w:w="1125" w:type="dxa"/>
            <w:vAlign w:val="center"/>
          </w:tcPr>
          <w:p w14:paraId="1E9B3D64">
            <w:pPr>
              <w:spacing w:line="360" w:lineRule="auto"/>
              <w:ind w:firstLine="480" w:firstLineChars="200"/>
              <w:rPr>
                <w:rFonts w:ascii="宋体" w:hAnsi="宋体"/>
                <w:color w:val="auto"/>
                <w:highlight w:val="none"/>
              </w:rPr>
            </w:pPr>
          </w:p>
        </w:tc>
        <w:tc>
          <w:tcPr>
            <w:tcW w:w="1309" w:type="dxa"/>
            <w:vAlign w:val="center"/>
          </w:tcPr>
          <w:p w14:paraId="59D10B4B">
            <w:pPr>
              <w:spacing w:line="360" w:lineRule="auto"/>
              <w:ind w:firstLine="480" w:firstLineChars="200"/>
              <w:rPr>
                <w:rFonts w:ascii="宋体" w:hAnsi="宋体"/>
                <w:color w:val="auto"/>
                <w:highlight w:val="none"/>
              </w:rPr>
            </w:pPr>
          </w:p>
        </w:tc>
        <w:tc>
          <w:tcPr>
            <w:tcW w:w="1309" w:type="dxa"/>
            <w:vAlign w:val="center"/>
          </w:tcPr>
          <w:p w14:paraId="37830025">
            <w:pPr>
              <w:spacing w:line="360" w:lineRule="auto"/>
              <w:ind w:firstLine="480" w:firstLineChars="200"/>
              <w:rPr>
                <w:rFonts w:ascii="宋体" w:hAnsi="宋体"/>
                <w:color w:val="auto"/>
                <w:highlight w:val="none"/>
              </w:rPr>
            </w:pPr>
          </w:p>
        </w:tc>
        <w:tc>
          <w:tcPr>
            <w:tcW w:w="839" w:type="dxa"/>
            <w:vAlign w:val="center"/>
          </w:tcPr>
          <w:p w14:paraId="5F846928">
            <w:pPr>
              <w:spacing w:line="360" w:lineRule="auto"/>
              <w:ind w:firstLine="480" w:firstLineChars="200"/>
              <w:rPr>
                <w:rFonts w:ascii="宋体" w:hAnsi="宋体"/>
                <w:color w:val="auto"/>
                <w:highlight w:val="none"/>
              </w:rPr>
            </w:pPr>
          </w:p>
        </w:tc>
        <w:tc>
          <w:tcPr>
            <w:tcW w:w="839" w:type="dxa"/>
          </w:tcPr>
          <w:p w14:paraId="7FBAACD9">
            <w:pPr>
              <w:spacing w:line="360" w:lineRule="auto"/>
              <w:ind w:firstLine="480" w:firstLineChars="200"/>
              <w:rPr>
                <w:rFonts w:ascii="宋体" w:hAnsi="宋体"/>
                <w:color w:val="auto"/>
                <w:highlight w:val="none"/>
              </w:rPr>
            </w:pPr>
          </w:p>
        </w:tc>
      </w:tr>
      <w:tr w14:paraId="5343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2BBF5FB7">
            <w:pPr>
              <w:spacing w:line="360" w:lineRule="auto"/>
              <w:rPr>
                <w:rFonts w:ascii="宋体" w:hAnsi="宋体"/>
                <w:color w:val="auto"/>
                <w:highlight w:val="none"/>
              </w:rPr>
            </w:pPr>
            <w:r>
              <w:rPr>
                <w:rFonts w:hint="eastAsia" w:ascii="宋体" w:hAnsi="宋体"/>
                <w:color w:val="auto"/>
                <w:highlight w:val="none"/>
              </w:rPr>
              <w:t>其他</w:t>
            </w:r>
          </w:p>
        </w:tc>
        <w:tc>
          <w:tcPr>
            <w:tcW w:w="1310" w:type="dxa"/>
            <w:vAlign w:val="center"/>
          </w:tcPr>
          <w:p w14:paraId="376C8A3A">
            <w:pPr>
              <w:spacing w:line="360" w:lineRule="auto"/>
              <w:ind w:firstLine="480" w:firstLineChars="200"/>
              <w:rPr>
                <w:rFonts w:ascii="宋体" w:hAnsi="宋体"/>
                <w:color w:val="auto"/>
                <w:highlight w:val="none"/>
              </w:rPr>
            </w:pPr>
          </w:p>
        </w:tc>
        <w:tc>
          <w:tcPr>
            <w:tcW w:w="1310" w:type="dxa"/>
          </w:tcPr>
          <w:p w14:paraId="605E4A8B">
            <w:pPr>
              <w:spacing w:line="360" w:lineRule="auto"/>
              <w:ind w:firstLine="480" w:firstLineChars="200"/>
              <w:rPr>
                <w:rFonts w:ascii="宋体" w:hAnsi="宋体"/>
                <w:color w:val="auto"/>
                <w:highlight w:val="none"/>
              </w:rPr>
            </w:pPr>
          </w:p>
        </w:tc>
        <w:tc>
          <w:tcPr>
            <w:tcW w:w="1125" w:type="dxa"/>
            <w:vAlign w:val="center"/>
          </w:tcPr>
          <w:p w14:paraId="06673DC2">
            <w:pPr>
              <w:spacing w:line="360" w:lineRule="auto"/>
              <w:ind w:firstLine="480" w:firstLineChars="200"/>
              <w:rPr>
                <w:rFonts w:ascii="宋体" w:hAnsi="宋体"/>
                <w:color w:val="auto"/>
                <w:highlight w:val="none"/>
              </w:rPr>
            </w:pPr>
          </w:p>
        </w:tc>
        <w:tc>
          <w:tcPr>
            <w:tcW w:w="1309" w:type="dxa"/>
            <w:vAlign w:val="center"/>
          </w:tcPr>
          <w:p w14:paraId="703948BB">
            <w:pPr>
              <w:spacing w:line="360" w:lineRule="auto"/>
              <w:ind w:firstLine="480" w:firstLineChars="200"/>
              <w:rPr>
                <w:rFonts w:ascii="宋体" w:hAnsi="宋体"/>
                <w:color w:val="auto"/>
                <w:highlight w:val="none"/>
              </w:rPr>
            </w:pPr>
          </w:p>
        </w:tc>
        <w:tc>
          <w:tcPr>
            <w:tcW w:w="1309" w:type="dxa"/>
            <w:vAlign w:val="center"/>
          </w:tcPr>
          <w:p w14:paraId="6DD0ACB3">
            <w:pPr>
              <w:spacing w:line="360" w:lineRule="auto"/>
              <w:ind w:firstLine="480" w:firstLineChars="200"/>
              <w:rPr>
                <w:rFonts w:ascii="宋体" w:hAnsi="宋体"/>
                <w:color w:val="auto"/>
                <w:highlight w:val="none"/>
              </w:rPr>
            </w:pPr>
          </w:p>
        </w:tc>
        <w:tc>
          <w:tcPr>
            <w:tcW w:w="839" w:type="dxa"/>
            <w:vAlign w:val="center"/>
          </w:tcPr>
          <w:p w14:paraId="1D934ECF">
            <w:pPr>
              <w:spacing w:line="360" w:lineRule="auto"/>
              <w:ind w:firstLine="480" w:firstLineChars="200"/>
              <w:rPr>
                <w:rFonts w:ascii="宋体" w:hAnsi="宋体"/>
                <w:color w:val="auto"/>
                <w:highlight w:val="none"/>
              </w:rPr>
            </w:pPr>
          </w:p>
        </w:tc>
        <w:tc>
          <w:tcPr>
            <w:tcW w:w="839" w:type="dxa"/>
          </w:tcPr>
          <w:p w14:paraId="1CD169AB">
            <w:pPr>
              <w:spacing w:line="360" w:lineRule="auto"/>
              <w:ind w:firstLine="480" w:firstLineChars="200"/>
              <w:rPr>
                <w:rFonts w:ascii="宋体" w:hAnsi="宋体"/>
                <w:color w:val="auto"/>
                <w:highlight w:val="none"/>
              </w:rPr>
            </w:pPr>
          </w:p>
        </w:tc>
      </w:tr>
      <w:tr w14:paraId="50B0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28A24181">
            <w:pPr>
              <w:spacing w:line="360" w:lineRule="auto"/>
              <w:rPr>
                <w:rFonts w:ascii="宋体" w:hAnsi="宋体"/>
                <w:color w:val="auto"/>
                <w:highlight w:val="none"/>
              </w:rPr>
            </w:pPr>
            <w:r>
              <w:rPr>
                <w:rFonts w:ascii="宋体" w:hAnsi="宋体"/>
                <w:color w:val="auto"/>
                <w:highlight w:val="none"/>
              </w:rPr>
              <w:t>……</w:t>
            </w:r>
          </w:p>
        </w:tc>
        <w:tc>
          <w:tcPr>
            <w:tcW w:w="1310" w:type="dxa"/>
            <w:vAlign w:val="center"/>
          </w:tcPr>
          <w:p w14:paraId="13C5A818">
            <w:pPr>
              <w:spacing w:line="360" w:lineRule="auto"/>
              <w:ind w:firstLine="480" w:firstLineChars="200"/>
              <w:rPr>
                <w:rFonts w:ascii="宋体" w:hAnsi="宋体"/>
                <w:color w:val="auto"/>
                <w:highlight w:val="none"/>
              </w:rPr>
            </w:pPr>
          </w:p>
        </w:tc>
        <w:tc>
          <w:tcPr>
            <w:tcW w:w="1310" w:type="dxa"/>
          </w:tcPr>
          <w:p w14:paraId="5A283845">
            <w:pPr>
              <w:spacing w:line="360" w:lineRule="auto"/>
              <w:ind w:firstLine="480" w:firstLineChars="200"/>
              <w:rPr>
                <w:rFonts w:ascii="宋体" w:hAnsi="宋体"/>
                <w:color w:val="auto"/>
                <w:highlight w:val="none"/>
              </w:rPr>
            </w:pPr>
          </w:p>
        </w:tc>
        <w:tc>
          <w:tcPr>
            <w:tcW w:w="1125" w:type="dxa"/>
            <w:vAlign w:val="center"/>
          </w:tcPr>
          <w:p w14:paraId="01265403">
            <w:pPr>
              <w:spacing w:line="360" w:lineRule="auto"/>
              <w:ind w:firstLine="480" w:firstLineChars="200"/>
              <w:rPr>
                <w:rFonts w:ascii="宋体" w:hAnsi="宋体"/>
                <w:color w:val="auto"/>
                <w:highlight w:val="none"/>
              </w:rPr>
            </w:pPr>
          </w:p>
        </w:tc>
        <w:tc>
          <w:tcPr>
            <w:tcW w:w="1309" w:type="dxa"/>
            <w:vAlign w:val="center"/>
          </w:tcPr>
          <w:p w14:paraId="04894DD6">
            <w:pPr>
              <w:spacing w:line="360" w:lineRule="auto"/>
              <w:ind w:firstLine="480" w:firstLineChars="200"/>
              <w:rPr>
                <w:rFonts w:ascii="宋体" w:hAnsi="宋体"/>
                <w:color w:val="auto"/>
                <w:highlight w:val="none"/>
              </w:rPr>
            </w:pPr>
          </w:p>
        </w:tc>
        <w:tc>
          <w:tcPr>
            <w:tcW w:w="1309" w:type="dxa"/>
            <w:vAlign w:val="center"/>
          </w:tcPr>
          <w:p w14:paraId="3F7BADBA">
            <w:pPr>
              <w:spacing w:line="360" w:lineRule="auto"/>
              <w:ind w:firstLine="480" w:firstLineChars="200"/>
              <w:rPr>
                <w:rFonts w:ascii="宋体" w:hAnsi="宋体"/>
                <w:color w:val="auto"/>
                <w:highlight w:val="none"/>
              </w:rPr>
            </w:pPr>
          </w:p>
        </w:tc>
        <w:tc>
          <w:tcPr>
            <w:tcW w:w="839" w:type="dxa"/>
            <w:vAlign w:val="center"/>
          </w:tcPr>
          <w:p w14:paraId="38901C15">
            <w:pPr>
              <w:spacing w:line="360" w:lineRule="auto"/>
              <w:ind w:firstLine="480" w:firstLineChars="200"/>
              <w:rPr>
                <w:rFonts w:ascii="宋体" w:hAnsi="宋体"/>
                <w:color w:val="auto"/>
                <w:highlight w:val="none"/>
              </w:rPr>
            </w:pPr>
          </w:p>
        </w:tc>
        <w:tc>
          <w:tcPr>
            <w:tcW w:w="839" w:type="dxa"/>
          </w:tcPr>
          <w:p w14:paraId="08885A3C">
            <w:pPr>
              <w:spacing w:line="360" w:lineRule="auto"/>
              <w:ind w:firstLine="480" w:firstLineChars="200"/>
              <w:rPr>
                <w:rFonts w:ascii="宋体" w:hAnsi="宋体"/>
                <w:color w:val="auto"/>
                <w:highlight w:val="none"/>
              </w:rPr>
            </w:pPr>
          </w:p>
        </w:tc>
      </w:tr>
      <w:tr w14:paraId="5F97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73CC0F58">
            <w:pPr>
              <w:spacing w:line="360" w:lineRule="auto"/>
              <w:rPr>
                <w:rFonts w:ascii="宋体" w:hAnsi="宋体"/>
                <w:color w:val="auto"/>
                <w:highlight w:val="none"/>
              </w:rPr>
            </w:pPr>
          </w:p>
        </w:tc>
        <w:tc>
          <w:tcPr>
            <w:tcW w:w="1310" w:type="dxa"/>
            <w:vAlign w:val="center"/>
          </w:tcPr>
          <w:p w14:paraId="69ECDF75">
            <w:pPr>
              <w:spacing w:line="360" w:lineRule="auto"/>
              <w:ind w:firstLine="480" w:firstLineChars="200"/>
              <w:rPr>
                <w:rFonts w:ascii="宋体" w:hAnsi="宋体"/>
                <w:color w:val="auto"/>
                <w:highlight w:val="none"/>
              </w:rPr>
            </w:pPr>
          </w:p>
        </w:tc>
        <w:tc>
          <w:tcPr>
            <w:tcW w:w="1310" w:type="dxa"/>
          </w:tcPr>
          <w:p w14:paraId="4547D8D5">
            <w:pPr>
              <w:spacing w:line="360" w:lineRule="auto"/>
              <w:ind w:firstLine="480" w:firstLineChars="200"/>
              <w:rPr>
                <w:rFonts w:ascii="宋体" w:hAnsi="宋体"/>
                <w:color w:val="auto"/>
                <w:highlight w:val="none"/>
              </w:rPr>
            </w:pPr>
          </w:p>
        </w:tc>
        <w:tc>
          <w:tcPr>
            <w:tcW w:w="1125" w:type="dxa"/>
            <w:vAlign w:val="center"/>
          </w:tcPr>
          <w:p w14:paraId="07F96C28">
            <w:pPr>
              <w:spacing w:line="360" w:lineRule="auto"/>
              <w:ind w:firstLine="480" w:firstLineChars="200"/>
              <w:rPr>
                <w:rFonts w:ascii="宋体" w:hAnsi="宋体"/>
                <w:color w:val="auto"/>
                <w:highlight w:val="none"/>
              </w:rPr>
            </w:pPr>
          </w:p>
        </w:tc>
        <w:tc>
          <w:tcPr>
            <w:tcW w:w="1309" w:type="dxa"/>
            <w:vAlign w:val="center"/>
          </w:tcPr>
          <w:p w14:paraId="7FF09ABF">
            <w:pPr>
              <w:spacing w:line="360" w:lineRule="auto"/>
              <w:ind w:firstLine="480" w:firstLineChars="200"/>
              <w:rPr>
                <w:rFonts w:ascii="宋体" w:hAnsi="宋体"/>
                <w:color w:val="auto"/>
                <w:highlight w:val="none"/>
              </w:rPr>
            </w:pPr>
          </w:p>
        </w:tc>
        <w:tc>
          <w:tcPr>
            <w:tcW w:w="1309" w:type="dxa"/>
            <w:vAlign w:val="center"/>
          </w:tcPr>
          <w:p w14:paraId="6E08C394">
            <w:pPr>
              <w:spacing w:line="360" w:lineRule="auto"/>
              <w:ind w:firstLine="480" w:firstLineChars="200"/>
              <w:rPr>
                <w:rFonts w:ascii="宋体" w:hAnsi="宋体"/>
                <w:color w:val="auto"/>
                <w:highlight w:val="none"/>
              </w:rPr>
            </w:pPr>
          </w:p>
        </w:tc>
        <w:tc>
          <w:tcPr>
            <w:tcW w:w="839" w:type="dxa"/>
            <w:vAlign w:val="center"/>
          </w:tcPr>
          <w:p w14:paraId="13C4A688">
            <w:pPr>
              <w:spacing w:line="360" w:lineRule="auto"/>
              <w:ind w:firstLine="480" w:firstLineChars="200"/>
              <w:rPr>
                <w:rFonts w:ascii="宋体" w:hAnsi="宋体"/>
                <w:color w:val="auto"/>
                <w:highlight w:val="none"/>
              </w:rPr>
            </w:pPr>
          </w:p>
        </w:tc>
        <w:tc>
          <w:tcPr>
            <w:tcW w:w="839" w:type="dxa"/>
          </w:tcPr>
          <w:p w14:paraId="196393B6">
            <w:pPr>
              <w:spacing w:line="360" w:lineRule="auto"/>
              <w:ind w:firstLine="480" w:firstLineChars="200"/>
              <w:rPr>
                <w:rFonts w:ascii="宋体" w:hAnsi="宋体"/>
                <w:color w:val="auto"/>
                <w:highlight w:val="none"/>
              </w:rPr>
            </w:pPr>
          </w:p>
        </w:tc>
      </w:tr>
      <w:tr w14:paraId="1205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697EC047">
            <w:pPr>
              <w:spacing w:line="360" w:lineRule="auto"/>
              <w:rPr>
                <w:rFonts w:ascii="宋体" w:hAnsi="宋体"/>
                <w:color w:val="auto"/>
                <w:highlight w:val="none"/>
              </w:rPr>
            </w:pPr>
          </w:p>
        </w:tc>
        <w:tc>
          <w:tcPr>
            <w:tcW w:w="1310" w:type="dxa"/>
            <w:vAlign w:val="center"/>
          </w:tcPr>
          <w:p w14:paraId="3ED9D7AE">
            <w:pPr>
              <w:spacing w:line="360" w:lineRule="auto"/>
              <w:ind w:firstLine="480" w:firstLineChars="200"/>
              <w:rPr>
                <w:rFonts w:ascii="宋体" w:hAnsi="宋体"/>
                <w:color w:val="auto"/>
                <w:highlight w:val="none"/>
              </w:rPr>
            </w:pPr>
          </w:p>
        </w:tc>
        <w:tc>
          <w:tcPr>
            <w:tcW w:w="1310" w:type="dxa"/>
          </w:tcPr>
          <w:p w14:paraId="03182F30">
            <w:pPr>
              <w:spacing w:line="360" w:lineRule="auto"/>
              <w:ind w:firstLine="480" w:firstLineChars="200"/>
              <w:rPr>
                <w:rFonts w:ascii="宋体" w:hAnsi="宋体"/>
                <w:color w:val="auto"/>
                <w:highlight w:val="none"/>
              </w:rPr>
            </w:pPr>
          </w:p>
        </w:tc>
        <w:tc>
          <w:tcPr>
            <w:tcW w:w="1125" w:type="dxa"/>
            <w:vAlign w:val="center"/>
          </w:tcPr>
          <w:p w14:paraId="101FB6B9">
            <w:pPr>
              <w:spacing w:line="360" w:lineRule="auto"/>
              <w:ind w:firstLine="480" w:firstLineChars="200"/>
              <w:rPr>
                <w:rFonts w:ascii="宋体" w:hAnsi="宋体"/>
                <w:color w:val="auto"/>
                <w:highlight w:val="none"/>
              </w:rPr>
            </w:pPr>
          </w:p>
        </w:tc>
        <w:tc>
          <w:tcPr>
            <w:tcW w:w="1309" w:type="dxa"/>
            <w:vAlign w:val="center"/>
          </w:tcPr>
          <w:p w14:paraId="0D2DAF56">
            <w:pPr>
              <w:spacing w:line="360" w:lineRule="auto"/>
              <w:ind w:firstLine="480" w:firstLineChars="200"/>
              <w:rPr>
                <w:rFonts w:ascii="宋体" w:hAnsi="宋体"/>
                <w:color w:val="auto"/>
                <w:highlight w:val="none"/>
              </w:rPr>
            </w:pPr>
          </w:p>
        </w:tc>
        <w:tc>
          <w:tcPr>
            <w:tcW w:w="1309" w:type="dxa"/>
            <w:vAlign w:val="center"/>
          </w:tcPr>
          <w:p w14:paraId="4FCDF1E3">
            <w:pPr>
              <w:spacing w:line="360" w:lineRule="auto"/>
              <w:ind w:firstLine="480" w:firstLineChars="200"/>
              <w:rPr>
                <w:rFonts w:ascii="宋体" w:hAnsi="宋体"/>
                <w:color w:val="auto"/>
                <w:highlight w:val="none"/>
              </w:rPr>
            </w:pPr>
          </w:p>
        </w:tc>
        <w:tc>
          <w:tcPr>
            <w:tcW w:w="839" w:type="dxa"/>
            <w:vAlign w:val="center"/>
          </w:tcPr>
          <w:p w14:paraId="249F4CD6">
            <w:pPr>
              <w:spacing w:line="360" w:lineRule="auto"/>
              <w:ind w:firstLine="480" w:firstLineChars="200"/>
              <w:rPr>
                <w:rFonts w:ascii="宋体" w:hAnsi="宋体"/>
                <w:color w:val="auto"/>
                <w:highlight w:val="none"/>
              </w:rPr>
            </w:pPr>
          </w:p>
        </w:tc>
        <w:tc>
          <w:tcPr>
            <w:tcW w:w="839" w:type="dxa"/>
          </w:tcPr>
          <w:p w14:paraId="355E4A01">
            <w:pPr>
              <w:spacing w:line="360" w:lineRule="auto"/>
              <w:ind w:firstLine="480" w:firstLineChars="200"/>
              <w:rPr>
                <w:rFonts w:ascii="宋体" w:hAnsi="宋体"/>
                <w:color w:val="auto"/>
                <w:highlight w:val="none"/>
              </w:rPr>
            </w:pPr>
          </w:p>
        </w:tc>
      </w:tr>
      <w:tr w14:paraId="7E5D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375C21A4">
            <w:pPr>
              <w:spacing w:line="360" w:lineRule="auto"/>
              <w:ind w:firstLine="480" w:firstLineChars="200"/>
              <w:rPr>
                <w:rFonts w:ascii="宋体" w:hAnsi="宋体"/>
                <w:color w:val="auto"/>
                <w:highlight w:val="none"/>
              </w:rPr>
            </w:pPr>
          </w:p>
        </w:tc>
        <w:tc>
          <w:tcPr>
            <w:tcW w:w="1310" w:type="dxa"/>
            <w:vAlign w:val="center"/>
          </w:tcPr>
          <w:p w14:paraId="2F6FE819">
            <w:pPr>
              <w:spacing w:line="360" w:lineRule="auto"/>
              <w:ind w:firstLine="480" w:firstLineChars="200"/>
              <w:rPr>
                <w:rFonts w:ascii="宋体" w:hAnsi="宋体"/>
                <w:color w:val="auto"/>
                <w:highlight w:val="none"/>
              </w:rPr>
            </w:pPr>
          </w:p>
        </w:tc>
        <w:tc>
          <w:tcPr>
            <w:tcW w:w="1310" w:type="dxa"/>
          </w:tcPr>
          <w:p w14:paraId="2767B116">
            <w:pPr>
              <w:spacing w:line="360" w:lineRule="auto"/>
              <w:ind w:firstLine="480" w:firstLineChars="200"/>
              <w:rPr>
                <w:rFonts w:ascii="宋体" w:hAnsi="宋体"/>
                <w:color w:val="auto"/>
                <w:highlight w:val="none"/>
              </w:rPr>
            </w:pPr>
          </w:p>
        </w:tc>
        <w:tc>
          <w:tcPr>
            <w:tcW w:w="1125" w:type="dxa"/>
            <w:vAlign w:val="center"/>
          </w:tcPr>
          <w:p w14:paraId="71177D15">
            <w:pPr>
              <w:spacing w:line="360" w:lineRule="auto"/>
              <w:ind w:firstLine="480" w:firstLineChars="200"/>
              <w:rPr>
                <w:rFonts w:ascii="宋体" w:hAnsi="宋体"/>
                <w:color w:val="auto"/>
                <w:highlight w:val="none"/>
              </w:rPr>
            </w:pPr>
          </w:p>
        </w:tc>
        <w:tc>
          <w:tcPr>
            <w:tcW w:w="1309" w:type="dxa"/>
            <w:vAlign w:val="center"/>
          </w:tcPr>
          <w:p w14:paraId="6296DE78">
            <w:pPr>
              <w:spacing w:line="360" w:lineRule="auto"/>
              <w:ind w:firstLine="480" w:firstLineChars="200"/>
              <w:rPr>
                <w:rFonts w:ascii="宋体" w:hAnsi="宋体"/>
                <w:color w:val="auto"/>
                <w:highlight w:val="none"/>
              </w:rPr>
            </w:pPr>
          </w:p>
        </w:tc>
        <w:tc>
          <w:tcPr>
            <w:tcW w:w="1309" w:type="dxa"/>
            <w:vAlign w:val="center"/>
          </w:tcPr>
          <w:p w14:paraId="4678D4FD">
            <w:pPr>
              <w:spacing w:line="360" w:lineRule="auto"/>
              <w:ind w:firstLine="480" w:firstLineChars="200"/>
              <w:rPr>
                <w:rFonts w:ascii="宋体" w:hAnsi="宋体"/>
                <w:color w:val="auto"/>
                <w:highlight w:val="none"/>
              </w:rPr>
            </w:pPr>
          </w:p>
        </w:tc>
        <w:tc>
          <w:tcPr>
            <w:tcW w:w="839" w:type="dxa"/>
            <w:vAlign w:val="center"/>
          </w:tcPr>
          <w:p w14:paraId="69D11C19">
            <w:pPr>
              <w:spacing w:line="360" w:lineRule="auto"/>
              <w:ind w:firstLine="480" w:firstLineChars="200"/>
              <w:rPr>
                <w:rFonts w:ascii="宋体" w:hAnsi="宋体"/>
                <w:color w:val="auto"/>
                <w:highlight w:val="none"/>
              </w:rPr>
            </w:pPr>
          </w:p>
        </w:tc>
        <w:tc>
          <w:tcPr>
            <w:tcW w:w="839" w:type="dxa"/>
          </w:tcPr>
          <w:p w14:paraId="674EFACE">
            <w:pPr>
              <w:spacing w:line="360" w:lineRule="auto"/>
              <w:ind w:firstLine="480" w:firstLineChars="200"/>
              <w:rPr>
                <w:rFonts w:ascii="宋体" w:hAnsi="宋体"/>
                <w:color w:val="auto"/>
                <w:highlight w:val="none"/>
              </w:rPr>
            </w:pPr>
          </w:p>
        </w:tc>
      </w:tr>
      <w:tr w14:paraId="136E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04F52515">
            <w:pPr>
              <w:spacing w:line="360" w:lineRule="auto"/>
              <w:ind w:firstLine="480" w:firstLineChars="200"/>
              <w:rPr>
                <w:rFonts w:ascii="宋体" w:hAnsi="宋体"/>
                <w:color w:val="auto"/>
                <w:highlight w:val="none"/>
              </w:rPr>
            </w:pPr>
          </w:p>
        </w:tc>
        <w:tc>
          <w:tcPr>
            <w:tcW w:w="1310" w:type="dxa"/>
            <w:vAlign w:val="center"/>
          </w:tcPr>
          <w:p w14:paraId="27F4E426">
            <w:pPr>
              <w:spacing w:line="360" w:lineRule="auto"/>
              <w:ind w:firstLine="480" w:firstLineChars="200"/>
              <w:rPr>
                <w:rFonts w:ascii="宋体" w:hAnsi="宋体"/>
                <w:color w:val="auto"/>
                <w:highlight w:val="none"/>
              </w:rPr>
            </w:pPr>
          </w:p>
        </w:tc>
        <w:tc>
          <w:tcPr>
            <w:tcW w:w="1310" w:type="dxa"/>
          </w:tcPr>
          <w:p w14:paraId="15A4B36B">
            <w:pPr>
              <w:spacing w:line="360" w:lineRule="auto"/>
              <w:ind w:firstLine="480" w:firstLineChars="200"/>
              <w:rPr>
                <w:rFonts w:ascii="宋体" w:hAnsi="宋体"/>
                <w:color w:val="auto"/>
                <w:highlight w:val="none"/>
              </w:rPr>
            </w:pPr>
          </w:p>
        </w:tc>
        <w:tc>
          <w:tcPr>
            <w:tcW w:w="1125" w:type="dxa"/>
            <w:vAlign w:val="center"/>
          </w:tcPr>
          <w:p w14:paraId="150A6CEA">
            <w:pPr>
              <w:spacing w:line="360" w:lineRule="auto"/>
              <w:ind w:firstLine="480" w:firstLineChars="200"/>
              <w:rPr>
                <w:rFonts w:ascii="宋体" w:hAnsi="宋体"/>
                <w:color w:val="auto"/>
                <w:highlight w:val="none"/>
              </w:rPr>
            </w:pPr>
          </w:p>
        </w:tc>
        <w:tc>
          <w:tcPr>
            <w:tcW w:w="1309" w:type="dxa"/>
            <w:vAlign w:val="center"/>
          </w:tcPr>
          <w:p w14:paraId="5E6F8632">
            <w:pPr>
              <w:spacing w:line="360" w:lineRule="auto"/>
              <w:ind w:firstLine="480" w:firstLineChars="200"/>
              <w:rPr>
                <w:rFonts w:ascii="宋体" w:hAnsi="宋体"/>
                <w:color w:val="auto"/>
                <w:highlight w:val="none"/>
              </w:rPr>
            </w:pPr>
          </w:p>
        </w:tc>
        <w:tc>
          <w:tcPr>
            <w:tcW w:w="1309" w:type="dxa"/>
            <w:vAlign w:val="center"/>
          </w:tcPr>
          <w:p w14:paraId="7EFCF8A9">
            <w:pPr>
              <w:spacing w:line="360" w:lineRule="auto"/>
              <w:ind w:firstLine="480" w:firstLineChars="200"/>
              <w:rPr>
                <w:rFonts w:ascii="宋体" w:hAnsi="宋体"/>
                <w:color w:val="auto"/>
                <w:highlight w:val="none"/>
              </w:rPr>
            </w:pPr>
          </w:p>
        </w:tc>
        <w:tc>
          <w:tcPr>
            <w:tcW w:w="839" w:type="dxa"/>
            <w:vAlign w:val="center"/>
          </w:tcPr>
          <w:p w14:paraId="2EDF2617">
            <w:pPr>
              <w:spacing w:line="360" w:lineRule="auto"/>
              <w:ind w:firstLine="480" w:firstLineChars="200"/>
              <w:rPr>
                <w:rFonts w:ascii="宋体" w:hAnsi="宋体"/>
                <w:color w:val="auto"/>
                <w:highlight w:val="none"/>
              </w:rPr>
            </w:pPr>
          </w:p>
        </w:tc>
        <w:tc>
          <w:tcPr>
            <w:tcW w:w="839" w:type="dxa"/>
          </w:tcPr>
          <w:p w14:paraId="767108CB">
            <w:pPr>
              <w:spacing w:line="360" w:lineRule="auto"/>
              <w:ind w:firstLine="480" w:firstLineChars="200"/>
              <w:rPr>
                <w:rFonts w:ascii="宋体" w:hAnsi="宋体"/>
                <w:color w:val="auto"/>
                <w:highlight w:val="none"/>
              </w:rPr>
            </w:pPr>
          </w:p>
        </w:tc>
      </w:tr>
      <w:tr w14:paraId="040B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60422411">
            <w:pPr>
              <w:spacing w:line="360" w:lineRule="auto"/>
              <w:ind w:firstLine="480" w:firstLineChars="200"/>
              <w:rPr>
                <w:rFonts w:ascii="宋体" w:hAnsi="宋体"/>
                <w:color w:val="auto"/>
                <w:highlight w:val="none"/>
              </w:rPr>
            </w:pPr>
          </w:p>
        </w:tc>
        <w:tc>
          <w:tcPr>
            <w:tcW w:w="1310" w:type="dxa"/>
            <w:vAlign w:val="center"/>
          </w:tcPr>
          <w:p w14:paraId="4BA6491B">
            <w:pPr>
              <w:spacing w:line="360" w:lineRule="auto"/>
              <w:ind w:firstLine="480" w:firstLineChars="200"/>
              <w:rPr>
                <w:rFonts w:ascii="宋体" w:hAnsi="宋体"/>
                <w:color w:val="auto"/>
                <w:highlight w:val="none"/>
              </w:rPr>
            </w:pPr>
          </w:p>
        </w:tc>
        <w:tc>
          <w:tcPr>
            <w:tcW w:w="1310" w:type="dxa"/>
          </w:tcPr>
          <w:p w14:paraId="6D444E13">
            <w:pPr>
              <w:spacing w:line="360" w:lineRule="auto"/>
              <w:ind w:firstLine="480" w:firstLineChars="200"/>
              <w:rPr>
                <w:rFonts w:ascii="宋体" w:hAnsi="宋体"/>
                <w:color w:val="auto"/>
                <w:highlight w:val="none"/>
              </w:rPr>
            </w:pPr>
          </w:p>
        </w:tc>
        <w:tc>
          <w:tcPr>
            <w:tcW w:w="1125" w:type="dxa"/>
            <w:vAlign w:val="center"/>
          </w:tcPr>
          <w:p w14:paraId="0DD832B6">
            <w:pPr>
              <w:spacing w:line="360" w:lineRule="auto"/>
              <w:ind w:firstLine="480" w:firstLineChars="200"/>
              <w:rPr>
                <w:rFonts w:ascii="宋体" w:hAnsi="宋体"/>
                <w:color w:val="auto"/>
                <w:highlight w:val="none"/>
              </w:rPr>
            </w:pPr>
          </w:p>
        </w:tc>
        <w:tc>
          <w:tcPr>
            <w:tcW w:w="1309" w:type="dxa"/>
            <w:vAlign w:val="center"/>
          </w:tcPr>
          <w:p w14:paraId="67941367">
            <w:pPr>
              <w:spacing w:line="360" w:lineRule="auto"/>
              <w:ind w:firstLine="480" w:firstLineChars="200"/>
              <w:rPr>
                <w:rFonts w:ascii="宋体" w:hAnsi="宋体"/>
                <w:color w:val="auto"/>
                <w:highlight w:val="none"/>
              </w:rPr>
            </w:pPr>
          </w:p>
        </w:tc>
        <w:tc>
          <w:tcPr>
            <w:tcW w:w="1309" w:type="dxa"/>
            <w:vAlign w:val="center"/>
          </w:tcPr>
          <w:p w14:paraId="137ABFC2">
            <w:pPr>
              <w:spacing w:line="360" w:lineRule="auto"/>
              <w:ind w:firstLine="480" w:firstLineChars="200"/>
              <w:rPr>
                <w:rFonts w:ascii="宋体" w:hAnsi="宋体"/>
                <w:color w:val="auto"/>
                <w:highlight w:val="none"/>
              </w:rPr>
            </w:pPr>
          </w:p>
        </w:tc>
        <w:tc>
          <w:tcPr>
            <w:tcW w:w="839" w:type="dxa"/>
            <w:vAlign w:val="center"/>
          </w:tcPr>
          <w:p w14:paraId="55D17073">
            <w:pPr>
              <w:spacing w:line="360" w:lineRule="auto"/>
              <w:ind w:firstLine="480" w:firstLineChars="200"/>
              <w:rPr>
                <w:rFonts w:ascii="宋体" w:hAnsi="宋体"/>
                <w:color w:val="auto"/>
                <w:highlight w:val="none"/>
              </w:rPr>
            </w:pPr>
          </w:p>
        </w:tc>
        <w:tc>
          <w:tcPr>
            <w:tcW w:w="839" w:type="dxa"/>
          </w:tcPr>
          <w:p w14:paraId="4E18691F">
            <w:pPr>
              <w:spacing w:line="360" w:lineRule="auto"/>
              <w:ind w:firstLine="480" w:firstLineChars="200"/>
              <w:rPr>
                <w:rFonts w:ascii="宋体" w:hAnsi="宋体"/>
                <w:color w:val="auto"/>
                <w:highlight w:val="none"/>
              </w:rPr>
            </w:pPr>
          </w:p>
        </w:tc>
      </w:tr>
      <w:tr w14:paraId="7ED4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7C897785">
            <w:pPr>
              <w:spacing w:line="360" w:lineRule="auto"/>
              <w:ind w:firstLine="480" w:firstLineChars="200"/>
              <w:rPr>
                <w:rFonts w:ascii="宋体" w:hAnsi="宋体"/>
                <w:color w:val="auto"/>
                <w:highlight w:val="none"/>
              </w:rPr>
            </w:pPr>
          </w:p>
        </w:tc>
        <w:tc>
          <w:tcPr>
            <w:tcW w:w="1310" w:type="dxa"/>
            <w:vAlign w:val="center"/>
          </w:tcPr>
          <w:p w14:paraId="4F623232">
            <w:pPr>
              <w:spacing w:line="360" w:lineRule="auto"/>
              <w:ind w:firstLine="480" w:firstLineChars="200"/>
              <w:rPr>
                <w:rFonts w:ascii="宋体" w:hAnsi="宋体"/>
                <w:color w:val="auto"/>
                <w:highlight w:val="none"/>
              </w:rPr>
            </w:pPr>
          </w:p>
        </w:tc>
        <w:tc>
          <w:tcPr>
            <w:tcW w:w="1310" w:type="dxa"/>
          </w:tcPr>
          <w:p w14:paraId="5BC9B7F6">
            <w:pPr>
              <w:spacing w:line="360" w:lineRule="auto"/>
              <w:ind w:firstLine="480" w:firstLineChars="200"/>
              <w:rPr>
                <w:rFonts w:ascii="宋体" w:hAnsi="宋体"/>
                <w:color w:val="auto"/>
                <w:highlight w:val="none"/>
              </w:rPr>
            </w:pPr>
          </w:p>
        </w:tc>
        <w:tc>
          <w:tcPr>
            <w:tcW w:w="1125" w:type="dxa"/>
            <w:vAlign w:val="center"/>
          </w:tcPr>
          <w:p w14:paraId="750DD7F5">
            <w:pPr>
              <w:spacing w:line="360" w:lineRule="auto"/>
              <w:ind w:firstLine="480" w:firstLineChars="200"/>
              <w:rPr>
                <w:rFonts w:ascii="宋体" w:hAnsi="宋体"/>
                <w:color w:val="auto"/>
                <w:highlight w:val="none"/>
              </w:rPr>
            </w:pPr>
          </w:p>
        </w:tc>
        <w:tc>
          <w:tcPr>
            <w:tcW w:w="1309" w:type="dxa"/>
            <w:vAlign w:val="center"/>
          </w:tcPr>
          <w:p w14:paraId="4E8DA8B9">
            <w:pPr>
              <w:spacing w:line="360" w:lineRule="auto"/>
              <w:ind w:firstLine="480" w:firstLineChars="200"/>
              <w:rPr>
                <w:rFonts w:ascii="宋体" w:hAnsi="宋体"/>
                <w:color w:val="auto"/>
                <w:highlight w:val="none"/>
              </w:rPr>
            </w:pPr>
          </w:p>
        </w:tc>
        <w:tc>
          <w:tcPr>
            <w:tcW w:w="1309" w:type="dxa"/>
            <w:vAlign w:val="center"/>
          </w:tcPr>
          <w:p w14:paraId="686EFFEB">
            <w:pPr>
              <w:spacing w:line="360" w:lineRule="auto"/>
              <w:ind w:firstLine="480" w:firstLineChars="200"/>
              <w:rPr>
                <w:rFonts w:ascii="宋体" w:hAnsi="宋体"/>
                <w:color w:val="auto"/>
                <w:highlight w:val="none"/>
              </w:rPr>
            </w:pPr>
          </w:p>
        </w:tc>
        <w:tc>
          <w:tcPr>
            <w:tcW w:w="839" w:type="dxa"/>
            <w:vAlign w:val="center"/>
          </w:tcPr>
          <w:p w14:paraId="55C4E360">
            <w:pPr>
              <w:spacing w:line="360" w:lineRule="auto"/>
              <w:ind w:firstLine="480" w:firstLineChars="200"/>
              <w:rPr>
                <w:rFonts w:ascii="宋体" w:hAnsi="宋体"/>
                <w:color w:val="auto"/>
                <w:highlight w:val="none"/>
              </w:rPr>
            </w:pPr>
          </w:p>
        </w:tc>
        <w:tc>
          <w:tcPr>
            <w:tcW w:w="839" w:type="dxa"/>
          </w:tcPr>
          <w:p w14:paraId="2C7D3F76">
            <w:pPr>
              <w:spacing w:line="360" w:lineRule="auto"/>
              <w:ind w:firstLine="480" w:firstLineChars="200"/>
              <w:rPr>
                <w:rFonts w:ascii="宋体" w:hAnsi="宋体"/>
                <w:color w:val="auto"/>
                <w:highlight w:val="none"/>
              </w:rPr>
            </w:pPr>
          </w:p>
        </w:tc>
      </w:tr>
      <w:tr w14:paraId="14F6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0EB2F950">
            <w:pPr>
              <w:spacing w:line="360" w:lineRule="auto"/>
              <w:ind w:firstLine="480" w:firstLineChars="200"/>
              <w:rPr>
                <w:rFonts w:ascii="宋体" w:hAnsi="宋体"/>
                <w:color w:val="auto"/>
                <w:highlight w:val="none"/>
              </w:rPr>
            </w:pPr>
          </w:p>
        </w:tc>
        <w:tc>
          <w:tcPr>
            <w:tcW w:w="1310" w:type="dxa"/>
            <w:vAlign w:val="center"/>
          </w:tcPr>
          <w:p w14:paraId="3EE69FBA">
            <w:pPr>
              <w:spacing w:line="360" w:lineRule="auto"/>
              <w:ind w:firstLine="480" w:firstLineChars="200"/>
              <w:rPr>
                <w:rFonts w:ascii="宋体" w:hAnsi="宋体"/>
                <w:color w:val="auto"/>
                <w:highlight w:val="none"/>
              </w:rPr>
            </w:pPr>
          </w:p>
        </w:tc>
        <w:tc>
          <w:tcPr>
            <w:tcW w:w="1310" w:type="dxa"/>
          </w:tcPr>
          <w:p w14:paraId="22373594">
            <w:pPr>
              <w:spacing w:line="360" w:lineRule="auto"/>
              <w:ind w:firstLine="480" w:firstLineChars="200"/>
              <w:rPr>
                <w:rFonts w:ascii="宋体" w:hAnsi="宋体"/>
                <w:color w:val="auto"/>
                <w:highlight w:val="none"/>
              </w:rPr>
            </w:pPr>
          </w:p>
        </w:tc>
        <w:tc>
          <w:tcPr>
            <w:tcW w:w="1125" w:type="dxa"/>
            <w:vAlign w:val="center"/>
          </w:tcPr>
          <w:p w14:paraId="4F7A6F88">
            <w:pPr>
              <w:spacing w:line="360" w:lineRule="auto"/>
              <w:ind w:firstLine="480" w:firstLineChars="200"/>
              <w:rPr>
                <w:rFonts w:ascii="宋体" w:hAnsi="宋体"/>
                <w:color w:val="auto"/>
                <w:highlight w:val="none"/>
              </w:rPr>
            </w:pPr>
          </w:p>
        </w:tc>
        <w:tc>
          <w:tcPr>
            <w:tcW w:w="1309" w:type="dxa"/>
            <w:vAlign w:val="center"/>
          </w:tcPr>
          <w:p w14:paraId="7F515B6F">
            <w:pPr>
              <w:spacing w:line="360" w:lineRule="auto"/>
              <w:ind w:firstLine="480" w:firstLineChars="200"/>
              <w:rPr>
                <w:rFonts w:ascii="宋体" w:hAnsi="宋体"/>
                <w:color w:val="auto"/>
                <w:highlight w:val="none"/>
              </w:rPr>
            </w:pPr>
          </w:p>
        </w:tc>
        <w:tc>
          <w:tcPr>
            <w:tcW w:w="1309" w:type="dxa"/>
            <w:vAlign w:val="center"/>
          </w:tcPr>
          <w:p w14:paraId="7CFC3649">
            <w:pPr>
              <w:spacing w:line="360" w:lineRule="auto"/>
              <w:ind w:firstLine="480" w:firstLineChars="200"/>
              <w:rPr>
                <w:rFonts w:ascii="宋体" w:hAnsi="宋体"/>
                <w:color w:val="auto"/>
                <w:highlight w:val="none"/>
              </w:rPr>
            </w:pPr>
          </w:p>
        </w:tc>
        <w:tc>
          <w:tcPr>
            <w:tcW w:w="839" w:type="dxa"/>
            <w:vAlign w:val="center"/>
          </w:tcPr>
          <w:p w14:paraId="50756631">
            <w:pPr>
              <w:spacing w:line="360" w:lineRule="auto"/>
              <w:ind w:firstLine="480" w:firstLineChars="200"/>
              <w:rPr>
                <w:rFonts w:ascii="宋体" w:hAnsi="宋体"/>
                <w:color w:val="auto"/>
                <w:highlight w:val="none"/>
              </w:rPr>
            </w:pPr>
          </w:p>
        </w:tc>
        <w:tc>
          <w:tcPr>
            <w:tcW w:w="839" w:type="dxa"/>
          </w:tcPr>
          <w:p w14:paraId="34CE26D1">
            <w:pPr>
              <w:spacing w:line="360" w:lineRule="auto"/>
              <w:ind w:firstLine="480" w:firstLineChars="200"/>
              <w:rPr>
                <w:rFonts w:ascii="宋体" w:hAnsi="宋体"/>
                <w:color w:val="auto"/>
                <w:highlight w:val="none"/>
              </w:rPr>
            </w:pPr>
          </w:p>
        </w:tc>
      </w:tr>
      <w:tr w14:paraId="490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518D9CDB">
            <w:pPr>
              <w:spacing w:line="360" w:lineRule="auto"/>
              <w:ind w:firstLine="480" w:firstLineChars="200"/>
              <w:rPr>
                <w:rFonts w:ascii="宋体" w:hAnsi="宋体"/>
                <w:color w:val="auto"/>
                <w:highlight w:val="none"/>
              </w:rPr>
            </w:pPr>
          </w:p>
        </w:tc>
        <w:tc>
          <w:tcPr>
            <w:tcW w:w="1310" w:type="dxa"/>
            <w:vAlign w:val="center"/>
          </w:tcPr>
          <w:p w14:paraId="74131F11">
            <w:pPr>
              <w:spacing w:line="360" w:lineRule="auto"/>
              <w:ind w:firstLine="480" w:firstLineChars="200"/>
              <w:rPr>
                <w:rFonts w:ascii="宋体" w:hAnsi="宋体"/>
                <w:color w:val="auto"/>
                <w:highlight w:val="none"/>
              </w:rPr>
            </w:pPr>
          </w:p>
        </w:tc>
        <w:tc>
          <w:tcPr>
            <w:tcW w:w="1310" w:type="dxa"/>
          </w:tcPr>
          <w:p w14:paraId="2A986869">
            <w:pPr>
              <w:spacing w:line="360" w:lineRule="auto"/>
              <w:ind w:firstLine="480" w:firstLineChars="200"/>
              <w:rPr>
                <w:rFonts w:ascii="宋体" w:hAnsi="宋体"/>
                <w:color w:val="auto"/>
                <w:highlight w:val="none"/>
              </w:rPr>
            </w:pPr>
          </w:p>
        </w:tc>
        <w:tc>
          <w:tcPr>
            <w:tcW w:w="1125" w:type="dxa"/>
            <w:vAlign w:val="center"/>
          </w:tcPr>
          <w:p w14:paraId="4EABC83A">
            <w:pPr>
              <w:spacing w:line="360" w:lineRule="auto"/>
              <w:ind w:firstLine="480" w:firstLineChars="200"/>
              <w:rPr>
                <w:rFonts w:ascii="宋体" w:hAnsi="宋体"/>
                <w:color w:val="auto"/>
                <w:highlight w:val="none"/>
              </w:rPr>
            </w:pPr>
          </w:p>
        </w:tc>
        <w:tc>
          <w:tcPr>
            <w:tcW w:w="1309" w:type="dxa"/>
            <w:vAlign w:val="center"/>
          </w:tcPr>
          <w:p w14:paraId="228CC1C7">
            <w:pPr>
              <w:spacing w:line="360" w:lineRule="auto"/>
              <w:ind w:firstLine="480" w:firstLineChars="200"/>
              <w:rPr>
                <w:rFonts w:ascii="宋体" w:hAnsi="宋体"/>
                <w:color w:val="auto"/>
                <w:highlight w:val="none"/>
              </w:rPr>
            </w:pPr>
          </w:p>
        </w:tc>
        <w:tc>
          <w:tcPr>
            <w:tcW w:w="1309" w:type="dxa"/>
            <w:vAlign w:val="center"/>
          </w:tcPr>
          <w:p w14:paraId="6A1A01AA">
            <w:pPr>
              <w:spacing w:line="360" w:lineRule="auto"/>
              <w:ind w:firstLine="480" w:firstLineChars="200"/>
              <w:rPr>
                <w:rFonts w:ascii="宋体" w:hAnsi="宋体"/>
                <w:color w:val="auto"/>
                <w:highlight w:val="none"/>
              </w:rPr>
            </w:pPr>
          </w:p>
        </w:tc>
        <w:tc>
          <w:tcPr>
            <w:tcW w:w="839" w:type="dxa"/>
            <w:vAlign w:val="center"/>
          </w:tcPr>
          <w:p w14:paraId="2C04EA1B">
            <w:pPr>
              <w:spacing w:line="360" w:lineRule="auto"/>
              <w:ind w:firstLine="480" w:firstLineChars="200"/>
              <w:rPr>
                <w:rFonts w:ascii="宋体" w:hAnsi="宋体"/>
                <w:color w:val="auto"/>
                <w:highlight w:val="none"/>
              </w:rPr>
            </w:pPr>
          </w:p>
        </w:tc>
        <w:tc>
          <w:tcPr>
            <w:tcW w:w="839" w:type="dxa"/>
          </w:tcPr>
          <w:p w14:paraId="4AF80673">
            <w:pPr>
              <w:spacing w:line="360" w:lineRule="auto"/>
              <w:ind w:firstLine="480" w:firstLineChars="200"/>
              <w:rPr>
                <w:rFonts w:ascii="宋体" w:hAnsi="宋体"/>
                <w:color w:val="auto"/>
                <w:highlight w:val="none"/>
              </w:rPr>
            </w:pPr>
          </w:p>
        </w:tc>
      </w:tr>
      <w:tr w14:paraId="588F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30F4388D">
            <w:pPr>
              <w:spacing w:line="360" w:lineRule="auto"/>
              <w:ind w:firstLine="480" w:firstLineChars="200"/>
              <w:rPr>
                <w:rFonts w:ascii="宋体" w:hAnsi="宋体"/>
                <w:color w:val="auto"/>
                <w:highlight w:val="none"/>
              </w:rPr>
            </w:pPr>
          </w:p>
        </w:tc>
        <w:tc>
          <w:tcPr>
            <w:tcW w:w="1310" w:type="dxa"/>
            <w:vAlign w:val="center"/>
          </w:tcPr>
          <w:p w14:paraId="31357738">
            <w:pPr>
              <w:spacing w:line="360" w:lineRule="auto"/>
              <w:ind w:firstLine="480" w:firstLineChars="200"/>
              <w:rPr>
                <w:rFonts w:ascii="宋体" w:hAnsi="宋体"/>
                <w:color w:val="auto"/>
                <w:highlight w:val="none"/>
              </w:rPr>
            </w:pPr>
          </w:p>
        </w:tc>
        <w:tc>
          <w:tcPr>
            <w:tcW w:w="1310" w:type="dxa"/>
          </w:tcPr>
          <w:p w14:paraId="23ECEAB6">
            <w:pPr>
              <w:spacing w:line="360" w:lineRule="auto"/>
              <w:ind w:firstLine="480" w:firstLineChars="200"/>
              <w:rPr>
                <w:rFonts w:ascii="宋体" w:hAnsi="宋体"/>
                <w:color w:val="auto"/>
                <w:highlight w:val="none"/>
              </w:rPr>
            </w:pPr>
          </w:p>
        </w:tc>
        <w:tc>
          <w:tcPr>
            <w:tcW w:w="1125" w:type="dxa"/>
            <w:vAlign w:val="center"/>
          </w:tcPr>
          <w:p w14:paraId="1199F284">
            <w:pPr>
              <w:spacing w:line="360" w:lineRule="auto"/>
              <w:ind w:firstLine="480" w:firstLineChars="200"/>
              <w:rPr>
                <w:rFonts w:ascii="宋体" w:hAnsi="宋体"/>
                <w:color w:val="auto"/>
                <w:highlight w:val="none"/>
              </w:rPr>
            </w:pPr>
          </w:p>
        </w:tc>
        <w:tc>
          <w:tcPr>
            <w:tcW w:w="1309" w:type="dxa"/>
            <w:vAlign w:val="center"/>
          </w:tcPr>
          <w:p w14:paraId="5DD46778">
            <w:pPr>
              <w:spacing w:line="360" w:lineRule="auto"/>
              <w:ind w:firstLine="480" w:firstLineChars="200"/>
              <w:rPr>
                <w:rFonts w:ascii="宋体" w:hAnsi="宋体"/>
                <w:color w:val="auto"/>
                <w:highlight w:val="none"/>
              </w:rPr>
            </w:pPr>
          </w:p>
        </w:tc>
        <w:tc>
          <w:tcPr>
            <w:tcW w:w="1309" w:type="dxa"/>
            <w:vAlign w:val="center"/>
          </w:tcPr>
          <w:p w14:paraId="7F0C31D6">
            <w:pPr>
              <w:spacing w:line="360" w:lineRule="auto"/>
              <w:ind w:firstLine="480" w:firstLineChars="200"/>
              <w:rPr>
                <w:rFonts w:ascii="宋体" w:hAnsi="宋体"/>
                <w:color w:val="auto"/>
                <w:highlight w:val="none"/>
              </w:rPr>
            </w:pPr>
          </w:p>
        </w:tc>
        <w:tc>
          <w:tcPr>
            <w:tcW w:w="839" w:type="dxa"/>
            <w:vAlign w:val="center"/>
          </w:tcPr>
          <w:p w14:paraId="2983E237">
            <w:pPr>
              <w:spacing w:line="360" w:lineRule="auto"/>
              <w:ind w:firstLine="480" w:firstLineChars="200"/>
              <w:rPr>
                <w:rFonts w:ascii="宋体" w:hAnsi="宋体"/>
                <w:color w:val="auto"/>
                <w:highlight w:val="none"/>
              </w:rPr>
            </w:pPr>
          </w:p>
        </w:tc>
        <w:tc>
          <w:tcPr>
            <w:tcW w:w="839" w:type="dxa"/>
          </w:tcPr>
          <w:p w14:paraId="3F3309B5">
            <w:pPr>
              <w:spacing w:line="360" w:lineRule="auto"/>
              <w:ind w:firstLine="480" w:firstLineChars="200"/>
              <w:rPr>
                <w:rFonts w:ascii="宋体" w:hAnsi="宋体"/>
                <w:color w:val="auto"/>
                <w:highlight w:val="none"/>
              </w:rPr>
            </w:pPr>
          </w:p>
        </w:tc>
      </w:tr>
      <w:tr w14:paraId="1E2E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5" w:type="dxa"/>
            <w:vAlign w:val="center"/>
          </w:tcPr>
          <w:p w14:paraId="21D6AD02">
            <w:pPr>
              <w:spacing w:line="360" w:lineRule="auto"/>
              <w:ind w:firstLine="480" w:firstLineChars="200"/>
              <w:rPr>
                <w:rFonts w:ascii="宋体" w:hAnsi="宋体"/>
                <w:color w:val="auto"/>
                <w:highlight w:val="none"/>
              </w:rPr>
            </w:pPr>
          </w:p>
        </w:tc>
        <w:tc>
          <w:tcPr>
            <w:tcW w:w="1310" w:type="dxa"/>
            <w:vAlign w:val="center"/>
          </w:tcPr>
          <w:p w14:paraId="7057EC12">
            <w:pPr>
              <w:spacing w:line="360" w:lineRule="auto"/>
              <w:ind w:firstLine="480" w:firstLineChars="200"/>
              <w:rPr>
                <w:rFonts w:ascii="宋体" w:hAnsi="宋体"/>
                <w:color w:val="auto"/>
                <w:highlight w:val="none"/>
              </w:rPr>
            </w:pPr>
          </w:p>
        </w:tc>
        <w:tc>
          <w:tcPr>
            <w:tcW w:w="1310" w:type="dxa"/>
          </w:tcPr>
          <w:p w14:paraId="2BDA284E">
            <w:pPr>
              <w:spacing w:line="360" w:lineRule="auto"/>
              <w:ind w:firstLine="480" w:firstLineChars="200"/>
              <w:rPr>
                <w:rFonts w:ascii="宋体" w:hAnsi="宋体"/>
                <w:color w:val="auto"/>
                <w:highlight w:val="none"/>
              </w:rPr>
            </w:pPr>
          </w:p>
        </w:tc>
        <w:tc>
          <w:tcPr>
            <w:tcW w:w="1125" w:type="dxa"/>
            <w:vAlign w:val="center"/>
          </w:tcPr>
          <w:p w14:paraId="4ED43FAC">
            <w:pPr>
              <w:spacing w:line="360" w:lineRule="auto"/>
              <w:ind w:firstLine="480" w:firstLineChars="200"/>
              <w:rPr>
                <w:rFonts w:ascii="宋体" w:hAnsi="宋体"/>
                <w:color w:val="auto"/>
                <w:highlight w:val="none"/>
              </w:rPr>
            </w:pPr>
          </w:p>
        </w:tc>
        <w:tc>
          <w:tcPr>
            <w:tcW w:w="1309" w:type="dxa"/>
            <w:vAlign w:val="center"/>
          </w:tcPr>
          <w:p w14:paraId="7ECF31BB">
            <w:pPr>
              <w:spacing w:line="360" w:lineRule="auto"/>
              <w:ind w:firstLine="480" w:firstLineChars="200"/>
              <w:rPr>
                <w:rFonts w:ascii="宋体" w:hAnsi="宋体"/>
                <w:color w:val="auto"/>
                <w:highlight w:val="none"/>
              </w:rPr>
            </w:pPr>
          </w:p>
        </w:tc>
        <w:tc>
          <w:tcPr>
            <w:tcW w:w="1309" w:type="dxa"/>
            <w:vAlign w:val="center"/>
          </w:tcPr>
          <w:p w14:paraId="780C454F">
            <w:pPr>
              <w:spacing w:line="360" w:lineRule="auto"/>
              <w:ind w:firstLine="480" w:firstLineChars="200"/>
              <w:rPr>
                <w:rFonts w:ascii="宋体" w:hAnsi="宋体"/>
                <w:color w:val="auto"/>
                <w:highlight w:val="none"/>
              </w:rPr>
            </w:pPr>
          </w:p>
        </w:tc>
        <w:tc>
          <w:tcPr>
            <w:tcW w:w="839" w:type="dxa"/>
            <w:vAlign w:val="center"/>
          </w:tcPr>
          <w:p w14:paraId="2B7ECAB6">
            <w:pPr>
              <w:spacing w:line="360" w:lineRule="auto"/>
              <w:ind w:firstLine="480" w:firstLineChars="200"/>
              <w:rPr>
                <w:rFonts w:ascii="宋体" w:hAnsi="宋体"/>
                <w:color w:val="auto"/>
                <w:highlight w:val="none"/>
              </w:rPr>
            </w:pPr>
          </w:p>
        </w:tc>
        <w:tc>
          <w:tcPr>
            <w:tcW w:w="839" w:type="dxa"/>
          </w:tcPr>
          <w:p w14:paraId="373DCB4F">
            <w:pPr>
              <w:spacing w:line="360" w:lineRule="auto"/>
              <w:ind w:firstLine="480" w:firstLineChars="200"/>
              <w:rPr>
                <w:rFonts w:ascii="宋体" w:hAnsi="宋体"/>
                <w:color w:val="auto"/>
                <w:highlight w:val="none"/>
              </w:rPr>
            </w:pPr>
          </w:p>
        </w:tc>
      </w:tr>
    </w:tbl>
    <w:p w14:paraId="004652C4">
      <w:pPr>
        <w:spacing w:line="360" w:lineRule="auto"/>
        <w:rPr>
          <w:rFonts w:ascii="宋体" w:hAnsi="宋体"/>
          <w:color w:val="auto"/>
          <w:highlight w:val="none"/>
        </w:rPr>
      </w:pPr>
      <w:r>
        <w:rPr>
          <w:rFonts w:hint="eastAsia" w:ascii="宋体" w:hAnsi="宋体"/>
          <w:color w:val="auto"/>
          <w:highlight w:val="none"/>
        </w:rPr>
        <w:t>说明：1、提供的各类车辆具有产权，或租赁，或雇用等均可。但必须提供相关证明材料，具有产权关系的须提供产权证明、租赁和雇用的提供相关合同、协议（复印件均存投标文件中）。</w:t>
      </w:r>
    </w:p>
    <w:p w14:paraId="3E163F93">
      <w:pPr>
        <w:pStyle w:val="2"/>
        <w:spacing w:after="0" w:line="360" w:lineRule="auto"/>
        <w:ind w:firstLine="1606" w:firstLineChars="500"/>
        <w:rPr>
          <w:rFonts w:ascii="宋体" w:hAnsi="宋体"/>
          <w:b/>
          <w:color w:val="auto"/>
          <w:sz w:val="32"/>
          <w:szCs w:val="32"/>
          <w:highlight w:val="none"/>
        </w:rPr>
        <w:sectPr>
          <w:pgSz w:w="11906" w:h="16838"/>
          <w:pgMar w:top="1418" w:right="1418" w:bottom="1418" w:left="1418" w:header="851" w:footer="851" w:gutter="0"/>
          <w:cols w:space="720" w:num="1"/>
          <w:docGrid w:linePitch="312" w:charSpace="0"/>
        </w:sectPr>
      </w:pPr>
    </w:p>
    <w:p w14:paraId="203CBCE8">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7、</w:t>
      </w:r>
      <w:r>
        <w:rPr>
          <w:rFonts w:hint="eastAsia" w:ascii="宋体" w:hAnsi="宋体"/>
          <w:b/>
          <w:color w:val="auto"/>
          <w:sz w:val="30"/>
          <w:szCs w:val="30"/>
          <w:highlight w:val="none"/>
          <w:lang w:eastAsia="zh-CN"/>
        </w:rPr>
        <w:t>其他</w:t>
      </w:r>
      <w:r>
        <w:rPr>
          <w:rFonts w:hint="eastAsia" w:ascii="宋体" w:hAnsi="宋体"/>
          <w:b/>
          <w:color w:val="auto"/>
          <w:sz w:val="30"/>
          <w:szCs w:val="30"/>
          <w:highlight w:val="none"/>
        </w:rPr>
        <w:t>相关证明材料</w:t>
      </w:r>
    </w:p>
    <w:p w14:paraId="773790FA">
      <w:pPr>
        <w:pStyle w:val="2"/>
        <w:spacing w:after="0" w:line="360" w:lineRule="auto"/>
        <w:rPr>
          <w:rFonts w:ascii="宋体" w:hAnsi="宋体"/>
          <w:b/>
          <w:color w:val="auto"/>
          <w:sz w:val="32"/>
          <w:szCs w:val="32"/>
          <w:highlight w:val="none"/>
        </w:rPr>
      </w:pPr>
    </w:p>
    <w:p w14:paraId="60B4AB81">
      <w:pPr>
        <w:pStyle w:val="2"/>
        <w:spacing w:after="0" w:line="360" w:lineRule="auto"/>
        <w:rPr>
          <w:rFonts w:ascii="宋体" w:hAnsi="宋体"/>
          <w:b/>
          <w:color w:val="auto"/>
          <w:sz w:val="32"/>
          <w:szCs w:val="32"/>
          <w:highlight w:val="none"/>
        </w:rPr>
      </w:pPr>
    </w:p>
    <w:p w14:paraId="06795FAB">
      <w:pPr>
        <w:spacing w:line="360" w:lineRule="auto"/>
        <w:ind w:firstLine="602" w:firstLineChars="200"/>
        <w:jc w:val="center"/>
        <w:rPr>
          <w:rFonts w:ascii="宋体" w:hAnsi="宋体"/>
          <w:b/>
          <w:color w:val="auto"/>
          <w:sz w:val="30"/>
          <w:szCs w:val="30"/>
          <w:highlight w:val="none"/>
        </w:rPr>
        <w:sectPr>
          <w:pgSz w:w="11906" w:h="16838"/>
          <w:pgMar w:top="1418" w:right="1418" w:bottom="1418" w:left="1418" w:header="851" w:footer="851" w:gutter="0"/>
          <w:cols w:space="720" w:num="1"/>
          <w:docGrid w:linePitch="312" w:charSpace="0"/>
        </w:sectPr>
      </w:pPr>
    </w:p>
    <w:p w14:paraId="64312080">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、投标人</w:t>
      </w:r>
      <w:r>
        <w:rPr>
          <w:rFonts w:ascii="宋体" w:hAnsi="宋体"/>
          <w:b/>
          <w:color w:val="auto"/>
          <w:sz w:val="30"/>
          <w:szCs w:val="30"/>
          <w:highlight w:val="none"/>
        </w:rPr>
        <w:t>承诺</w:t>
      </w:r>
      <w:r>
        <w:rPr>
          <w:rFonts w:hint="eastAsia" w:ascii="宋体" w:hAnsi="宋体"/>
          <w:b/>
          <w:color w:val="auto"/>
          <w:sz w:val="30"/>
          <w:szCs w:val="30"/>
          <w:highlight w:val="none"/>
        </w:rPr>
        <w:t>保证安全生产方案</w:t>
      </w:r>
    </w:p>
    <w:p w14:paraId="11BCB4A4">
      <w:pPr>
        <w:spacing w:line="360" w:lineRule="auto"/>
        <w:ind w:firstLine="3480" w:firstLineChars="1450"/>
        <w:rPr>
          <w:rFonts w:ascii="宋体" w:hAnsi="宋体"/>
          <w:color w:val="auto"/>
          <w:highlight w:val="none"/>
        </w:rPr>
      </w:pPr>
      <w:r>
        <w:rPr>
          <w:rFonts w:hint="eastAsia" w:ascii="宋体" w:hAnsi="宋体"/>
          <w:color w:val="auto"/>
          <w:highlight w:val="none"/>
        </w:rPr>
        <w:t>（格式自拟）</w:t>
      </w:r>
    </w:p>
    <w:p w14:paraId="6DD5A9BA">
      <w:pPr>
        <w:pStyle w:val="7"/>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说明：</w:t>
      </w:r>
    </w:p>
    <w:p w14:paraId="4050A29A">
      <w:pPr>
        <w:pStyle w:val="7"/>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该方案包括但不限于：</w:t>
      </w:r>
    </w:p>
    <w:p w14:paraId="28A10F1E">
      <w:pPr>
        <w:pStyle w:val="7"/>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1、项目安全保证承诺；</w:t>
      </w:r>
    </w:p>
    <w:p w14:paraId="5E843482">
      <w:pPr>
        <w:pStyle w:val="7"/>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2、紧急情况的预防及处理承诺和措施；</w:t>
      </w:r>
    </w:p>
    <w:p w14:paraId="78C58393">
      <w:pPr>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3、需要招标人协助解决的相关问题；</w:t>
      </w:r>
    </w:p>
    <w:p w14:paraId="120003FD">
      <w:pPr>
        <w:spacing w:line="360" w:lineRule="auto"/>
        <w:ind w:firstLine="480" w:firstLineChars="200"/>
        <w:rPr>
          <w:rFonts w:ascii="宋体" w:hAnsi="宋体"/>
          <w:color w:val="auto"/>
          <w:szCs w:val="28"/>
          <w:highlight w:val="none"/>
        </w:rPr>
      </w:pPr>
      <w:r>
        <w:rPr>
          <w:rFonts w:hint="eastAsia" w:ascii="宋体" w:hAnsi="宋体"/>
          <w:color w:val="auto"/>
          <w:szCs w:val="28"/>
          <w:highlight w:val="none"/>
        </w:rPr>
        <w:t>4、投标人认为需提供的其它文件。</w:t>
      </w:r>
    </w:p>
    <w:p w14:paraId="2BB83B1A">
      <w:pPr>
        <w:pStyle w:val="2"/>
        <w:spacing w:after="0" w:line="360" w:lineRule="auto"/>
        <w:ind w:firstLine="2554" w:firstLineChars="795"/>
        <w:rPr>
          <w:rFonts w:ascii="宋体" w:hAnsi="宋体"/>
          <w:b/>
          <w:color w:val="auto"/>
          <w:sz w:val="32"/>
          <w:szCs w:val="32"/>
          <w:highlight w:val="none"/>
        </w:rPr>
      </w:pPr>
    </w:p>
    <w:p w14:paraId="6498975C">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9</w:t>
      </w:r>
      <w:r>
        <w:rPr>
          <w:rFonts w:hint="eastAsia" w:ascii="宋体" w:hAnsi="宋体"/>
          <w:b/>
          <w:color w:val="auto"/>
          <w:sz w:val="30"/>
          <w:szCs w:val="30"/>
          <w:highlight w:val="none"/>
        </w:rPr>
        <w:t>、技术偏离表</w:t>
      </w:r>
    </w:p>
    <w:tbl>
      <w:tblPr>
        <w:tblStyle w:val="21"/>
        <w:tblW w:w="90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7"/>
        <w:gridCol w:w="2467"/>
        <w:gridCol w:w="2468"/>
        <w:gridCol w:w="3236"/>
      </w:tblGrid>
      <w:tr w14:paraId="0A2035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top w:val="single" w:color="auto" w:sz="12" w:space="0"/>
              <w:left w:val="single" w:color="auto" w:sz="12" w:space="0"/>
            </w:tcBorders>
            <w:vAlign w:val="center"/>
          </w:tcPr>
          <w:p w14:paraId="54266CAF">
            <w:pPr>
              <w:adjustRightInd w:val="0"/>
              <w:snapToGrid w:val="0"/>
              <w:jc w:val="center"/>
              <w:rPr>
                <w:rFonts w:ascii="宋体" w:hAnsi="宋体"/>
                <w:color w:val="auto"/>
                <w:highlight w:val="none"/>
              </w:rPr>
            </w:pPr>
            <w:r>
              <w:rPr>
                <w:rFonts w:hint="eastAsia" w:ascii="宋体" w:hAnsi="宋体"/>
                <w:color w:val="auto"/>
                <w:highlight w:val="none"/>
              </w:rPr>
              <w:t>序号</w:t>
            </w:r>
          </w:p>
        </w:tc>
        <w:tc>
          <w:tcPr>
            <w:tcW w:w="2467" w:type="dxa"/>
            <w:tcBorders>
              <w:top w:val="single" w:color="auto" w:sz="12" w:space="0"/>
            </w:tcBorders>
            <w:vAlign w:val="center"/>
          </w:tcPr>
          <w:p w14:paraId="569C002D">
            <w:pPr>
              <w:adjustRightInd w:val="0"/>
              <w:snapToGrid w:val="0"/>
              <w:jc w:val="center"/>
              <w:rPr>
                <w:rFonts w:ascii="宋体" w:hAnsi="宋体"/>
                <w:color w:val="auto"/>
                <w:highlight w:val="none"/>
              </w:rPr>
            </w:pPr>
            <w:r>
              <w:rPr>
                <w:rFonts w:hint="eastAsia" w:ascii="宋体" w:hAnsi="宋体"/>
                <w:color w:val="auto"/>
                <w:highlight w:val="none"/>
              </w:rPr>
              <w:t>招标技术条款</w:t>
            </w:r>
          </w:p>
        </w:tc>
        <w:tc>
          <w:tcPr>
            <w:tcW w:w="2468" w:type="dxa"/>
            <w:tcBorders>
              <w:top w:val="single" w:color="auto" w:sz="12" w:space="0"/>
            </w:tcBorders>
            <w:vAlign w:val="center"/>
          </w:tcPr>
          <w:p w14:paraId="6AEF6010">
            <w:pPr>
              <w:adjustRightInd w:val="0"/>
              <w:snapToGrid w:val="0"/>
              <w:jc w:val="center"/>
              <w:rPr>
                <w:rFonts w:ascii="宋体" w:hAnsi="宋体"/>
                <w:color w:val="auto"/>
                <w:highlight w:val="none"/>
              </w:rPr>
            </w:pPr>
            <w:r>
              <w:rPr>
                <w:rFonts w:hint="eastAsia" w:ascii="宋体" w:hAnsi="宋体"/>
                <w:color w:val="auto"/>
                <w:highlight w:val="none"/>
              </w:rPr>
              <w:t>投标技术条款</w:t>
            </w:r>
          </w:p>
        </w:tc>
        <w:tc>
          <w:tcPr>
            <w:tcW w:w="3236" w:type="dxa"/>
            <w:tcBorders>
              <w:top w:val="single" w:color="auto" w:sz="12" w:space="0"/>
              <w:right w:val="single" w:color="auto" w:sz="12" w:space="0"/>
            </w:tcBorders>
            <w:vAlign w:val="center"/>
          </w:tcPr>
          <w:p w14:paraId="42BB25C3">
            <w:pPr>
              <w:adjustRightInd w:val="0"/>
              <w:snapToGrid w:val="0"/>
              <w:jc w:val="center"/>
              <w:rPr>
                <w:rFonts w:ascii="宋体" w:hAnsi="宋体"/>
                <w:color w:val="auto"/>
                <w:highlight w:val="none"/>
              </w:rPr>
            </w:pPr>
            <w:r>
              <w:rPr>
                <w:rFonts w:hint="eastAsia" w:ascii="宋体" w:hAnsi="宋体"/>
                <w:color w:val="auto"/>
                <w:highlight w:val="none"/>
              </w:rPr>
              <w:t>偏离说明</w:t>
            </w:r>
          </w:p>
        </w:tc>
      </w:tr>
      <w:tr w14:paraId="0075F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22FA6012">
            <w:pPr>
              <w:adjustRightInd w:val="0"/>
              <w:snapToGrid w:val="0"/>
              <w:jc w:val="center"/>
              <w:rPr>
                <w:rFonts w:ascii="宋体" w:hAnsi="宋体"/>
                <w:color w:val="auto"/>
                <w:highlight w:val="none"/>
              </w:rPr>
            </w:pPr>
            <w:r>
              <w:rPr>
                <w:rFonts w:hint="eastAsia" w:ascii="宋体" w:hAnsi="宋体"/>
                <w:color w:val="auto"/>
                <w:highlight w:val="none"/>
              </w:rPr>
              <w:t>1</w:t>
            </w:r>
          </w:p>
        </w:tc>
        <w:tc>
          <w:tcPr>
            <w:tcW w:w="2467" w:type="dxa"/>
            <w:vAlign w:val="center"/>
          </w:tcPr>
          <w:p w14:paraId="796CFEE3">
            <w:pPr>
              <w:adjustRightInd w:val="0"/>
              <w:snapToGrid w:val="0"/>
              <w:jc w:val="center"/>
              <w:rPr>
                <w:rFonts w:ascii="宋体" w:hAnsi="宋体"/>
                <w:color w:val="auto"/>
                <w:highlight w:val="none"/>
              </w:rPr>
            </w:pPr>
          </w:p>
        </w:tc>
        <w:tc>
          <w:tcPr>
            <w:tcW w:w="2468" w:type="dxa"/>
            <w:vAlign w:val="center"/>
          </w:tcPr>
          <w:p w14:paraId="7A51892A">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1EE5FCB4">
            <w:pPr>
              <w:adjustRightInd w:val="0"/>
              <w:snapToGrid w:val="0"/>
              <w:jc w:val="center"/>
              <w:rPr>
                <w:rFonts w:ascii="宋体" w:hAnsi="宋体"/>
                <w:color w:val="auto"/>
                <w:highlight w:val="none"/>
              </w:rPr>
            </w:pPr>
          </w:p>
        </w:tc>
      </w:tr>
      <w:tr w14:paraId="0A075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56307E15">
            <w:pPr>
              <w:adjustRightInd w:val="0"/>
              <w:snapToGrid w:val="0"/>
              <w:jc w:val="center"/>
              <w:rPr>
                <w:rFonts w:ascii="宋体" w:hAnsi="宋体"/>
                <w:color w:val="auto"/>
                <w:highlight w:val="none"/>
              </w:rPr>
            </w:pPr>
            <w:r>
              <w:rPr>
                <w:rFonts w:hint="eastAsia" w:ascii="宋体" w:hAnsi="宋体"/>
                <w:color w:val="auto"/>
                <w:highlight w:val="none"/>
              </w:rPr>
              <w:t>2</w:t>
            </w:r>
          </w:p>
        </w:tc>
        <w:tc>
          <w:tcPr>
            <w:tcW w:w="2467" w:type="dxa"/>
            <w:vAlign w:val="center"/>
          </w:tcPr>
          <w:p w14:paraId="1EA7BD4D">
            <w:pPr>
              <w:adjustRightInd w:val="0"/>
              <w:snapToGrid w:val="0"/>
              <w:jc w:val="center"/>
              <w:rPr>
                <w:rFonts w:ascii="宋体" w:hAnsi="宋体"/>
                <w:color w:val="auto"/>
                <w:highlight w:val="none"/>
              </w:rPr>
            </w:pPr>
          </w:p>
        </w:tc>
        <w:tc>
          <w:tcPr>
            <w:tcW w:w="2468" w:type="dxa"/>
            <w:vAlign w:val="center"/>
          </w:tcPr>
          <w:p w14:paraId="3579771A">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3FCBBEB1">
            <w:pPr>
              <w:adjustRightInd w:val="0"/>
              <w:snapToGrid w:val="0"/>
              <w:jc w:val="center"/>
              <w:rPr>
                <w:rFonts w:ascii="宋体" w:hAnsi="宋体"/>
                <w:color w:val="auto"/>
                <w:highlight w:val="none"/>
              </w:rPr>
            </w:pPr>
          </w:p>
        </w:tc>
      </w:tr>
      <w:tr w14:paraId="08CB8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3EC96044">
            <w:pPr>
              <w:adjustRightInd w:val="0"/>
              <w:snapToGrid w:val="0"/>
              <w:jc w:val="center"/>
              <w:rPr>
                <w:rFonts w:ascii="宋体" w:hAnsi="宋体"/>
                <w:color w:val="auto"/>
                <w:highlight w:val="none"/>
              </w:rPr>
            </w:pPr>
            <w:r>
              <w:rPr>
                <w:rFonts w:hint="eastAsia" w:ascii="宋体" w:hAnsi="宋体"/>
                <w:color w:val="auto"/>
                <w:highlight w:val="none"/>
              </w:rPr>
              <w:t>3</w:t>
            </w:r>
          </w:p>
        </w:tc>
        <w:tc>
          <w:tcPr>
            <w:tcW w:w="2467" w:type="dxa"/>
            <w:vAlign w:val="center"/>
          </w:tcPr>
          <w:p w14:paraId="678769B5">
            <w:pPr>
              <w:adjustRightInd w:val="0"/>
              <w:snapToGrid w:val="0"/>
              <w:jc w:val="center"/>
              <w:rPr>
                <w:rFonts w:ascii="宋体" w:hAnsi="宋体"/>
                <w:color w:val="auto"/>
                <w:highlight w:val="none"/>
              </w:rPr>
            </w:pPr>
          </w:p>
        </w:tc>
        <w:tc>
          <w:tcPr>
            <w:tcW w:w="2468" w:type="dxa"/>
            <w:vAlign w:val="center"/>
          </w:tcPr>
          <w:p w14:paraId="0D73350A">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6647107D">
            <w:pPr>
              <w:adjustRightInd w:val="0"/>
              <w:snapToGrid w:val="0"/>
              <w:jc w:val="center"/>
              <w:rPr>
                <w:rFonts w:ascii="宋体" w:hAnsi="宋体"/>
                <w:color w:val="auto"/>
                <w:highlight w:val="none"/>
              </w:rPr>
            </w:pPr>
          </w:p>
        </w:tc>
      </w:tr>
      <w:tr w14:paraId="797E9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38DDF037">
            <w:pPr>
              <w:adjustRightInd w:val="0"/>
              <w:snapToGrid w:val="0"/>
              <w:jc w:val="center"/>
              <w:rPr>
                <w:rFonts w:ascii="宋体" w:hAnsi="宋体"/>
                <w:color w:val="auto"/>
                <w:highlight w:val="none"/>
              </w:rPr>
            </w:pPr>
            <w:r>
              <w:rPr>
                <w:rFonts w:hint="eastAsia" w:ascii="宋体" w:hAnsi="宋体"/>
                <w:color w:val="auto"/>
                <w:highlight w:val="none"/>
              </w:rPr>
              <w:t>4</w:t>
            </w:r>
          </w:p>
        </w:tc>
        <w:tc>
          <w:tcPr>
            <w:tcW w:w="2467" w:type="dxa"/>
            <w:vAlign w:val="center"/>
          </w:tcPr>
          <w:p w14:paraId="1BD35142">
            <w:pPr>
              <w:adjustRightInd w:val="0"/>
              <w:snapToGrid w:val="0"/>
              <w:jc w:val="center"/>
              <w:rPr>
                <w:rFonts w:ascii="宋体" w:hAnsi="宋体"/>
                <w:color w:val="auto"/>
                <w:highlight w:val="none"/>
              </w:rPr>
            </w:pPr>
          </w:p>
        </w:tc>
        <w:tc>
          <w:tcPr>
            <w:tcW w:w="2468" w:type="dxa"/>
            <w:vAlign w:val="center"/>
          </w:tcPr>
          <w:p w14:paraId="25D378A6">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1EC88972">
            <w:pPr>
              <w:adjustRightInd w:val="0"/>
              <w:snapToGrid w:val="0"/>
              <w:jc w:val="center"/>
              <w:rPr>
                <w:rFonts w:ascii="宋体" w:hAnsi="宋体"/>
                <w:color w:val="auto"/>
                <w:highlight w:val="none"/>
              </w:rPr>
            </w:pPr>
          </w:p>
        </w:tc>
      </w:tr>
      <w:tr w14:paraId="51564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tcBorders>
            <w:vAlign w:val="center"/>
          </w:tcPr>
          <w:p w14:paraId="317633CE">
            <w:pPr>
              <w:adjustRightInd w:val="0"/>
              <w:snapToGrid w:val="0"/>
              <w:jc w:val="center"/>
              <w:rPr>
                <w:rFonts w:ascii="宋体" w:hAnsi="宋体"/>
                <w:color w:val="auto"/>
                <w:highlight w:val="none"/>
              </w:rPr>
            </w:pPr>
            <w:r>
              <w:rPr>
                <w:rFonts w:hint="eastAsia" w:ascii="宋体" w:hAnsi="宋体"/>
                <w:color w:val="auto"/>
                <w:highlight w:val="none"/>
              </w:rPr>
              <w:t>5</w:t>
            </w:r>
          </w:p>
        </w:tc>
        <w:tc>
          <w:tcPr>
            <w:tcW w:w="2467" w:type="dxa"/>
            <w:vAlign w:val="center"/>
          </w:tcPr>
          <w:p w14:paraId="1746CC49">
            <w:pPr>
              <w:adjustRightInd w:val="0"/>
              <w:snapToGrid w:val="0"/>
              <w:jc w:val="center"/>
              <w:rPr>
                <w:rFonts w:ascii="宋体" w:hAnsi="宋体"/>
                <w:color w:val="auto"/>
                <w:highlight w:val="none"/>
              </w:rPr>
            </w:pPr>
          </w:p>
        </w:tc>
        <w:tc>
          <w:tcPr>
            <w:tcW w:w="2468" w:type="dxa"/>
            <w:vAlign w:val="center"/>
          </w:tcPr>
          <w:p w14:paraId="19CF6B50">
            <w:pPr>
              <w:adjustRightInd w:val="0"/>
              <w:snapToGrid w:val="0"/>
              <w:jc w:val="center"/>
              <w:rPr>
                <w:rFonts w:ascii="宋体" w:hAnsi="宋体"/>
                <w:color w:val="auto"/>
                <w:highlight w:val="none"/>
              </w:rPr>
            </w:pPr>
          </w:p>
        </w:tc>
        <w:tc>
          <w:tcPr>
            <w:tcW w:w="3236" w:type="dxa"/>
            <w:tcBorders>
              <w:right w:val="single" w:color="auto" w:sz="12" w:space="0"/>
            </w:tcBorders>
            <w:vAlign w:val="center"/>
          </w:tcPr>
          <w:p w14:paraId="5E4D1DBA">
            <w:pPr>
              <w:adjustRightInd w:val="0"/>
              <w:snapToGrid w:val="0"/>
              <w:jc w:val="center"/>
              <w:rPr>
                <w:rFonts w:ascii="宋体" w:hAnsi="宋体"/>
                <w:color w:val="auto"/>
                <w:highlight w:val="none"/>
              </w:rPr>
            </w:pPr>
          </w:p>
        </w:tc>
      </w:tr>
      <w:tr w14:paraId="04A0C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37" w:type="dxa"/>
            <w:tcBorders>
              <w:left w:val="single" w:color="auto" w:sz="12" w:space="0"/>
              <w:bottom w:val="single" w:color="auto" w:sz="12" w:space="0"/>
            </w:tcBorders>
            <w:vAlign w:val="center"/>
          </w:tcPr>
          <w:p w14:paraId="0E722D70">
            <w:pPr>
              <w:adjustRightInd w:val="0"/>
              <w:snapToGrid w:val="0"/>
              <w:rPr>
                <w:rFonts w:ascii="宋体" w:hAnsi="宋体"/>
                <w:color w:val="auto"/>
                <w:highlight w:val="none"/>
              </w:rPr>
            </w:pPr>
          </w:p>
        </w:tc>
        <w:tc>
          <w:tcPr>
            <w:tcW w:w="2467" w:type="dxa"/>
            <w:tcBorders>
              <w:bottom w:val="single" w:color="auto" w:sz="12" w:space="0"/>
            </w:tcBorders>
            <w:vAlign w:val="center"/>
          </w:tcPr>
          <w:p w14:paraId="46F43945">
            <w:pPr>
              <w:adjustRightInd w:val="0"/>
              <w:snapToGrid w:val="0"/>
              <w:rPr>
                <w:rFonts w:ascii="宋体" w:hAnsi="宋体"/>
                <w:color w:val="auto"/>
                <w:highlight w:val="none"/>
              </w:rPr>
            </w:pPr>
          </w:p>
        </w:tc>
        <w:tc>
          <w:tcPr>
            <w:tcW w:w="2468" w:type="dxa"/>
            <w:tcBorders>
              <w:bottom w:val="single" w:color="auto" w:sz="12" w:space="0"/>
            </w:tcBorders>
            <w:vAlign w:val="center"/>
          </w:tcPr>
          <w:p w14:paraId="4BD8EF72">
            <w:pPr>
              <w:adjustRightInd w:val="0"/>
              <w:snapToGrid w:val="0"/>
              <w:rPr>
                <w:rFonts w:ascii="宋体" w:hAnsi="宋体"/>
                <w:color w:val="auto"/>
                <w:highlight w:val="none"/>
              </w:rPr>
            </w:pPr>
          </w:p>
        </w:tc>
        <w:tc>
          <w:tcPr>
            <w:tcW w:w="3236" w:type="dxa"/>
            <w:tcBorders>
              <w:bottom w:val="single" w:color="auto" w:sz="12" w:space="0"/>
              <w:right w:val="single" w:color="auto" w:sz="12" w:space="0"/>
            </w:tcBorders>
            <w:vAlign w:val="center"/>
          </w:tcPr>
          <w:p w14:paraId="71EF40DC">
            <w:pPr>
              <w:adjustRightInd w:val="0"/>
              <w:snapToGrid w:val="0"/>
              <w:rPr>
                <w:rFonts w:ascii="宋体" w:hAnsi="宋体"/>
                <w:color w:val="auto"/>
                <w:highlight w:val="none"/>
              </w:rPr>
            </w:pPr>
          </w:p>
        </w:tc>
      </w:tr>
    </w:tbl>
    <w:p w14:paraId="00D1AB19">
      <w:pPr>
        <w:spacing w:line="360" w:lineRule="auto"/>
        <w:ind w:firstLine="480" w:firstLineChars="200"/>
        <w:rPr>
          <w:rFonts w:ascii="宋体" w:hAnsi="宋体"/>
          <w:color w:val="auto"/>
          <w:highlight w:val="none"/>
        </w:rPr>
      </w:pPr>
      <w:r>
        <w:rPr>
          <w:rFonts w:hint="eastAsia" w:ascii="宋体" w:hAnsi="宋体"/>
          <w:color w:val="auto"/>
          <w:highlight w:val="none"/>
        </w:rPr>
        <w:t>备注：除本偏差表所列的偏离指标外，其它所有规格、技术参数均完全响应“招标文件”中的要求。若</w:t>
      </w:r>
      <w:r>
        <w:rPr>
          <w:rFonts w:hint="eastAsia" w:ascii="宋体" w:hAnsi="宋体" w:cs="宋体"/>
          <w:iCs/>
          <w:color w:val="auto"/>
          <w:sz w:val="24"/>
          <w:highlight w:val="none"/>
        </w:rPr>
        <w:t>本表空白或未填写完整</w:t>
      </w:r>
      <w:r>
        <w:rPr>
          <w:rFonts w:hint="eastAsia" w:ascii="宋体" w:hAnsi="宋体"/>
          <w:color w:val="auto"/>
          <w:highlight w:val="none"/>
        </w:rPr>
        <w:t>，则视为完全响应招标文件。</w:t>
      </w:r>
    </w:p>
    <w:p w14:paraId="2B29DCF0">
      <w:pPr>
        <w:spacing w:line="360" w:lineRule="auto"/>
        <w:ind w:firstLine="480" w:firstLineChars="200"/>
        <w:jc w:val="left"/>
        <w:rPr>
          <w:rFonts w:ascii="宋体" w:hAnsi="宋体"/>
          <w:color w:val="auto"/>
          <w:highlight w:val="none"/>
        </w:rPr>
      </w:pPr>
      <w:r>
        <w:rPr>
          <w:rFonts w:hint="eastAsia" w:ascii="宋体" w:hAnsi="宋体"/>
          <w:color w:val="auto"/>
          <w:highlight w:val="none"/>
        </w:rPr>
        <w:t xml:space="preserve">投标人（加盖单位公章）：                         </w:t>
      </w:r>
    </w:p>
    <w:p w14:paraId="2C7C4685">
      <w:pPr>
        <w:spacing w:line="360" w:lineRule="auto"/>
        <w:ind w:firstLine="480" w:firstLineChars="200"/>
        <w:jc w:val="left"/>
        <w:rPr>
          <w:rFonts w:ascii="宋体" w:hAnsi="宋体"/>
          <w:color w:val="auto"/>
          <w:highlight w:val="none"/>
        </w:rPr>
      </w:pPr>
      <w:r>
        <w:rPr>
          <w:rFonts w:hint="eastAsia" w:ascii="宋体" w:hAnsi="宋体"/>
          <w:color w:val="auto"/>
          <w:highlight w:val="none"/>
        </w:rPr>
        <w:t>法定代表人（加盖印章或签字）：</w:t>
      </w:r>
    </w:p>
    <w:p w14:paraId="3548E4F5">
      <w:pPr>
        <w:spacing w:line="360" w:lineRule="auto"/>
        <w:ind w:firstLine="480" w:firstLineChars="200"/>
        <w:jc w:val="left"/>
        <w:rPr>
          <w:rFonts w:ascii="宋体" w:hAnsi="宋体"/>
          <w:color w:val="auto"/>
          <w:highlight w:val="none"/>
        </w:rPr>
      </w:pPr>
      <w:r>
        <w:rPr>
          <w:rFonts w:hint="eastAsia" w:ascii="宋体" w:hAnsi="宋体"/>
          <w:color w:val="auto"/>
          <w:highlight w:val="none"/>
        </w:rPr>
        <w:t>年   月  日</w:t>
      </w:r>
    </w:p>
    <w:p w14:paraId="675ACB1F">
      <w:pPr>
        <w:pStyle w:val="2"/>
        <w:spacing w:after="0" w:line="360" w:lineRule="auto"/>
        <w:ind w:firstLine="2554" w:firstLineChars="795"/>
        <w:rPr>
          <w:rFonts w:ascii="宋体" w:hAnsi="宋体"/>
          <w:b/>
          <w:color w:val="auto"/>
          <w:sz w:val="32"/>
          <w:szCs w:val="32"/>
          <w:highlight w:val="none"/>
        </w:rPr>
      </w:pPr>
    </w:p>
    <w:p w14:paraId="3F123458">
      <w:pPr>
        <w:pStyle w:val="2"/>
        <w:spacing w:after="0" w:line="360" w:lineRule="auto"/>
        <w:ind w:firstLine="2554" w:firstLineChars="795"/>
        <w:rPr>
          <w:rFonts w:ascii="宋体" w:hAnsi="宋体"/>
          <w:b/>
          <w:color w:val="auto"/>
          <w:sz w:val="32"/>
          <w:szCs w:val="32"/>
          <w:highlight w:val="none"/>
        </w:rPr>
      </w:pPr>
    </w:p>
    <w:p w14:paraId="01AF8A4C">
      <w:pPr>
        <w:pStyle w:val="2"/>
        <w:spacing w:after="0" w:line="360" w:lineRule="auto"/>
        <w:ind w:firstLine="2554" w:firstLineChars="795"/>
        <w:rPr>
          <w:rFonts w:ascii="宋体" w:hAnsi="宋体"/>
          <w:b/>
          <w:color w:val="auto"/>
          <w:sz w:val="32"/>
          <w:szCs w:val="32"/>
          <w:highlight w:val="none"/>
        </w:rPr>
      </w:pPr>
    </w:p>
    <w:p w14:paraId="761DC380">
      <w:pPr>
        <w:pStyle w:val="2"/>
        <w:spacing w:after="0" w:line="360" w:lineRule="auto"/>
        <w:ind w:firstLine="2554" w:firstLineChars="795"/>
        <w:rPr>
          <w:rFonts w:ascii="宋体" w:hAnsi="宋体"/>
          <w:b/>
          <w:color w:val="auto"/>
          <w:sz w:val="32"/>
          <w:szCs w:val="32"/>
          <w:highlight w:val="none"/>
        </w:rPr>
      </w:pPr>
    </w:p>
    <w:p w14:paraId="4E5435F6">
      <w:pPr>
        <w:pStyle w:val="2"/>
        <w:spacing w:after="0" w:line="360" w:lineRule="auto"/>
        <w:ind w:firstLine="2554" w:firstLineChars="795"/>
        <w:rPr>
          <w:rFonts w:ascii="宋体" w:hAnsi="宋体"/>
          <w:b/>
          <w:color w:val="auto"/>
          <w:sz w:val="32"/>
          <w:szCs w:val="32"/>
          <w:highlight w:val="none"/>
        </w:rPr>
      </w:pPr>
    </w:p>
    <w:p w14:paraId="0816D90C">
      <w:pPr>
        <w:spacing w:line="360" w:lineRule="auto"/>
        <w:rPr>
          <w:rFonts w:ascii="宋体" w:hAnsi="宋体"/>
          <w:color w:val="auto"/>
          <w:sz w:val="28"/>
          <w:szCs w:val="28"/>
          <w:highlight w:val="none"/>
        </w:rPr>
        <w:sectPr>
          <w:pgSz w:w="11906" w:h="16838"/>
          <w:pgMar w:top="1418" w:right="1418" w:bottom="1418" w:left="1418" w:header="851" w:footer="851" w:gutter="0"/>
          <w:cols w:space="720" w:num="1"/>
          <w:docGrid w:linePitch="312" w:charSpace="0"/>
        </w:sectPr>
      </w:pPr>
    </w:p>
    <w:p w14:paraId="77FEFBD1">
      <w:pPr>
        <w:pStyle w:val="4"/>
        <w:spacing w:line="360" w:lineRule="auto"/>
        <w:ind w:left="0" w:firstLine="0"/>
        <w:jc w:val="center"/>
        <w:rPr>
          <w:rFonts w:ascii="宋体" w:hAnsi="宋体" w:eastAsia="宋体"/>
          <w:b/>
          <w:color w:val="auto"/>
          <w:sz w:val="36"/>
          <w:szCs w:val="36"/>
          <w:highlight w:val="none"/>
        </w:rPr>
      </w:pPr>
      <w:bookmarkStart w:id="12" w:name="_Toc357178305"/>
      <w:r>
        <w:rPr>
          <w:rFonts w:hint="eastAsia" w:ascii="宋体" w:hAnsi="宋体" w:eastAsia="宋体"/>
          <w:b/>
          <w:color w:val="auto"/>
          <w:sz w:val="36"/>
          <w:szCs w:val="36"/>
          <w:highlight w:val="none"/>
        </w:rPr>
        <w:t>第六章  技术规范书</w:t>
      </w:r>
      <w:bookmarkEnd w:id="12"/>
    </w:p>
    <w:p w14:paraId="5398F857">
      <w:pPr>
        <w:adjustRightInd w:val="0"/>
        <w:snapToGrid w:val="0"/>
        <w:spacing w:line="360" w:lineRule="auto"/>
        <w:rPr>
          <w:rFonts w:ascii="宋体" w:hAnsi="宋体"/>
          <w:b/>
          <w:bCs/>
          <w:color w:val="auto"/>
          <w:sz w:val="24"/>
          <w:highlight w:val="none"/>
        </w:rPr>
      </w:pPr>
      <w:r>
        <w:rPr>
          <w:rFonts w:hint="eastAsia" w:ascii="宋体" w:hAnsi="宋体"/>
          <w:b/>
          <w:bCs/>
          <w:color w:val="auto"/>
          <w:sz w:val="24"/>
          <w:highlight w:val="none"/>
        </w:rPr>
        <w:t>1、总则</w:t>
      </w:r>
    </w:p>
    <w:p w14:paraId="717E1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本技术规范适用于江西赣能股份有限公司丰城发电厂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以下简称</w:t>
      </w:r>
      <w:r>
        <w:rPr>
          <w:rFonts w:hint="eastAsia" w:ascii="宋体" w:hAnsi="宋体" w:eastAsia="宋体" w:cs="宋体"/>
          <w:color w:val="auto"/>
          <w:sz w:val="24"/>
          <w:highlight w:val="none"/>
        </w:rPr>
        <w:t>赣能股份丰城发电厂</w:t>
      </w:r>
      <w:r>
        <w:rPr>
          <w:rFonts w:hint="eastAsia" w:ascii="宋体" w:hAnsi="宋体" w:cs="宋体"/>
          <w:color w:val="auto"/>
          <w:sz w:val="24"/>
          <w:highlight w:val="none"/>
          <w:lang w:eastAsia="zh-CN"/>
        </w:rPr>
        <w:t>）</w:t>
      </w:r>
      <w:r>
        <w:rPr>
          <w:rFonts w:hint="eastAsia"/>
          <w:color w:val="auto"/>
          <w:highlight w:val="none"/>
          <w:lang w:val="en-US" w:eastAsia="zh-CN"/>
        </w:rPr>
        <w:t>10万吨</w:t>
      </w:r>
      <w:r>
        <w:rPr>
          <w:rFonts w:hint="eastAsia"/>
          <w:color w:val="auto"/>
          <w:highlight w:val="none"/>
          <w:lang w:eastAsia="zh-CN"/>
        </w:rPr>
        <w:t>脱硫石膏处置</w:t>
      </w:r>
      <w:r>
        <w:rPr>
          <w:rFonts w:hint="eastAsia"/>
          <w:color w:val="auto"/>
          <w:highlight w:val="none"/>
          <w:lang w:val="en-US" w:eastAsia="zh-CN"/>
        </w:rPr>
        <w:t>6.2万吨炉渣处置</w:t>
      </w:r>
      <w:r>
        <w:rPr>
          <w:rFonts w:hint="eastAsia" w:ascii="宋体" w:hAnsi="宋体" w:eastAsia="宋体" w:cs="宋体"/>
          <w:color w:val="auto"/>
          <w:sz w:val="24"/>
          <w:highlight w:val="none"/>
        </w:rPr>
        <w:t>承包项目，它提出了脱硫石膏</w:t>
      </w:r>
      <w:r>
        <w:rPr>
          <w:rFonts w:hint="eastAsia" w:ascii="宋体" w:hAnsi="宋体" w:cs="宋体"/>
          <w:color w:val="auto"/>
          <w:sz w:val="24"/>
          <w:highlight w:val="none"/>
          <w:lang w:eastAsia="zh-CN"/>
        </w:rPr>
        <w:t>、炉渣</w:t>
      </w:r>
      <w:r>
        <w:rPr>
          <w:rFonts w:hint="eastAsia" w:ascii="宋体" w:hAnsi="宋体" w:eastAsia="宋体" w:cs="宋体"/>
          <w:color w:val="auto"/>
          <w:sz w:val="24"/>
          <w:highlight w:val="none"/>
        </w:rPr>
        <w:t>装载、运输、转运、处置等方面的要求。</w:t>
      </w:r>
    </w:p>
    <w:p w14:paraId="5D7CE850">
      <w:pPr>
        <w:spacing w:line="360" w:lineRule="auto"/>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本技术</w:t>
      </w:r>
      <w:r>
        <w:rPr>
          <w:rFonts w:hint="eastAsia" w:ascii="宋体" w:hAnsi="宋体"/>
          <w:color w:val="auto"/>
          <w:sz w:val="24"/>
          <w:highlight w:val="none"/>
        </w:rPr>
        <w:t>规范</w:t>
      </w:r>
      <w:r>
        <w:rPr>
          <w:rFonts w:ascii="宋体" w:hAnsi="宋体"/>
          <w:color w:val="auto"/>
          <w:sz w:val="24"/>
          <w:highlight w:val="none"/>
        </w:rPr>
        <w:t>中提出了最低的</w:t>
      </w:r>
      <w:r>
        <w:rPr>
          <w:rFonts w:hint="eastAsia" w:ascii="宋体" w:hAnsi="宋体"/>
          <w:color w:val="auto"/>
          <w:sz w:val="24"/>
          <w:highlight w:val="none"/>
        </w:rPr>
        <w:t>有关</w:t>
      </w:r>
      <w:r>
        <w:rPr>
          <w:rFonts w:ascii="宋体" w:hAnsi="宋体"/>
          <w:color w:val="auto"/>
          <w:sz w:val="24"/>
          <w:highlight w:val="none"/>
        </w:rPr>
        <w:t>要求，</w:t>
      </w:r>
      <w:r>
        <w:rPr>
          <w:rFonts w:hint="eastAsia" w:ascii="宋体" w:hAnsi="宋体"/>
          <w:color w:val="auto"/>
          <w:sz w:val="24"/>
          <w:highlight w:val="none"/>
          <w:lang w:eastAsia="zh-CN"/>
        </w:rPr>
        <w:t>投标人</w:t>
      </w:r>
      <w:r>
        <w:rPr>
          <w:rFonts w:hint="eastAsia" w:ascii="宋体" w:hAnsi="宋体"/>
          <w:color w:val="auto"/>
          <w:sz w:val="24"/>
          <w:highlight w:val="none"/>
        </w:rPr>
        <w:t>可以</w:t>
      </w:r>
      <w:r>
        <w:rPr>
          <w:rFonts w:ascii="宋体" w:hAnsi="宋体"/>
          <w:color w:val="auto"/>
          <w:sz w:val="24"/>
          <w:highlight w:val="none"/>
        </w:rPr>
        <w:t>提供满足本</w:t>
      </w:r>
      <w:r>
        <w:rPr>
          <w:rFonts w:hint="eastAsia" w:ascii="宋体" w:hAnsi="宋体"/>
          <w:color w:val="auto"/>
          <w:sz w:val="24"/>
          <w:highlight w:val="none"/>
        </w:rPr>
        <w:t>项目的更高标准要求；</w:t>
      </w:r>
      <w:r>
        <w:rPr>
          <w:rFonts w:hint="eastAsia" w:ascii="宋体" w:hAnsi="宋体"/>
          <w:color w:val="auto"/>
          <w:sz w:val="24"/>
          <w:highlight w:val="none"/>
          <w:lang w:eastAsia="zh-CN"/>
        </w:rPr>
        <w:t>投标人</w:t>
      </w:r>
      <w:r>
        <w:rPr>
          <w:rFonts w:hint="eastAsia" w:ascii="宋体" w:hAnsi="宋体"/>
          <w:color w:val="auto"/>
          <w:sz w:val="24"/>
          <w:highlight w:val="none"/>
        </w:rPr>
        <w:t>必须满足</w:t>
      </w:r>
      <w:r>
        <w:rPr>
          <w:rFonts w:ascii="宋体" w:hAnsi="宋体"/>
          <w:color w:val="auto"/>
          <w:sz w:val="24"/>
          <w:highlight w:val="none"/>
        </w:rPr>
        <w:t>国家有关安全、消防、环保等强制性标准</w:t>
      </w:r>
      <w:r>
        <w:rPr>
          <w:rFonts w:hint="eastAsia" w:ascii="宋体" w:hAnsi="宋体"/>
          <w:color w:val="auto"/>
          <w:sz w:val="24"/>
          <w:highlight w:val="none"/>
        </w:rPr>
        <w:t>。</w:t>
      </w:r>
    </w:p>
    <w:p w14:paraId="1FBF355F">
      <w:pPr>
        <w:spacing w:line="360" w:lineRule="auto"/>
        <w:rPr>
          <w:rFonts w:hint="default" w:ascii="宋体" w:hAnsi="宋体"/>
          <w:color w:val="auto"/>
          <w:sz w:val="24"/>
          <w:highlight w:val="none"/>
          <w:lang w:val="en-US" w:eastAsia="zh-CN"/>
        </w:rPr>
      </w:pPr>
      <w:r>
        <w:rPr>
          <w:rFonts w:hint="eastAsia" w:ascii="宋体" w:hAnsi="宋体"/>
          <w:color w:val="auto"/>
          <w:sz w:val="24"/>
          <w:highlight w:val="none"/>
        </w:rPr>
        <w:t>1.3</w:t>
      </w:r>
      <w:r>
        <w:rPr>
          <w:rFonts w:hint="eastAsia"/>
          <w:b/>
          <w:color w:val="auto"/>
          <w:highlight w:val="none"/>
          <w:lang w:val="en-US" w:eastAsia="zh-CN"/>
        </w:rPr>
        <w:t>投标人具有石膏及炉渣利用、处置相关资质。结算时需提供石膏及炉渣处置终端用户盖章的石膏、炉渣使用证明文件。</w:t>
      </w:r>
    </w:p>
    <w:p w14:paraId="2485149A">
      <w:pPr>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val="en-US" w:eastAsia="zh-CN"/>
        </w:rPr>
        <w:t>4</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必须执行国家和行业相关的标准、规范，同时严格执行</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的各项管理制度。</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有权对</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在违反标准、规范、管理制度时进行经济考核。</w:t>
      </w:r>
    </w:p>
    <w:p w14:paraId="405D57D8">
      <w:pPr>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val="en-US" w:eastAsia="zh-CN"/>
        </w:rPr>
        <w:t>5</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不允许对项目进行外包或分包，否则视为违反合同，</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有权终止合同。</w:t>
      </w:r>
    </w:p>
    <w:p w14:paraId="4B05857B">
      <w:pPr>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val="en-US" w:eastAsia="zh-CN"/>
        </w:rPr>
        <w:t>6</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必须编制日常销售及销售淡季、节假日及时有效销售（处置）</w:t>
      </w:r>
      <w:r>
        <w:rPr>
          <w:rFonts w:hint="eastAsia" w:ascii="宋体" w:hAnsi="宋体" w:cs="Times New Roman"/>
          <w:color w:val="auto"/>
          <w:sz w:val="24"/>
          <w:highlight w:val="none"/>
          <w:lang w:val="en-US" w:eastAsia="zh-CN"/>
        </w:rPr>
        <w:t>石膏及炉渣</w:t>
      </w:r>
      <w:r>
        <w:rPr>
          <w:rFonts w:hint="eastAsia" w:ascii="宋体" w:hAnsi="宋体" w:cs="Times New Roman"/>
          <w:color w:val="auto"/>
          <w:sz w:val="24"/>
          <w:highlight w:val="none"/>
          <w:lang w:eastAsia="zh-CN"/>
        </w:rPr>
        <w:t>的</w:t>
      </w:r>
      <w:r>
        <w:rPr>
          <w:rFonts w:hint="eastAsia" w:ascii="宋体" w:hAnsi="宋体" w:cs="Times New Roman"/>
          <w:color w:val="auto"/>
          <w:sz w:val="24"/>
          <w:highlight w:val="none"/>
        </w:rPr>
        <w:t>方案和保证措施。</w:t>
      </w:r>
    </w:p>
    <w:p w14:paraId="7A973189">
      <w:pPr>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1.7</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在本合同有效期内，技术有问题、人员力量不够或不服从管理，将严重影响到机组的安全、稳定、经济运行且无法克服时，</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有权单方面解除合同</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或</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有权另行委托第三方进行紧急处理，</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应担负全部委托费用及由此造成的损失。</w:t>
      </w:r>
    </w:p>
    <w:p w14:paraId="584B76AB">
      <w:pPr>
        <w:spacing w:line="360" w:lineRule="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1.8投标人在投标前必须到现场进行勘查了解，详细了解本项目系统目前的布置状况和设备运行状况，投标人投标前没有进行现场勘查了解的，视为进行了现场勘查了解，且完全认可招标人现场设备目前的现状。</w:t>
      </w:r>
    </w:p>
    <w:p w14:paraId="71FEEF5E">
      <w:pPr>
        <w:spacing w:line="360" w:lineRule="auto"/>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1.9</w:t>
      </w:r>
      <w:r>
        <w:rPr>
          <w:rFonts w:hint="eastAsia" w:ascii="宋体" w:hAnsi="宋体" w:cs="Times New Roman"/>
          <w:color w:val="auto"/>
          <w:sz w:val="24"/>
          <w:highlight w:val="none"/>
        </w:rPr>
        <w:t>本</w:t>
      </w:r>
      <w:r>
        <w:rPr>
          <w:rFonts w:hint="eastAsia" w:ascii="宋体" w:hAnsi="宋体" w:cs="Times New Roman"/>
          <w:color w:val="auto"/>
          <w:sz w:val="24"/>
          <w:highlight w:val="none"/>
          <w:lang w:eastAsia="zh-CN"/>
        </w:rPr>
        <w:t>技术</w:t>
      </w:r>
      <w:r>
        <w:rPr>
          <w:rFonts w:hint="eastAsia" w:ascii="宋体" w:hAnsi="宋体" w:cs="Times New Roman"/>
          <w:color w:val="auto"/>
          <w:sz w:val="24"/>
          <w:highlight w:val="none"/>
        </w:rPr>
        <w:t>规范解释权归</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，如果本</w:t>
      </w:r>
      <w:r>
        <w:rPr>
          <w:rFonts w:hint="eastAsia" w:ascii="宋体" w:hAnsi="宋体" w:cs="Times New Roman"/>
          <w:color w:val="auto"/>
          <w:sz w:val="24"/>
          <w:highlight w:val="none"/>
          <w:lang w:eastAsia="zh-CN"/>
        </w:rPr>
        <w:t>技术</w:t>
      </w:r>
      <w:r>
        <w:rPr>
          <w:rFonts w:hint="eastAsia" w:ascii="宋体" w:hAnsi="宋体" w:cs="Times New Roman"/>
          <w:color w:val="auto"/>
          <w:sz w:val="24"/>
          <w:highlight w:val="none"/>
        </w:rPr>
        <w:t>规范出现有前后不一致的描述，</w:t>
      </w:r>
      <w:r>
        <w:rPr>
          <w:rFonts w:hint="eastAsia" w:ascii="宋体" w:hAnsi="宋体" w:cs="Times New Roman"/>
          <w:color w:val="auto"/>
          <w:sz w:val="24"/>
          <w:highlight w:val="none"/>
          <w:lang w:eastAsia="zh-CN"/>
        </w:rPr>
        <w:t>投标人</w:t>
      </w:r>
      <w:r>
        <w:rPr>
          <w:rFonts w:hint="eastAsia" w:ascii="宋体" w:hAnsi="宋体" w:cs="Times New Roman"/>
          <w:color w:val="auto"/>
          <w:sz w:val="24"/>
          <w:highlight w:val="none"/>
        </w:rPr>
        <w:t>应在</w:t>
      </w:r>
      <w:r>
        <w:rPr>
          <w:rFonts w:hint="eastAsia" w:ascii="宋体" w:hAnsi="宋体" w:cs="Times New Roman"/>
          <w:color w:val="auto"/>
          <w:sz w:val="24"/>
          <w:highlight w:val="none"/>
          <w:lang w:eastAsia="zh-CN"/>
        </w:rPr>
        <w:t>签订前</w:t>
      </w:r>
      <w:r>
        <w:rPr>
          <w:rFonts w:hint="eastAsia" w:ascii="宋体" w:hAnsi="宋体" w:cs="Times New Roman"/>
          <w:color w:val="auto"/>
          <w:sz w:val="24"/>
          <w:highlight w:val="none"/>
        </w:rPr>
        <w:t>提出澄清，如无澄清，</w:t>
      </w:r>
      <w:r>
        <w:rPr>
          <w:rFonts w:hint="eastAsia" w:ascii="宋体" w:hAnsi="宋体" w:cs="Times New Roman"/>
          <w:color w:val="auto"/>
          <w:sz w:val="24"/>
          <w:highlight w:val="none"/>
          <w:lang w:eastAsia="zh-CN"/>
        </w:rPr>
        <w:t>则</w:t>
      </w:r>
      <w:r>
        <w:rPr>
          <w:rFonts w:hint="eastAsia" w:ascii="宋体" w:hAnsi="宋体" w:cs="Times New Roman"/>
          <w:color w:val="auto"/>
          <w:sz w:val="24"/>
          <w:highlight w:val="none"/>
        </w:rPr>
        <w:t>按</w:t>
      </w:r>
      <w:r>
        <w:rPr>
          <w:rFonts w:hint="eastAsia" w:ascii="宋体" w:hAnsi="宋体" w:cs="Times New Roman"/>
          <w:color w:val="auto"/>
          <w:sz w:val="24"/>
          <w:highlight w:val="none"/>
          <w:lang w:eastAsia="zh-CN"/>
        </w:rPr>
        <w:t>招标人</w:t>
      </w:r>
      <w:r>
        <w:rPr>
          <w:rFonts w:hint="eastAsia" w:ascii="宋体" w:hAnsi="宋体" w:cs="Times New Roman"/>
          <w:color w:val="auto"/>
          <w:sz w:val="24"/>
          <w:highlight w:val="none"/>
        </w:rPr>
        <w:t>解释执行。</w:t>
      </w:r>
    </w:p>
    <w:p w14:paraId="296D6D0F">
      <w:pPr>
        <w:pStyle w:val="18"/>
        <w:tabs>
          <w:tab w:val="left" w:pos="840"/>
          <w:tab w:val="right" w:leader="dot" w:pos="9117"/>
        </w:tabs>
        <w:spacing w:before="120" w:beforeLines="50" w:after="120" w:afterLines="50" w:line="360" w:lineRule="auto"/>
        <w:rPr>
          <w:rFonts w:hint="eastAsia" w:ascii="宋体" w:hAnsi="宋体" w:cs="宋体"/>
          <w:b/>
          <w:bCs/>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10</w:t>
      </w:r>
      <w:r>
        <w:rPr>
          <w:rFonts w:ascii="宋体" w:hAnsi="宋体"/>
          <w:color w:val="auto"/>
          <w:sz w:val="24"/>
          <w:highlight w:val="none"/>
        </w:rPr>
        <w:t>本技术</w:t>
      </w:r>
      <w:r>
        <w:rPr>
          <w:rFonts w:hint="eastAsia" w:ascii="宋体" w:hAnsi="宋体"/>
          <w:color w:val="auto"/>
          <w:sz w:val="24"/>
          <w:highlight w:val="none"/>
        </w:rPr>
        <w:t>规范</w:t>
      </w:r>
      <w:r>
        <w:rPr>
          <w:rFonts w:ascii="宋体" w:hAnsi="宋体"/>
          <w:color w:val="auto"/>
          <w:sz w:val="24"/>
          <w:highlight w:val="none"/>
        </w:rPr>
        <w:t>经</w:t>
      </w:r>
      <w:r>
        <w:rPr>
          <w:rFonts w:hint="eastAsia" w:ascii="宋体" w:hAnsi="宋体"/>
          <w:color w:val="auto"/>
          <w:sz w:val="24"/>
          <w:highlight w:val="none"/>
          <w:lang w:eastAsia="zh-CN"/>
        </w:rPr>
        <w:t>投标人</w:t>
      </w:r>
      <w:r>
        <w:rPr>
          <w:rFonts w:ascii="宋体" w:hAnsi="宋体"/>
          <w:color w:val="auto"/>
          <w:sz w:val="24"/>
          <w:highlight w:val="none"/>
        </w:rPr>
        <w:t>和</w:t>
      </w:r>
      <w:r>
        <w:rPr>
          <w:rFonts w:hint="eastAsia" w:ascii="宋体" w:hAnsi="宋体"/>
          <w:color w:val="auto"/>
          <w:sz w:val="24"/>
          <w:highlight w:val="none"/>
          <w:lang w:eastAsia="zh-CN"/>
        </w:rPr>
        <w:t>招标人</w:t>
      </w:r>
      <w:r>
        <w:rPr>
          <w:rFonts w:ascii="宋体" w:hAnsi="宋体"/>
          <w:color w:val="auto"/>
          <w:sz w:val="24"/>
          <w:highlight w:val="none"/>
        </w:rPr>
        <w:t>确认后作为合同的附件，与合同正文具有同等法律效力。</w:t>
      </w:r>
    </w:p>
    <w:p w14:paraId="1C11A399">
      <w:pPr>
        <w:pStyle w:val="18"/>
        <w:tabs>
          <w:tab w:val="left" w:pos="840"/>
          <w:tab w:val="right" w:leader="dot" w:pos="9117"/>
        </w:tabs>
        <w:spacing w:before="120" w:beforeLines="50" w:after="120"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2、概述</w:t>
      </w:r>
    </w:p>
    <w:p w14:paraId="3BB64204">
      <w:pPr>
        <w:pStyle w:val="18"/>
        <w:tabs>
          <w:tab w:val="left" w:pos="840"/>
          <w:tab w:val="right" w:leader="dot" w:pos="9117"/>
        </w:tabs>
        <w:spacing w:before="120" w:beforeLines="50" w:after="120" w:afterLines="50" w:line="360" w:lineRule="auto"/>
        <w:rPr>
          <w:rFonts w:hint="eastAsia" w:ascii="宋体" w:hAnsi="宋体" w:cs="宋体"/>
          <w:color w:val="auto"/>
          <w:sz w:val="24"/>
          <w:highlight w:val="none"/>
        </w:rPr>
      </w:pPr>
      <w:r>
        <w:rPr>
          <w:rFonts w:hint="eastAsia" w:ascii="宋体" w:hAnsi="宋体" w:cs="宋体"/>
          <w:color w:val="auto"/>
          <w:sz w:val="24"/>
          <w:highlight w:val="none"/>
        </w:rPr>
        <w:t>2.1电厂概述</w:t>
      </w:r>
    </w:p>
    <w:p w14:paraId="1E7E94D7">
      <w:pPr>
        <w:spacing w:before="62"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赣能股份丰城发电厂</w:t>
      </w:r>
      <w:r>
        <w:rPr>
          <w:rFonts w:hint="eastAsia" w:ascii="宋体" w:hAnsi="宋体" w:cs="宋体"/>
          <w:color w:val="auto"/>
          <w:sz w:val="24"/>
          <w:highlight w:val="none"/>
          <w:lang w:val="en-US" w:eastAsia="zh-CN"/>
        </w:rPr>
        <w:t>5、6号机组</w:t>
      </w:r>
      <w:r>
        <w:rPr>
          <w:rFonts w:hint="eastAsia" w:ascii="宋体" w:hAnsi="宋体" w:eastAsia="宋体" w:cs="宋体"/>
          <w:color w:val="auto"/>
          <w:sz w:val="24"/>
          <w:highlight w:val="none"/>
        </w:rPr>
        <w:t>建设规模为2</w:t>
      </w:r>
      <w:r>
        <w:rPr>
          <w:rFonts w:hint="eastAsia" w:ascii="宋体" w:hAnsi="宋体" w:eastAsia="宋体" w:cs="宋体"/>
          <w:b w:val="0"/>
          <w:color w:val="auto"/>
          <w:sz w:val="24"/>
          <w:szCs w:val="24"/>
          <w:highlight w:val="none"/>
        </w:rPr>
        <w:t>×</w:t>
      </w:r>
      <w:r>
        <w:rPr>
          <w:rFonts w:hint="eastAsia" w:ascii="宋体" w:hAnsi="宋体" w:eastAsia="宋体" w:cs="宋体"/>
          <w:color w:val="auto"/>
          <w:sz w:val="24"/>
          <w:highlight w:val="none"/>
        </w:rPr>
        <w:t>700MW超临界燃煤发电机组。每台机组配备1台最大连续蒸发量2102t/h的锅炉，每台锅炉同步配套建设1套石灰石-石膏湿法脱硫设施，全烟气脱硫。</w:t>
      </w:r>
    </w:p>
    <w:p w14:paraId="7B237420">
      <w:pPr>
        <w:spacing w:before="62" w:line="360" w:lineRule="auto"/>
        <w:ind w:firstLine="480" w:firstLineChars="200"/>
        <w:rPr>
          <w:rFonts w:ascii="宋体" w:hAnsi="宋体"/>
          <w:color w:val="auto"/>
          <w:sz w:val="24"/>
          <w:highlight w:val="none"/>
        </w:rPr>
      </w:pPr>
      <w:r>
        <w:rPr>
          <w:rFonts w:ascii="宋体" w:hAnsi="宋体"/>
          <w:color w:val="auto"/>
          <w:sz w:val="24"/>
          <w:highlight w:val="none"/>
        </w:rPr>
        <w:t>赣能股份丰城发电厂</w:t>
      </w:r>
      <w:r>
        <w:rPr>
          <w:rFonts w:hint="eastAsia" w:ascii="宋体" w:hAnsi="宋体"/>
          <w:color w:val="auto"/>
          <w:sz w:val="24"/>
          <w:highlight w:val="none"/>
          <w:lang w:val="en-US" w:eastAsia="zh-CN"/>
        </w:rPr>
        <w:t>7、8号机组</w:t>
      </w:r>
      <w:r>
        <w:rPr>
          <w:rFonts w:ascii="宋体" w:hAnsi="宋体"/>
          <w:color w:val="auto"/>
          <w:sz w:val="24"/>
          <w:highlight w:val="none"/>
        </w:rPr>
        <w:t>建设规模为2</w:t>
      </w:r>
      <w:r>
        <w:rPr>
          <w:rFonts w:hint="eastAsia"/>
          <w:color w:val="auto"/>
          <w:sz w:val="24"/>
          <w:highlight w:val="none"/>
        </w:rPr>
        <w:t>×</w:t>
      </w:r>
      <w:r>
        <w:rPr>
          <w:rFonts w:hint="eastAsia" w:ascii="宋体" w:hAnsi="宋体"/>
          <w:color w:val="auto"/>
          <w:sz w:val="24"/>
          <w:highlight w:val="none"/>
        </w:rPr>
        <w:t>1000MW</w:t>
      </w:r>
      <w:r>
        <w:rPr>
          <w:rFonts w:ascii="宋体" w:hAnsi="宋体"/>
          <w:color w:val="auto"/>
          <w:sz w:val="24"/>
          <w:highlight w:val="none"/>
        </w:rPr>
        <w:t>超</w:t>
      </w:r>
      <w:r>
        <w:rPr>
          <w:rFonts w:hint="eastAsia" w:ascii="宋体" w:hAnsi="宋体"/>
          <w:color w:val="auto"/>
          <w:sz w:val="24"/>
          <w:highlight w:val="none"/>
          <w:lang w:val="en-US" w:eastAsia="zh-CN"/>
        </w:rPr>
        <w:t>超</w:t>
      </w:r>
      <w:r>
        <w:rPr>
          <w:rFonts w:ascii="宋体" w:hAnsi="宋体"/>
          <w:color w:val="auto"/>
          <w:sz w:val="24"/>
          <w:highlight w:val="none"/>
        </w:rPr>
        <w:t>临界燃煤发电机组，每台机组配备1台最大连续蒸发量(BMCR)</w:t>
      </w:r>
      <w:r>
        <w:rPr>
          <w:rFonts w:hint="eastAsia" w:ascii="宋体" w:hAnsi="宋体"/>
          <w:color w:val="auto"/>
          <w:sz w:val="24"/>
          <w:highlight w:val="none"/>
        </w:rPr>
        <w:t>2765</w:t>
      </w:r>
      <w:r>
        <w:rPr>
          <w:rFonts w:ascii="宋体" w:hAnsi="宋体"/>
          <w:color w:val="auto"/>
          <w:sz w:val="24"/>
          <w:highlight w:val="none"/>
        </w:rPr>
        <w:t>t/h的锅炉，每台锅炉同步配套建设1套石灰石-石膏湿法脱硫设施，全烟气脱硫</w:t>
      </w:r>
      <w:r>
        <w:rPr>
          <w:rFonts w:hint="eastAsia" w:ascii="宋体" w:hAnsi="宋体"/>
          <w:color w:val="auto"/>
          <w:sz w:val="24"/>
          <w:highlight w:val="none"/>
        </w:rPr>
        <w:t>。</w:t>
      </w:r>
    </w:p>
    <w:p w14:paraId="50C85590">
      <w:pPr>
        <w:spacing w:before="62" w:line="360" w:lineRule="auto"/>
        <w:rPr>
          <w:rFonts w:ascii="宋体" w:hAnsi="宋体"/>
          <w:color w:val="auto"/>
          <w:sz w:val="24"/>
          <w:highlight w:val="none"/>
        </w:rPr>
      </w:pPr>
      <w:r>
        <w:rPr>
          <w:rFonts w:hint="eastAsia" w:ascii="宋体" w:hAnsi="宋体"/>
          <w:color w:val="auto"/>
          <w:sz w:val="24"/>
          <w:highlight w:val="none"/>
        </w:rPr>
        <w:t>2.2厂址</w:t>
      </w:r>
    </w:p>
    <w:p w14:paraId="2BD234AD">
      <w:pPr>
        <w:spacing w:before="62" w:line="360" w:lineRule="auto"/>
        <w:ind w:firstLine="480" w:firstLineChars="200"/>
        <w:rPr>
          <w:rFonts w:ascii="宋体" w:hAnsi="宋体"/>
          <w:color w:val="auto"/>
          <w:sz w:val="24"/>
          <w:highlight w:val="none"/>
        </w:rPr>
      </w:pPr>
      <w:r>
        <w:rPr>
          <w:rFonts w:hint="eastAsia" w:ascii="宋体" w:hAnsi="宋体"/>
          <w:color w:val="auto"/>
          <w:sz w:val="24"/>
          <w:highlight w:val="none"/>
        </w:rPr>
        <w:t>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电厂位于丰城市西面石上村，厂区距丰城市区8公里，距南昌市约60km，南临赣江约0.5km，东距丰高公路约0.6km，北距丰城水泥厂2.8km</w:t>
      </w:r>
      <w:r>
        <w:rPr>
          <w:rFonts w:hint="eastAsia" w:ascii="宋体" w:hAnsi="宋体"/>
          <w:color w:val="auto"/>
          <w:sz w:val="24"/>
          <w:highlight w:val="none"/>
        </w:rPr>
        <w:t>，交通便利</w:t>
      </w:r>
      <w:r>
        <w:rPr>
          <w:rFonts w:ascii="宋体" w:hAnsi="宋体"/>
          <w:color w:val="auto"/>
          <w:sz w:val="24"/>
          <w:highlight w:val="none"/>
        </w:rPr>
        <w:t>。</w:t>
      </w:r>
    </w:p>
    <w:p w14:paraId="6C7567D0">
      <w:pPr>
        <w:spacing w:before="62" w:line="360" w:lineRule="auto"/>
        <w:rPr>
          <w:rFonts w:ascii="宋体" w:hAnsi="宋体"/>
          <w:color w:val="auto"/>
          <w:sz w:val="24"/>
          <w:highlight w:val="none"/>
        </w:rPr>
      </w:pPr>
      <w:r>
        <w:rPr>
          <w:rFonts w:hint="eastAsia" w:ascii="宋体" w:hAnsi="宋体"/>
          <w:color w:val="auto"/>
          <w:sz w:val="24"/>
          <w:highlight w:val="none"/>
        </w:rPr>
        <w:t>2.3脱硫系统概述</w:t>
      </w:r>
    </w:p>
    <w:p w14:paraId="3FB40C0D">
      <w:pPr>
        <w:spacing w:before="62" w:line="360" w:lineRule="auto"/>
        <w:ind w:firstLine="480" w:firstLineChars="200"/>
        <w:rPr>
          <w:rFonts w:hint="eastAsia" w:ascii="宋体" w:hAnsi="宋体"/>
          <w:color w:val="auto"/>
          <w:sz w:val="24"/>
          <w:highlight w:val="none"/>
        </w:rPr>
      </w:pPr>
      <w:r>
        <w:rPr>
          <w:rFonts w:hint="eastAsia" w:ascii="宋体" w:hAnsi="宋体" w:eastAsia="宋体" w:cs="宋体"/>
          <w:color w:val="auto"/>
          <w:sz w:val="24"/>
          <w:highlight w:val="none"/>
        </w:rPr>
        <w:t>赣能股份丰城发电厂5、6</w:t>
      </w:r>
      <w:r>
        <w:rPr>
          <w:rFonts w:hint="eastAsia" w:ascii="宋体" w:hAnsi="宋体" w:cs="宋体"/>
          <w:color w:val="auto"/>
          <w:sz w:val="24"/>
          <w:highlight w:val="none"/>
          <w:lang w:val="en-US" w:eastAsia="zh-CN"/>
        </w:rPr>
        <w:t>号</w:t>
      </w:r>
      <w:r>
        <w:rPr>
          <w:rFonts w:hint="eastAsia" w:ascii="宋体" w:hAnsi="宋体" w:eastAsia="宋体" w:cs="宋体"/>
          <w:color w:val="auto"/>
          <w:sz w:val="24"/>
          <w:highlight w:val="none"/>
        </w:rPr>
        <w:t>机组脱硫装置采用石灰石作为吸收剂、生产副产品二水石膏（</w:t>
      </w:r>
      <w:r>
        <w:rPr>
          <w:rFonts w:hint="eastAsia" w:ascii="宋体" w:hAnsi="宋体" w:eastAsia="宋体" w:cs="宋体"/>
          <w:color w:val="auto"/>
          <w:sz w:val="24"/>
          <w:highlight w:val="none"/>
        </w:rPr>
        <w:t>CaSO</w:t>
      </w:r>
      <w:r>
        <w:rPr>
          <w:rFonts w:hint="eastAsia" w:ascii="宋体" w:hAnsi="宋体" w:eastAsia="宋体" w:cs="宋体"/>
          <w:color w:val="auto"/>
          <w:sz w:val="24"/>
          <w:highlight w:val="none"/>
          <w:vertAlign w:val="subscript"/>
        </w:rPr>
        <w:t>4</w:t>
      </w:r>
      <w:r>
        <w:rPr>
          <w:rFonts w:hint="eastAsia" w:ascii="宋体" w:hAnsi="宋体" w:eastAsia="宋体" w:cs="宋体"/>
          <w:color w:val="auto"/>
          <w:sz w:val="24"/>
          <w:highlight w:val="none"/>
        </w:rPr>
        <w:t>·2H</w:t>
      </w:r>
      <w:r>
        <w:rPr>
          <w:rFonts w:hint="eastAsia" w:ascii="宋体" w:hAnsi="宋体" w:eastAsia="宋体" w:cs="宋体"/>
          <w:color w:val="auto"/>
          <w:sz w:val="24"/>
          <w:highlight w:val="none"/>
          <w:vertAlign w:val="subscript"/>
        </w:rPr>
        <w:t>2</w:t>
      </w:r>
      <w:r>
        <w:rPr>
          <w:rFonts w:hint="eastAsia" w:ascii="宋体" w:hAnsi="宋体" w:eastAsia="宋体" w:cs="宋体"/>
          <w:color w:val="auto"/>
          <w:sz w:val="24"/>
          <w:highlight w:val="none"/>
        </w:rPr>
        <w:t>O</w:t>
      </w:r>
      <w:r>
        <w:rPr>
          <w:rFonts w:hint="eastAsia" w:ascii="宋体" w:hAnsi="宋体" w:eastAsia="宋体" w:cs="宋体"/>
          <w:color w:val="auto"/>
          <w:sz w:val="24"/>
          <w:highlight w:val="none"/>
        </w:rPr>
        <w:t>）的石灰石—石膏湿法脱硫工艺。脱硫超低排放改造后，锅炉设计煤种含硫量为1.62%，经脱硫装置后脱硫率不小于99.02%，石灰石耗量15.7</w:t>
      </w:r>
      <w:r>
        <w:rPr>
          <w:rFonts w:hint="eastAsia" w:ascii="宋体" w:hAnsi="宋体" w:eastAsia="宋体" w:cs="宋体"/>
          <w:color w:val="auto"/>
          <w:sz w:val="24"/>
          <w:highlight w:val="none"/>
          <w:lang w:eastAsia="zh-CN"/>
        </w:rPr>
        <w:t>t/h</w:t>
      </w:r>
      <w:r>
        <w:rPr>
          <w:rFonts w:hint="eastAsia" w:ascii="宋体" w:hAnsi="宋体" w:eastAsia="宋体" w:cs="宋体"/>
          <w:color w:val="auto"/>
          <w:sz w:val="24"/>
          <w:highlight w:val="none"/>
        </w:rPr>
        <w:t>，石膏产量28.2</w:t>
      </w:r>
      <w:r>
        <w:rPr>
          <w:rFonts w:hint="eastAsia" w:ascii="宋体" w:hAnsi="宋体" w:eastAsia="宋体" w:cs="宋体"/>
          <w:color w:val="auto"/>
          <w:sz w:val="24"/>
          <w:highlight w:val="none"/>
          <w:lang w:eastAsia="zh-CN"/>
        </w:rPr>
        <w:t>t/h</w:t>
      </w:r>
      <w:r>
        <w:rPr>
          <w:rFonts w:hint="eastAsia" w:ascii="宋体" w:hAnsi="宋体" w:eastAsia="宋体" w:cs="宋体"/>
          <w:color w:val="auto"/>
          <w:sz w:val="24"/>
          <w:highlight w:val="none"/>
        </w:rPr>
        <w:t xml:space="preserve"> (以上均为单台700MW机组)。</w:t>
      </w:r>
    </w:p>
    <w:p w14:paraId="6C906EE3">
      <w:pPr>
        <w:spacing w:before="62" w:line="360" w:lineRule="auto"/>
        <w:ind w:firstLine="480" w:firstLineChars="200"/>
        <w:rPr>
          <w:rFonts w:ascii="宋体" w:hAnsi="宋体"/>
          <w:color w:val="auto"/>
          <w:sz w:val="24"/>
          <w:highlight w:val="none"/>
        </w:rPr>
      </w:pPr>
      <w:r>
        <w:rPr>
          <w:rFonts w:hint="eastAsia" w:ascii="宋体" w:hAnsi="宋体"/>
          <w:color w:val="auto"/>
          <w:sz w:val="24"/>
          <w:highlight w:val="none"/>
        </w:rPr>
        <w:t>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8号</w:t>
      </w:r>
      <w:r>
        <w:rPr>
          <w:rFonts w:ascii="宋体" w:hAnsi="宋体"/>
          <w:color w:val="auto"/>
          <w:sz w:val="24"/>
          <w:highlight w:val="none"/>
        </w:rPr>
        <w:t>机组脱硫装置采用石灰石作为吸收剂、生产副产品二水石膏（CaSO</w:t>
      </w:r>
      <w:r>
        <w:rPr>
          <w:rFonts w:ascii="宋体" w:hAnsi="宋体"/>
          <w:color w:val="auto"/>
          <w:sz w:val="24"/>
          <w:highlight w:val="none"/>
          <w:vertAlign w:val="subscript"/>
        </w:rPr>
        <w:t>4</w:t>
      </w:r>
      <w:r>
        <w:rPr>
          <w:rFonts w:hint="eastAsia" w:ascii="宋体" w:hAnsi="宋体" w:eastAsia="宋体" w:cs="宋体"/>
          <w:color w:val="auto"/>
          <w:sz w:val="24"/>
          <w:highlight w:val="none"/>
        </w:rPr>
        <w:t>·</w:t>
      </w:r>
      <w:r>
        <w:rPr>
          <w:rFonts w:ascii="宋体" w:hAnsi="宋体"/>
          <w:color w:val="auto"/>
          <w:sz w:val="24"/>
          <w:highlight w:val="none"/>
        </w:rPr>
        <w:t>2H</w:t>
      </w:r>
      <w:r>
        <w:rPr>
          <w:rFonts w:ascii="宋体" w:hAnsi="宋体"/>
          <w:color w:val="auto"/>
          <w:sz w:val="24"/>
          <w:highlight w:val="none"/>
          <w:vertAlign w:val="subscript"/>
        </w:rPr>
        <w:t>2</w:t>
      </w:r>
      <w:r>
        <w:rPr>
          <w:rFonts w:ascii="宋体" w:hAnsi="宋体"/>
          <w:color w:val="auto"/>
          <w:sz w:val="24"/>
          <w:highlight w:val="none"/>
        </w:rPr>
        <w:t>O）的石灰石—石膏湿法脱硫工艺</w:t>
      </w:r>
      <w:r>
        <w:rPr>
          <w:rFonts w:hint="eastAsia" w:ascii="宋体" w:hAnsi="宋体"/>
          <w:color w:val="auto"/>
          <w:sz w:val="24"/>
          <w:highlight w:val="none"/>
        </w:rPr>
        <w:t>。</w:t>
      </w:r>
      <w:r>
        <w:rPr>
          <w:rFonts w:ascii="宋体" w:hAnsi="宋体"/>
          <w:color w:val="auto"/>
          <w:sz w:val="24"/>
          <w:highlight w:val="none"/>
        </w:rPr>
        <w:t>江西</w:t>
      </w:r>
      <w:r>
        <w:rPr>
          <w:rFonts w:hint="eastAsia" w:ascii="宋体" w:hAnsi="宋体"/>
          <w:color w:val="auto"/>
          <w:sz w:val="24"/>
          <w:highlight w:val="none"/>
        </w:rPr>
        <w:t>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8号</w:t>
      </w:r>
      <w:r>
        <w:rPr>
          <w:rFonts w:ascii="宋体" w:hAnsi="宋体"/>
          <w:color w:val="auto"/>
          <w:sz w:val="24"/>
          <w:highlight w:val="none"/>
        </w:rPr>
        <w:t>机组</w:t>
      </w:r>
      <w:r>
        <w:rPr>
          <w:rFonts w:hint="eastAsia" w:ascii="宋体" w:hAnsi="宋体"/>
          <w:color w:val="auto"/>
          <w:sz w:val="24"/>
          <w:highlight w:val="none"/>
          <w:lang w:eastAsia="zh-CN"/>
        </w:rPr>
        <w:t>脱硫</w:t>
      </w:r>
      <w:r>
        <w:rPr>
          <w:rFonts w:ascii="宋体" w:hAnsi="宋体"/>
          <w:color w:val="auto"/>
          <w:sz w:val="24"/>
          <w:highlight w:val="none"/>
        </w:rPr>
        <w:t>设计煤种含硫量为1.</w:t>
      </w:r>
      <w:r>
        <w:rPr>
          <w:rFonts w:hint="eastAsia" w:ascii="宋体" w:hAnsi="宋体"/>
          <w:color w:val="auto"/>
          <w:sz w:val="24"/>
          <w:highlight w:val="none"/>
        </w:rPr>
        <w:t>25</w:t>
      </w:r>
      <w:r>
        <w:rPr>
          <w:rFonts w:ascii="宋体" w:hAnsi="宋体"/>
          <w:color w:val="auto"/>
          <w:sz w:val="24"/>
          <w:highlight w:val="none"/>
        </w:rPr>
        <w:t>%，经脱硫装置后脱硫率不小于</w:t>
      </w:r>
      <w:r>
        <w:rPr>
          <w:rFonts w:hint="eastAsia" w:ascii="宋体" w:hAnsi="宋体"/>
          <w:color w:val="auto"/>
          <w:sz w:val="24"/>
          <w:highlight w:val="none"/>
        </w:rPr>
        <w:t>99.02</w:t>
      </w:r>
      <w:r>
        <w:rPr>
          <w:rFonts w:ascii="宋体" w:hAnsi="宋体"/>
          <w:color w:val="auto"/>
          <w:sz w:val="24"/>
          <w:highlight w:val="none"/>
        </w:rPr>
        <w:t>%，石灰石耗量1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T/</w:t>
      </w:r>
      <w:r>
        <w:rPr>
          <w:rFonts w:hint="eastAsia" w:ascii="宋体" w:hAnsi="宋体"/>
          <w:color w:val="auto"/>
          <w:sz w:val="24"/>
          <w:highlight w:val="none"/>
          <w:lang w:val="en-US" w:eastAsia="zh-CN"/>
        </w:rPr>
        <w:t>h</w:t>
      </w:r>
      <w:r>
        <w:rPr>
          <w:rFonts w:ascii="宋体" w:hAnsi="宋体"/>
          <w:color w:val="auto"/>
          <w:sz w:val="24"/>
          <w:highlight w:val="none"/>
        </w:rPr>
        <w:t>，石膏产量</w:t>
      </w:r>
      <w:r>
        <w:rPr>
          <w:rFonts w:hint="eastAsia" w:ascii="宋体" w:hAnsi="宋体"/>
          <w:color w:val="auto"/>
          <w:sz w:val="24"/>
          <w:highlight w:val="none"/>
        </w:rPr>
        <w:t>34</w:t>
      </w:r>
      <w:r>
        <w:rPr>
          <w:rFonts w:ascii="宋体" w:hAnsi="宋体"/>
          <w:color w:val="auto"/>
          <w:sz w:val="24"/>
          <w:highlight w:val="none"/>
        </w:rPr>
        <w:t>.</w:t>
      </w:r>
      <w:r>
        <w:rPr>
          <w:rFonts w:hint="eastAsia" w:ascii="宋体" w:hAnsi="宋体"/>
          <w:color w:val="auto"/>
          <w:sz w:val="24"/>
          <w:highlight w:val="none"/>
        </w:rPr>
        <w:t>8</w:t>
      </w:r>
      <w:r>
        <w:rPr>
          <w:rFonts w:ascii="宋体" w:hAnsi="宋体"/>
          <w:color w:val="auto"/>
          <w:sz w:val="24"/>
          <w:highlight w:val="none"/>
        </w:rPr>
        <w:t>T/</w:t>
      </w:r>
      <w:r>
        <w:rPr>
          <w:rFonts w:hint="eastAsia" w:ascii="宋体" w:hAnsi="宋体"/>
          <w:color w:val="auto"/>
          <w:sz w:val="24"/>
          <w:highlight w:val="none"/>
        </w:rPr>
        <w:t>h</w:t>
      </w:r>
      <w:r>
        <w:rPr>
          <w:rFonts w:ascii="宋体" w:hAnsi="宋体"/>
          <w:color w:val="auto"/>
          <w:sz w:val="24"/>
          <w:highlight w:val="none"/>
        </w:rPr>
        <w:t xml:space="preserve"> (以上均为单台</w:t>
      </w:r>
      <w:r>
        <w:rPr>
          <w:rFonts w:hint="eastAsia" w:ascii="宋体" w:hAnsi="宋体"/>
          <w:color w:val="auto"/>
          <w:sz w:val="24"/>
          <w:highlight w:val="none"/>
        </w:rPr>
        <w:t>10</w:t>
      </w:r>
      <w:r>
        <w:rPr>
          <w:rFonts w:ascii="宋体" w:hAnsi="宋体"/>
          <w:color w:val="auto"/>
          <w:sz w:val="24"/>
          <w:highlight w:val="none"/>
        </w:rPr>
        <w:t>00MW机组)。</w:t>
      </w:r>
    </w:p>
    <w:p w14:paraId="48A8E603">
      <w:pPr>
        <w:spacing w:before="62" w:line="360" w:lineRule="auto"/>
        <w:rPr>
          <w:rFonts w:ascii="宋体" w:hAnsi="宋体"/>
          <w:color w:val="auto"/>
          <w:sz w:val="24"/>
          <w:highlight w:val="none"/>
        </w:rPr>
      </w:pPr>
      <w:r>
        <w:rPr>
          <w:rFonts w:hint="eastAsia" w:ascii="宋体" w:hAnsi="宋体"/>
          <w:color w:val="auto"/>
          <w:sz w:val="24"/>
          <w:highlight w:val="none"/>
        </w:rPr>
        <w:t>2.4石膏品质及产量</w:t>
      </w:r>
    </w:p>
    <w:p w14:paraId="00F8A426">
      <w:pPr>
        <w:spacing w:before="62" w:line="360" w:lineRule="auto"/>
        <w:rPr>
          <w:rFonts w:ascii="宋体" w:hAnsi="宋体"/>
          <w:color w:val="auto"/>
          <w:sz w:val="24"/>
          <w:highlight w:val="none"/>
        </w:rPr>
      </w:pPr>
      <w:r>
        <w:rPr>
          <w:rFonts w:hint="eastAsia" w:ascii="宋体" w:hAnsi="宋体"/>
          <w:color w:val="auto"/>
          <w:sz w:val="24"/>
          <w:highlight w:val="none"/>
        </w:rPr>
        <w:t>2.4.1本技术规范所述石膏系赣能股份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w:t>
      </w:r>
      <w:r>
        <w:rPr>
          <w:rFonts w:hint="eastAsia" w:ascii="宋体" w:hAnsi="宋体"/>
          <w:color w:val="auto"/>
          <w:sz w:val="24"/>
          <w:highlight w:val="none"/>
        </w:rPr>
        <w:t>烟气脱硫系统产生的附属品脱硫石膏。</w:t>
      </w:r>
    </w:p>
    <w:p w14:paraId="64D58C0A">
      <w:pPr>
        <w:spacing w:before="62" w:line="360" w:lineRule="auto"/>
        <w:rPr>
          <w:rFonts w:ascii="宋体" w:hAnsi="宋体"/>
          <w:color w:val="auto"/>
          <w:sz w:val="24"/>
          <w:highlight w:val="none"/>
        </w:rPr>
      </w:pPr>
      <w:r>
        <w:rPr>
          <w:rFonts w:hint="eastAsia" w:ascii="宋体" w:hAnsi="宋体"/>
          <w:color w:val="auto"/>
          <w:sz w:val="24"/>
          <w:highlight w:val="none"/>
        </w:rPr>
        <w:t>2.4.2</w:t>
      </w:r>
      <w:r>
        <w:rPr>
          <w:rFonts w:ascii="宋体" w:hAnsi="宋体"/>
          <w:color w:val="auto"/>
          <w:sz w:val="24"/>
          <w:highlight w:val="none"/>
        </w:rPr>
        <w:t>江西</w:t>
      </w:r>
      <w:r>
        <w:rPr>
          <w:rFonts w:hint="eastAsia" w:ascii="宋体" w:hAnsi="宋体"/>
          <w:color w:val="auto"/>
          <w:sz w:val="24"/>
          <w:highlight w:val="none"/>
        </w:rPr>
        <w:t>赣能股份</w:t>
      </w:r>
      <w:r>
        <w:rPr>
          <w:rFonts w:ascii="宋体" w:hAnsi="宋体"/>
          <w:color w:val="auto"/>
          <w:sz w:val="24"/>
          <w:highlight w:val="none"/>
        </w:rPr>
        <w:t>丰城</w:t>
      </w:r>
      <w:r>
        <w:rPr>
          <w:rFonts w:hint="eastAsia" w:ascii="宋体" w:hAnsi="宋体"/>
          <w:color w:val="auto"/>
          <w:sz w:val="24"/>
          <w:highlight w:val="none"/>
        </w:rPr>
        <w:t>发</w:t>
      </w:r>
      <w:r>
        <w:rPr>
          <w:rFonts w:ascii="宋体" w:hAnsi="宋体"/>
          <w:color w:val="auto"/>
          <w:sz w:val="24"/>
          <w:highlight w:val="none"/>
        </w:rPr>
        <w:t>电厂</w:t>
      </w:r>
      <w:r>
        <w:rPr>
          <w:rFonts w:hint="eastAsia" w:ascii="宋体" w:hAnsi="宋体"/>
          <w:color w:val="auto"/>
          <w:sz w:val="24"/>
          <w:highlight w:val="none"/>
        </w:rPr>
        <w:t>石膏品质</w:t>
      </w:r>
    </w:p>
    <w:tbl>
      <w:tblPr>
        <w:tblStyle w:val="21"/>
        <w:tblW w:w="6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3"/>
        <w:gridCol w:w="1958"/>
        <w:gridCol w:w="2615"/>
      </w:tblGrid>
      <w:tr w14:paraId="4347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81D5F8">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检测项目</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top"/>
          </w:tcPr>
          <w:p w14:paraId="76C33F54">
            <w:pPr>
              <w:keepNext w:val="0"/>
              <w:keepLines w:val="0"/>
              <w:widowControl/>
              <w:suppressLineNumbers w:val="0"/>
              <w:jc w:val="left"/>
              <w:textAlignment w:val="top"/>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指标</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14:paraId="4D5C694D">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231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E6570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SO</w:t>
            </w:r>
            <w:r>
              <w:rPr>
                <w:rFonts w:hint="eastAsia" w:ascii="宋体" w:hAnsi="宋体" w:eastAsia="宋体" w:cs="宋体"/>
                <w:i w:val="0"/>
                <w:iCs w:val="0"/>
                <w:color w:val="auto"/>
                <w:kern w:val="0"/>
                <w:sz w:val="24"/>
                <w:szCs w:val="24"/>
                <w:highlight w:val="none"/>
                <w:u w:val="none"/>
                <w:vertAlign w:val="subscript"/>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5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615" w:type="dxa"/>
            <w:vMerge w:val="restart"/>
            <w:tcBorders>
              <w:top w:val="single" w:color="000000" w:sz="4" w:space="0"/>
              <w:left w:val="single" w:color="000000" w:sz="4" w:space="0"/>
              <w:right w:val="single" w:color="000000" w:sz="4" w:space="0"/>
            </w:tcBorders>
            <w:shd w:val="clear" w:color="auto" w:fill="auto"/>
            <w:vAlign w:val="center"/>
          </w:tcPr>
          <w:p w14:paraId="19C33984">
            <w:pPr>
              <w:bidi w:val="0"/>
              <w:jc w:val="center"/>
              <w:rPr>
                <w:rFonts w:hint="default"/>
                <w:color w:val="auto"/>
                <w:highlight w:val="none"/>
                <w:lang w:val="en-US" w:eastAsia="zh-CN"/>
              </w:rPr>
            </w:pPr>
            <w:r>
              <w:rPr>
                <w:rFonts w:hint="eastAsia"/>
                <w:color w:val="auto"/>
                <w:highlight w:val="none"/>
                <w:lang w:val="en-US" w:eastAsia="zh-CN"/>
              </w:rPr>
              <w:t>此为正常产生的石膏品质，招标人脱硫系统由于脱硫浆液泄漏、检修或其他原因产生的少量石膏不在此指标范围内</w:t>
            </w:r>
          </w:p>
        </w:tc>
      </w:tr>
      <w:tr w14:paraId="494A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2EF71C">
            <w:pPr>
              <w:keepNext w:val="0"/>
              <w:keepLines w:val="0"/>
              <w:widowControl/>
              <w:suppressLineNumbers w:val="0"/>
              <w:jc w:val="left"/>
              <w:textAlignment w:val="top"/>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结晶水</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top"/>
          </w:tcPr>
          <w:p w14:paraId="53BF7671">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615" w:type="dxa"/>
            <w:vMerge w:val="continue"/>
            <w:tcBorders>
              <w:left w:val="single" w:color="000000" w:sz="4" w:space="0"/>
              <w:right w:val="single" w:color="000000" w:sz="4" w:space="0"/>
            </w:tcBorders>
            <w:shd w:val="clear" w:color="auto" w:fill="auto"/>
            <w:vAlign w:val="top"/>
          </w:tcPr>
          <w:p w14:paraId="5684EE38">
            <w:pPr>
              <w:jc w:val="left"/>
              <w:rPr>
                <w:rFonts w:hint="eastAsia" w:ascii="宋体" w:hAnsi="宋体" w:eastAsia="宋体" w:cs="宋体"/>
                <w:i w:val="0"/>
                <w:iCs w:val="0"/>
                <w:color w:val="auto"/>
                <w:sz w:val="24"/>
                <w:szCs w:val="24"/>
                <w:highlight w:val="none"/>
                <w:u w:val="none"/>
              </w:rPr>
            </w:pPr>
          </w:p>
        </w:tc>
      </w:tr>
      <w:tr w14:paraId="74C4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top"/>
          </w:tcPr>
          <w:p w14:paraId="25CD224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default" w:ascii="Times New Roman" w:hAnsi="Times New Roman" w:eastAsia="宋体" w:cs="Times New Roman"/>
                <w:color w:val="auto"/>
                <w:sz w:val="24"/>
                <w:szCs w:val="24"/>
                <w:highlight w:val="none"/>
              </w:rPr>
              <w:t>附着水含量</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7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615" w:type="dxa"/>
            <w:vMerge w:val="continue"/>
            <w:tcBorders>
              <w:left w:val="single" w:color="000000" w:sz="4" w:space="0"/>
              <w:right w:val="single" w:color="000000" w:sz="4" w:space="0"/>
            </w:tcBorders>
            <w:shd w:val="clear" w:color="auto" w:fill="auto"/>
            <w:vAlign w:val="top"/>
          </w:tcPr>
          <w:p w14:paraId="64F58D35">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p>
        </w:tc>
      </w:tr>
      <w:tr w14:paraId="4127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657">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pH</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4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2615" w:type="dxa"/>
            <w:vMerge w:val="continue"/>
            <w:tcBorders>
              <w:left w:val="single" w:color="000000" w:sz="4" w:space="0"/>
              <w:right w:val="single" w:color="000000" w:sz="4" w:space="0"/>
            </w:tcBorders>
            <w:shd w:val="clear" w:color="auto" w:fill="auto"/>
            <w:vAlign w:val="top"/>
          </w:tcPr>
          <w:p w14:paraId="6EDE3426">
            <w:pPr>
              <w:jc w:val="left"/>
              <w:rPr>
                <w:rFonts w:hint="eastAsia" w:ascii="宋体" w:hAnsi="宋体" w:eastAsia="宋体" w:cs="宋体"/>
                <w:i w:val="0"/>
                <w:iCs w:val="0"/>
                <w:color w:val="auto"/>
                <w:sz w:val="24"/>
                <w:szCs w:val="24"/>
                <w:highlight w:val="none"/>
                <w:u w:val="none"/>
              </w:rPr>
            </w:pPr>
          </w:p>
        </w:tc>
      </w:tr>
      <w:tr w14:paraId="2F4B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3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氯离子(Cl)</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11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w:t>
            </w:r>
          </w:p>
        </w:tc>
        <w:tc>
          <w:tcPr>
            <w:tcW w:w="2615" w:type="dxa"/>
            <w:vMerge w:val="continue"/>
            <w:tcBorders>
              <w:left w:val="single" w:color="000000" w:sz="4" w:space="0"/>
              <w:bottom w:val="single" w:color="000000" w:sz="4" w:space="0"/>
              <w:right w:val="single" w:color="000000" w:sz="4" w:space="0"/>
            </w:tcBorders>
            <w:shd w:val="clear" w:color="auto" w:fill="auto"/>
            <w:vAlign w:val="center"/>
          </w:tcPr>
          <w:p w14:paraId="6BE4144C">
            <w:pPr>
              <w:jc w:val="left"/>
              <w:rPr>
                <w:rFonts w:hint="eastAsia" w:ascii="宋体" w:hAnsi="宋体" w:eastAsia="宋体" w:cs="宋体"/>
                <w:i w:val="0"/>
                <w:iCs w:val="0"/>
                <w:color w:val="auto"/>
                <w:sz w:val="24"/>
                <w:szCs w:val="24"/>
                <w:highlight w:val="none"/>
                <w:u w:val="none"/>
              </w:rPr>
            </w:pPr>
          </w:p>
        </w:tc>
      </w:tr>
    </w:tbl>
    <w:p w14:paraId="14C84969">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招标人</w:t>
      </w:r>
      <w:r>
        <w:rPr>
          <w:rFonts w:hint="eastAsia" w:ascii="宋体" w:hAnsi="宋体" w:eastAsia="宋体" w:cs="Times New Roman"/>
          <w:color w:val="auto"/>
          <w:sz w:val="24"/>
          <w:highlight w:val="none"/>
        </w:rPr>
        <w:t>对产出的石膏颜色不作任何承诺。</w:t>
      </w:r>
    </w:p>
    <w:p w14:paraId="39AD2DA6">
      <w:pPr>
        <w:spacing w:before="62" w:line="360" w:lineRule="auto"/>
        <w:rPr>
          <w:rFonts w:hint="eastAsia" w:ascii="宋体" w:hAnsi="宋体" w:eastAsia="宋体" w:cs="Times New Roman"/>
          <w:b/>
          <w:bCs/>
          <w:color w:val="auto"/>
          <w:sz w:val="24"/>
          <w:highlight w:val="none"/>
        </w:rPr>
      </w:pP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lang w:val="en-US" w:eastAsia="zh-CN"/>
        </w:rPr>
        <w:t>、</w:t>
      </w:r>
      <w:r>
        <w:rPr>
          <w:rFonts w:hint="eastAsia" w:ascii="宋体" w:hAnsi="宋体" w:eastAsia="宋体" w:cs="Times New Roman"/>
          <w:b/>
          <w:bCs/>
          <w:color w:val="auto"/>
          <w:sz w:val="24"/>
          <w:highlight w:val="none"/>
        </w:rPr>
        <w:t>运输、利用、处置要求</w:t>
      </w:r>
    </w:p>
    <w:p w14:paraId="1065C341">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w:t>
      </w:r>
      <w:r>
        <w:rPr>
          <w:rFonts w:hint="eastAsia" w:ascii="宋体" w:hAnsi="宋体" w:cs="Times New Roman"/>
          <w:color w:val="auto"/>
          <w:sz w:val="24"/>
          <w:highlight w:val="none"/>
          <w:lang w:val="en-US" w:eastAsia="zh-CN"/>
        </w:rPr>
        <w:t>必须有行驶证且每年度经过交通部门年检合格</w:t>
      </w:r>
      <w:r>
        <w:rPr>
          <w:rFonts w:hint="eastAsia" w:ascii="宋体" w:hAnsi="宋体" w:cs="Times New Roman"/>
          <w:color w:val="auto"/>
          <w:sz w:val="24"/>
          <w:highlight w:val="none"/>
          <w:lang w:val="en-US" w:eastAsia="zh-CN"/>
        </w:rPr>
        <w:t>，车辆</w:t>
      </w:r>
      <w:r>
        <w:rPr>
          <w:rFonts w:hint="eastAsia" w:ascii="宋体" w:hAnsi="宋体" w:eastAsia="宋体" w:cs="Times New Roman"/>
          <w:color w:val="auto"/>
          <w:sz w:val="24"/>
          <w:highlight w:val="none"/>
        </w:rPr>
        <w:t>证件、手续齐全有效，随车携带，</w:t>
      </w:r>
      <w:r>
        <w:rPr>
          <w:rFonts w:hint="eastAsia" w:ascii="宋体" w:hAnsi="宋体" w:eastAsia="宋体" w:cs="Times New Roman"/>
          <w:color w:val="auto"/>
          <w:sz w:val="24"/>
          <w:highlight w:val="none"/>
          <w:lang w:eastAsia="zh-CN"/>
        </w:rPr>
        <w:t>运输车辆要求</w:t>
      </w:r>
      <w:r>
        <w:rPr>
          <w:rFonts w:hint="eastAsia" w:ascii="宋体" w:hAnsi="宋体" w:cs="Times New Roman"/>
          <w:color w:val="auto"/>
          <w:sz w:val="24"/>
          <w:highlight w:val="none"/>
          <w:lang w:val="en-US" w:eastAsia="zh-CN"/>
        </w:rPr>
        <w:t>为环保运输车，</w:t>
      </w:r>
      <w:r>
        <w:rPr>
          <w:rFonts w:hint="eastAsia" w:ascii="宋体" w:hAnsi="宋体" w:eastAsia="宋体" w:cs="Times New Roman"/>
          <w:color w:val="auto"/>
          <w:sz w:val="24"/>
          <w:highlight w:val="none"/>
          <w:lang w:eastAsia="zh-CN"/>
        </w:rPr>
        <w:t>密封性能好，防洒漏、渗漏，装备自动篷布机，</w:t>
      </w:r>
      <w:r>
        <w:rPr>
          <w:rFonts w:hint="eastAsia" w:ascii="宋体" w:hAnsi="宋体" w:cs="Times New Roman"/>
          <w:color w:val="auto"/>
          <w:sz w:val="24"/>
          <w:highlight w:val="none"/>
          <w:lang w:val="en-US" w:eastAsia="zh-CN"/>
        </w:rPr>
        <w:t>运输车辆必须提供≥100万的第三者责任险保单复印件</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运输司机必须为专职驾驶员，取得相应驾驶证。</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拟派的运输队伍须具有道路运输经营许可证，如因无证运输经营等行为产生的所有处罚及给招标人造成的损失均由投标人承担。</w:t>
      </w:r>
    </w:p>
    <w:p w14:paraId="1A9BD839">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运输车辆在厂内进出、过磅、装运必须服从</w:t>
      </w:r>
      <w:r>
        <w:rPr>
          <w:rFonts w:hint="eastAsia" w:ascii="宋体" w:hAnsi="宋体" w:eastAsia="宋体" w:cs="Times New Roman"/>
          <w:color w:val="auto"/>
          <w:sz w:val="24"/>
          <w:highlight w:val="none"/>
          <w:lang w:eastAsia="zh-CN"/>
        </w:rPr>
        <w:t>招标人</w:t>
      </w:r>
      <w:r>
        <w:rPr>
          <w:rFonts w:hint="eastAsia" w:ascii="宋体" w:hAnsi="宋体" w:eastAsia="宋体" w:cs="Times New Roman"/>
          <w:color w:val="auto"/>
          <w:sz w:val="24"/>
          <w:highlight w:val="none"/>
        </w:rPr>
        <w:t>人员的统一组织调度。</w:t>
      </w:r>
    </w:p>
    <w:p w14:paraId="22FFB114">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运输车辆在厂外行驶遵守《中华人民共和国交通安全法》有关管理规定，在厂区内应按规定线路限速行使，不应超过</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0km/h，注意安全。</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对在外运过程中出现的交通等各种安全事故负全责。</w:t>
      </w:r>
    </w:p>
    <w:p w14:paraId="008CC55E">
      <w:pPr>
        <w:spacing w:before="62"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运输车辆统一在石膏间内</w:t>
      </w:r>
      <w:r>
        <w:rPr>
          <w:rFonts w:hint="eastAsia" w:ascii="宋体" w:hAnsi="宋体" w:eastAsia="宋体" w:cs="宋体"/>
          <w:color w:val="auto"/>
          <w:sz w:val="24"/>
          <w:highlight w:val="none"/>
          <w:lang w:val="en-US" w:eastAsia="zh-CN"/>
        </w:rPr>
        <w:t>或</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lang w:val="en-US" w:eastAsia="zh-CN"/>
        </w:rPr>
        <w:t>指定位置</w:t>
      </w:r>
      <w:r>
        <w:rPr>
          <w:rFonts w:hint="eastAsia" w:ascii="宋体" w:hAnsi="宋体" w:eastAsia="宋体" w:cs="宋体"/>
          <w:color w:val="auto"/>
          <w:sz w:val="24"/>
          <w:highlight w:val="none"/>
        </w:rPr>
        <w:t>装载石膏</w:t>
      </w:r>
      <w:r>
        <w:rPr>
          <w:rFonts w:hint="eastAsia" w:ascii="宋体" w:hAnsi="宋体" w:cs="宋体"/>
          <w:color w:val="auto"/>
          <w:sz w:val="24"/>
          <w:highlight w:val="none"/>
          <w:lang w:eastAsia="zh-CN"/>
        </w:rPr>
        <w:t>、炉渣</w:t>
      </w:r>
      <w:r>
        <w:rPr>
          <w:rFonts w:hint="eastAsia" w:ascii="宋体" w:hAnsi="宋体" w:eastAsia="宋体" w:cs="宋体"/>
          <w:color w:val="auto"/>
          <w:sz w:val="24"/>
          <w:highlight w:val="none"/>
        </w:rPr>
        <w:t>，装载石膏</w:t>
      </w:r>
      <w:r>
        <w:rPr>
          <w:rFonts w:hint="eastAsia" w:ascii="宋体" w:hAnsi="宋体" w:cs="宋体"/>
          <w:color w:val="auto"/>
          <w:sz w:val="24"/>
          <w:highlight w:val="none"/>
          <w:lang w:eastAsia="zh-CN"/>
        </w:rPr>
        <w:t>、炉渣</w:t>
      </w:r>
      <w:r>
        <w:rPr>
          <w:rFonts w:hint="eastAsia" w:ascii="宋体" w:hAnsi="宋体" w:eastAsia="宋体" w:cs="宋体"/>
          <w:color w:val="auto"/>
          <w:sz w:val="24"/>
          <w:highlight w:val="none"/>
        </w:rPr>
        <w:t>应平整，装载量不得超过车厢厢顶，</w:t>
      </w:r>
      <w:r>
        <w:rPr>
          <w:rFonts w:hint="eastAsia" w:ascii="宋体" w:hAnsi="宋体" w:eastAsia="宋体" w:cs="宋体"/>
          <w:color w:val="auto"/>
          <w:sz w:val="24"/>
          <w:highlight w:val="none"/>
          <w:lang w:eastAsia="zh-CN"/>
        </w:rPr>
        <w:t>严禁超载</w:t>
      </w:r>
      <w:r>
        <w:rPr>
          <w:rFonts w:hint="eastAsia" w:ascii="宋体" w:hAnsi="宋体" w:eastAsia="宋体" w:cs="宋体"/>
          <w:color w:val="auto"/>
          <w:sz w:val="24"/>
          <w:highlight w:val="none"/>
        </w:rPr>
        <w:t>并符合《超限运输车辆行驶公路管理规定》有关规定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招标人地磅过衡数据已连接至省交通运输厅治超管理平台</w:t>
      </w:r>
      <w:r>
        <w:rPr>
          <w:rFonts w:hint="eastAsia" w:ascii="宋体" w:hAnsi="宋体" w:eastAsia="宋体" w:cs="宋体"/>
          <w:color w:val="auto"/>
          <w:sz w:val="24"/>
          <w:highlight w:val="none"/>
        </w:rPr>
        <w:t>。</w:t>
      </w:r>
    </w:p>
    <w:p w14:paraId="28EFCCA3">
      <w:pPr>
        <w:spacing w:before="62" w:line="360" w:lineRule="auto"/>
        <w:rPr>
          <w:rFonts w:hint="eastAsia" w:ascii="宋体" w:hAnsi="宋体" w:eastAsia="宋体" w:cs="Times New Roman"/>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w:t>
      </w:r>
      <w:r>
        <w:rPr>
          <w:rFonts w:hint="eastAsia" w:ascii="宋体" w:hAnsi="宋体" w:eastAsia="宋体" w:cs="宋体"/>
          <w:color w:val="auto"/>
          <w:sz w:val="24"/>
          <w:highlight w:val="none"/>
          <w:lang w:val="en-US" w:eastAsia="zh-CN"/>
        </w:rPr>
        <w:t>需安装自动篷布机，</w:t>
      </w:r>
      <w:r>
        <w:rPr>
          <w:rFonts w:hint="eastAsia" w:ascii="宋体" w:hAnsi="宋体" w:eastAsia="宋体" w:cs="宋体"/>
          <w:color w:val="auto"/>
          <w:sz w:val="24"/>
          <w:highlight w:val="none"/>
        </w:rPr>
        <w:t>驶出装载点前，必须遮盖</w:t>
      </w:r>
      <w:r>
        <w:rPr>
          <w:rFonts w:hint="eastAsia" w:ascii="宋体" w:hAnsi="宋体" w:eastAsia="宋体" w:cs="宋体"/>
          <w:color w:val="auto"/>
          <w:sz w:val="24"/>
          <w:highlight w:val="none"/>
          <w:lang w:val="en-US" w:eastAsia="zh-CN"/>
        </w:rPr>
        <w:t>篷</w:t>
      </w:r>
      <w:r>
        <w:rPr>
          <w:rFonts w:hint="eastAsia" w:ascii="宋体" w:hAnsi="宋体" w:eastAsia="宋体" w:cs="宋体"/>
          <w:color w:val="auto"/>
          <w:sz w:val="24"/>
          <w:highlight w:val="none"/>
        </w:rPr>
        <w:t>布，清</w:t>
      </w:r>
      <w:r>
        <w:rPr>
          <w:rFonts w:hint="eastAsia" w:ascii="宋体" w:hAnsi="宋体" w:eastAsia="宋体" w:cs="Times New Roman"/>
          <w:color w:val="auto"/>
          <w:sz w:val="24"/>
          <w:highlight w:val="none"/>
        </w:rPr>
        <w:t>扫车厢边沿易洒落的石膏粉，以免运输途中洒落，影响厂内卫生环境。</w:t>
      </w:r>
    </w:p>
    <w:p w14:paraId="755774DC">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.6</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运输车辆遮盖</w:t>
      </w:r>
      <w:r>
        <w:rPr>
          <w:rFonts w:hint="eastAsia" w:ascii="宋体" w:hAnsi="宋体" w:eastAsia="宋体" w:cs="Times New Roman"/>
          <w:color w:val="auto"/>
          <w:sz w:val="24"/>
          <w:highlight w:val="none"/>
          <w:lang w:val="en-US" w:eastAsia="zh-CN"/>
        </w:rPr>
        <w:t>篷布</w:t>
      </w:r>
      <w:r>
        <w:rPr>
          <w:rFonts w:hint="eastAsia" w:ascii="宋体" w:hAnsi="宋体" w:eastAsia="宋体" w:cs="Times New Roman"/>
          <w:color w:val="auto"/>
          <w:sz w:val="24"/>
          <w:highlight w:val="none"/>
        </w:rPr>
        <w:t>、清扫死角卫生时，运输车辆应在指定地方可靠停运，人员佩戴好</w:t>
      </w:r>
      <w:r>
        <w:rPr>
          <w:rFonts w:hint="eastAsia" w:ascii="宋体" w:hAnsi="宋体" w:cs="Times New Roman"/>
          <w:color w:val="auto"/>
          <w:sz w:val="24"/>
          <w:highlight w:val="none"/>
          <w:lang w:val="en-US" w:eastAsia="zh-CN"/>
        </w:rPr>
        <w:t>合格的双钩</w:t>
      </w:r>
      <w:r>
        <w:rPr>
          <w:rFonts w:hint="eastAsia" w:ascii="宋体" w:hAnsi="宋体" w:eastAsia="宋体" w:cs="Times New Roman"/>
          <w:color w:val="auto"/>
          <w:sz w:val="24"/>
          <w:highlight w:val="none"/>
        </w:rPr>
        <w:t>安全带，以免发生高处坠落事故，</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应自备安全防护用具。</w:t>
      </w:r>
    </w:p>
    <w:p w14:paraId="594CDCF5">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.7</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运输车辆驶出装载点前，车辆驾驶员应对车辆进行全面检查，整理车容，</w:t>
      </w:r>
      <w:r>
        <w:rPr>
          <w:rFonts w:hint="eastAsia" w:ascii="宋体" w:hAnsi="宋体" w:eastAsia="宋体" w:cs="Times New Roman"/>
          <w:color w:val="auto"/>
          <w:sz w:val="24"/>
          <w:highlight w:val="none"/>
          <w:lang w:val="en-US" w:eastAsia="zh-CN"/>
        </w:rPr>
        <w:t>清理</w:t>
      </w:r>
      <w:r>
        <w:rPr>
          <w:rFonts w:hint="eastAsia" w:ascii="宋体" w:hAnsi="宋体" w:eastAsia="宋体" w:cs="Times New Roman"/>
          <w:color w:val="auto"/>
          <w:sz w:val="24"/>
          <w:highlight w:val="none"/>
        </w:rPr>
        <w:t>车身和车轮</w:t>
      </w:r>
      <w:r>
        <w:rPr>
          <w:rFonts w:hint="eastAsia" w:ascii="宋体" w:hAnsi="宋体" w:eastAsia="宋体" w:cs="Times New Roman"/>
          <w:color w:val="auto"/>
          <w:sz w:val="24"/>
          <w:highlight w:val="none"/>
          <w:lang w:val="en-US" w:eastAsia="zh-CN"/>
        </w:rPr>
        <w:t>易洒落物</w:t>
      </w:r>
      <w:r>
        <w:rPr>
          <w:rFonts w:hint="eastAsia" w:ascii="宋体" w:hAnsi="宋体" w:eastAsia="宋体" w:cs="Times New Roman"/>
          <w:color w:val="auto"/>
          <w:sz w:val="24"/>
          <w:highlight w:val="none"/>
        </w:rPr>
        <w:t>。</w:t>
      </w:r>
    </w:p>
    <w:p w14:paraId="6CD682BD">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.8</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运输车辆在厂内装载和运输过程中出现扬尘、漏渣、漏水、撒粉等污染环境的行为，</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负责及时将有关设施、地面及道路卫生进行清扫，</w:t>
      </w:r>
      <w:r>
        <w:rPr>
          <w:rFonts w:hint="eastAsia" w:ascii="宋体" w:hAnsi="宋体" w:eastAsia="宋体" w:cs="Times New Roman"/>
          <w:color w:val="auto"/>
          <w:sz w:val="24"/>
          <w:highlight w:val="none"/>
          <w:lang w:eastAsia="zh-CN"/>
        </w:rPr>
        <w:t>招标人</w:t>
      </w:r>
      <w:r>
        <w:rPr>
          <w:rFonts w:hint="eastAsia" w:ascii="宋体" w:hAnsi="宋体" w:eastAsia="宋体" w:cs="Times New Roman"/>
          <w:color w:val="auto"/>
          <w:sz w:val="24"/>
          <w:highlight w:val="none"/>
        </w:rPr>
        <w:t>按有关规定进行考核。</w:t>
      </w:r>
    </w:p>
    <w:p w14:paraId="01524BB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4.9</w:t>
      </w:r>
      <w:r>
        <w:rPr>
          <w:rFonts w:hint="eastAsia" w:ascii="宋体" w:hAnsi="宋体" w:cs="Times New Roman"/>
          <w:color w:val="auto"/>
          <w:sz w:val="24"/>
          <w:highlight w:val="none"/>
          <w:lang w:eastAsia="zh-CN"/>
        </w:rPr>
        <w:t>投标人</w:t>
      </w:r>
      <w:r>
        <w:rPr>
          <w:rFonts w:hint="eastAsia" w:ascii="宋体" w:hAnsi="宋体" w:eastAsia="宋体" w:cs="Times New Roman"/>
          <w:color w:val="auto"/>
          <w:sz w:val="24"/>
          <w:highlight w:val="none"/>
        </w:rPr>
        <w:t>车辆拖运石膏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rPr>
        <w:t>前空车过磅一次，装载石膏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rPr>
        <w:t>后过磅并打印过磅单，磅单一式</w:t>
      </w:r>
      <w:r>
        <w:rPr>
          <w:rFonts w:hint="eastAsia" w:ascii="宋体" w:hAnsi="宋体" w:cs="Times New Roman"/>
          <w:color w:val="auto"/>
          <w:sz w:val="24"/>
          <w:highlight w:val="none"/>
          <w:lang w:val="en-US" w:eastAsia="zh-CN"/>
        </w:rPr>
        <w:t>四</w:t>
      </w:r>
      <w:r>
        <w:rPr>
          <w:rFonts w:hint="eastAsia" w:ascii="宋体" w:hAnsi="宋体" w:eastAsia="宋体" w:cs="Times New Roman"/>
          <w:color w:val="auto"/>
          <w:sz w:val="24"/>
          <w:highlight w:val="none"/>
        </w:rPr>
        <w:t>份，经磅房管理人员核对后确认后，</w:t>
      </w:r>
      <w:r>
        <w:rPr>
          <w:rFonts w:hint="eastAsia" w:ascii="宋体" w:hAnsi="宋体" w:cs="Times New Roman"/>
          <w:color w:val="auto"/>
          <w:sz w:val="24"/>
          <w:highlight w:val="none"/>
          <w:lang w:val="en-US" w:eastAsia="zh-CN"/>
        </w:rPr>
        <w:t>一份司机留存，</w:t>
      </w:r>
      <w:r>
        <w:rPr>
          <w:rFonts w:hint="eastAsia" w:ascii="宋体" w:hAnsi="宋体" w:eastAsia="宋体" w:cs="Times New Roman"/>
          <w:color w:val="auto"/>
          <w:sz w:val="24"/>
          <w:highlight w:val="none"/>
        </w:rPr>
        <w:t>一份由磅房收集保管，两份</w:t>
      </w:r>
      <w:r>
        <w:rPr>
          <w:rFonts w:hint="eastAsia" w:ascii="宋体" w:hAnsi="宋体" w:cs="Times New Roman"/>
          <w:color w:val="auto"/>
          <w:sz w:val="24"/>
          <w:highlight w:val="none"/>
          <w:lang w:val="en-US" w:eastAsia="zh-CN"/>
        </w:rPr>
        <w:t>由</w:t>
      </w:r>
      <w:r>
        <w:rPr>
          <w:rFonts w:hint="eastAsia" w:ascii="宋体" w:hAnsi="宋体" w:eastAsia="宋体" w:cs="Times New Roman"/>
          <w:color w:val="auto"/>
          <w:sz w:val="24"/>
          <w:highlight w:val="none"/>
        </w:rPr>
        <w:t>磅房</w:t>
      </w:r>
      <w:r>
        <w:rPr>
          <w:rFonts w:hint="eastAsia" w:ascii="宋体" w:hAnsi="宋体" w:eastAsia="宋体" w:cs="Times New Roman"/>
          <w:color w:val="auto"/>
          <w:sz w:val="24"/>
          <w:highlight w:val="none"/>
          <w:lang w:val="en-US" w:eastAsia="zh-CN"/>
        </w:rPr>
        <w:t>统一</w:t>
      </w:r>
      <w:r>
        <w:rPr>
          <w:rFonts w:hint="eastAsia" w:ascii="宋体" w:hAnsi="宋体" w:eastAsia="宋体" w:cs="Times New Roman"/>
          <w:color w:val="auto"/>
          <w:sz w:val="24"/>
          <w:highlight w:val="none"/>
        </w:rPr>
        <w:t>交给</w:t>
      </w:r>
      <w:r>
        <w:rPr>
          <w:rFonts w:hint="eastAsia" w:ascii="宋体" w:hAnsi="宋体" w:cs="Times New Roman"/>
          <w:color w:val="auto"/>
          <w:sz w:val="24"/>
          <w:highlight w:val="none"/>
          <w:lang w:val="en-US" w:eastAsia="zh-CN"/>
        </w:rPr>
        <w:t>招标人</w:t>
      </w:r>
      <w:r>
        <w:rPr>
          <w:rFonts w:hint="eastAsia" w:ascii="宋体" w:hAnsi="宋体" w:eastAsia="宋体" w:cs="Times New Roman"/>
          <w:color w:val="auto"/>
          <w:sz w:val="24"/>
          <w:highlight w:val="none"/>
        </w:rPr>
        <w:t>管理人员，每月汇总一次在结算中使用。</w:t>
      </w:r>
    </w:p>
    <w:p w14:paraId="73112EB6">
      <w:pPr>
        <w:spacing w:before="62" w:line="360" w:lineRule="auto"/>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t>4.10</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人员接</w:t>
      </w:r>
      <w:r>
        <w:rPr>
          <w:rFonts w:hint="eastAsia" w:ascii="宋体" w:hAnsi="宋体" w:cs="宋体"/>
          <w:color w:val="auto"/>
          <w:sz w:val="24"/>
          <w:highlight w:val="none"/>
          <w:lang w:val="en-US" w:eastAsia="zh-CN"/>
        </w:rPr>
        <w:t>放行牌</w:t>
      </w:r>
      <w:r>
        <w:rPr>
          <w:rFonts w:hint="eastAsia" w:ascii="宋体" w:hAnsi="宋体" w:eastAsia="宋体" w:cs="宋体"/>
          <w:color w:val="auto"/>
          <w:sz w:val="24"/>
          <w:highlight w:val="none"/>
        </w:rPr>
        <w:t>后，出厂</w:t>
      </w:r>
      <w:r>
        <w:rPr>
          <w:rFonts w:hint="eastAsia" w:ascii="宋体" w:hAnsi="宋体" w:cs="宋体"/>
          <w:color w:val="auto"/>
          <w:sz w:val="24"/>
          <w:highlight w:val="none"/>
          <w:lang w:val="en-US" w:eastAsia="zh-CN"/>
        </w:rPr>
        <w:t>交</w:t>
      </w:r>
      <w:r>
        <w:rPr>
          <w:rFonts w:hint="eastAsia" w:ascii="宋体" w:hAnsi="宋体" w:eastAsia="宋体" w:cs="宋体"/>
          <w:color w:val="auto"/>
          <w:sz w:val="24"/>
          <w:highlight w:val="none"/>
        </w:rPr>
        <w:t>后勤管理部，后勤管理部收到</w:t>
      </w:r>
      <w:r>
        <w:rPr>
          <w:rFonts w:hint="eastAsia" w:ascii="宋体" w:hAnsi="宋体" w:cs="宋体"/>
          <w:color w:val="auto"/>
          <w:sz w:val="24"/>
          <w:highlight w:val="none"/>
          <w:lang w:val="en-US" w:eastAsia="zh-CN"/>
        </w:rPr>
        <w:t>放行牌</w:t>
      </w:r>
      <w:r>
        <w:rPr>
          <w:rFonts w:hint="eastAsia" w:ascii="宋体" w:hAnsi="宋体" w:eastAsia="宋体" w:cs="宋体"/>
          <w:color w:val="auto"/>
          <w:sz w:val="24"/>
          <w:highlight w:val="none"/>
        </w:rPr>
        <w:t>，核实后方可放行。</w:t>
      </w:r>
    </w:p>
    <w:p w14:paraId="6708630E">
      <w:pPr>
        <w:spacing w:before="62"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.11</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运输车辆在装载和运输途中，损坏</w:t>
      </w:r>
      <w:r>
        <w:rPr>
          <w:rFonts w:hint="eastAsia" w:ascii="宋体" w:hAnsi="宋体" w:eastAsia="宋体" w:cs="Times New Roman"/>
          <w:color w:val="auto"/>
          <w:sz w:val="24"/>
          <w:highlight w:val="none"/>
          <w:lang w:val="en-US" w:eastAsia="zh-CN"/>
        </w:rPr>
        <w:t>招标人厂区内</w:t>
      </w:r>
      <w:r>
        <w:rPr>
          <w:rFonts w:hint="eastAsia" w:ascii="宋体" w:hAnsi="宋体" w:eastAsia="宋体" w:cs="Times New Roman"/>
          <w:color w:val="auto"/>
          <w:sz w:val="24"/>
          <w:highlight w:val="none"/>
        </w:rPr>
        <w:t>相关设施，应照价赔偿相关的全部费用，并执行考核。</w:t>
      </w:r>
    </w:p>
    <w:p w14:paraId="59A5895C">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4.1</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投标人人员在石膏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lang w:val="en-US" w:eastAsia="zh-CN"/>
        </w:rPr>
        <w:t>的装载、运输、利用、处置等过程中违反有关安全工作的规程、规定，造成人员伤亡和设备设施损坏事故，责任完全由投标人承担；投标人人员违反我国有关环境保护的法律、法规、条例规定，造成环境污染的，责任完全由投标人承担。</w:t>
      </w:r>
    </w:p>
    <w:p w14:paraId="72209CB1">
      <w:pPr>
        <w:pStyle w:val="27"/>
        <w:rPr>
          <w:rFonts w:hint="default"/>
          <w:color w:val="auto"/>
          <w:highlight w:val="none"/>
          <w:lang w:val="en-US" w:eastAsia="zh-CN"/>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5 投标人每月石膏</w:t>
      </w:r>
      <w:r>
        <w:rPr>
          <w:rFonts w:hint="eastAsia" w:ascii="宋体" w:hAnsi="宋体" w:cs="宋体"/>
          <w:color w:val="auto"/>
          <w:sz w:val="24"/>
          <w:highlight w:val="none"/>
          <w:lang w:eastAsia="zh-CN"/>
        </w:rPr>
        <w:t>、炉渣</w:t>
      </w:r>
      <w:r>
        <w:rPr>
          <w:rFonts w:hint="eastAsia" w:ascii="宋体" w:hAnsi="宋体" w:cs="Times New Roman"/>
          <w:color w:val="auto"/>
          <w:sz w:val="24"/>
          <w:highlight w:val="none"/>
          <w:lang w:val="en-US" w:eastAsia="zh-CN"/>
        </w:rPr>
        <w:t>处置量应依据招标人石膏</w:t>
      </w:r>
      <w:r>
        <w:rPr>
          <w:rFonts w:hint="eastAsia" w:ascii="宋体" w:hAnsi="宋体" w:cs="宋体"/>
          <w:color w:val="auto"/>
          <w:sz w:val="24"/>
          <w:highlight w:val="none"/>
          <w:lang w:eastAsia="zh-CN"/>
        </w:rPr>
        <w:t>、炉渣</w:t>
      </w:r>
      <w:r>
        <w:rPr>
          <w:rFonts w:hint="eastAsia" w:ascii="宋体" w:hAnsi="宋体" w:cs="Times New Roman"/>
          <w:color w:val="auto"/>
          <w:sz w:val="24"/>
          <w:highlight w:val="none"/>
          <w:lang w:val="en-US" w:eastAsia="zh-CN"/>
        </w:rPr>
        <w:t>库存量均衡安排，服从招标人安排。</w:t>
      </w:r>
    </w:p>
    <w:p w14:paraId="0730144E">
      <w:pPr>
        <w:spacing w:before="62" w:line="360" w:lineRule="auto"/>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5、</w:t>
      </w:r>
      <w:r>
        <w:rPr>
          <w:rFonts w:hint="eastAsia" w:ascii="宋体" w:hAnsi="宋体" w:eastAsia="宋体" w:cs="Times New Roman"/>
          <w:b/>
          <w:bCs/>
          <w:color w:val="auto"/>
          <w:sz w:val="24"/>
          <w:highlight w:val="none"/>
        </w:rPr>
        <w:t>（一般固体废物）污染防治要求</w:t>
      </w:r>
    </w:p>
    <w:p w14:paraId="42A9CAF1">
      <w:pPr>
        <w:spacing w:before="62"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5.1</w:t>
      </w:r>
      <w:r>
        <w:rPr>
          <w:rFonts w:hint="eastAsia" w:ascii="宋体" w:hAnsi="宋体" w:eastAsia="宋体" w:cs="Times New Roman"/>
          <w:color w:val="auto"/>
          <w:sz w:val="24"/>
          <w:highlight w:val="none"/>
          <w:lang w:eastAsia="zh-CN"/>
        </w:rPr>
        <w:t>投标人</w:t>
      </w:r>
      <w:r>
        <w:rPr>
          <w:rFonts w:hint="eastAsia" w:ascii="宋体" w:hAnsi="宋体" w:eastAsia="宋体" w:cs="Times New Roman"/>
          <w:color w:val="auto"/>
          <w:sz w:val="24"/>
          <w:highlight w:val="none"/>
        </w:rPr>
        <w:t>对石膏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rPr>
        <w:t>的运输、利用、贮存、处置等应</w:t>
      </w:r>
      <w:r>
        <w:rPr>
          <w:rFonts w:hint="eastAsia" w:ascii="宋体" w:hAnsi="宋体" w:eastAsia="宋体" w:cs="Times New Roman"/>
          <w:color w:val="auto"/>
          <w:sz w:val="24"/>
          <w:highlight w:val="none"/>
          <w:lang w:val="en-US" w:eastAsia="zh-CN"/>
        </w:rPr>
        <w:t>符合《</w:t>
      </w:r>
      <w:r>
        <w:rPr>
          <w:rFonts w:hint="eastAsia" w:ascii="宋体" w:hAnsi="宋体" w:eastAsia="宋体" w:cs="Times New Roman"/>
          <w:color w:val="auto"/>
          <w:sz w:val="24"/>
          <w:highlight w:val="none"/>
        </w:rPr>
        <w:t>中华人民共和国固体废物污染环境防治法</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要求。</w:t>
      </w:r>
    </w:p>
    <w:p w14:paraId="65EAB146">
      <w:pPr>
        <w:pStyle w:val="27"/>
        <w:numPr>
          <w:ilvl w:val="255"/>
          <w:numId w:val="0"/>
        </w:num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eastAsia="zh-CN"/>
        </w:rPr>
        <w:t>投标人</w:t>
      </w:r>
      <w:r>
        <w:rPr>
          <w:rFonts w:hint="eastAsia" w:ascii="宋体" w:hAnsi="宋体" w:eastAsia="宋体" w:cs="宋体"/>
          <w:color w:val="auto"/>
          <w:szCs w:val="22"/>
          <w:highlight w:val="none"/>
        </w:rPr>
        <w:t>对石膏</w:t>
      </w:r>
      <w:r>
        <w:rPr>
          <w:rFonts w:hint="eastAsia" w:ascii="宋体" w:hAnsi="宋体" w:cs="宋体"/>
          <w:color w:val="auto"/>
          <w:sz w:val="24"/>
          <w:highlight w:val="none"/>
          <w:lang w:eastAsia="zh-CN"/>
        </w:rPr>
        <w:t>、炉渣</w:t>
      </w:r>
      <w:r>
        <w:rPr>
          <w:rFonts w:hint="eastAsia" w:ascii="宋体" w:hAnsi="宋体" w:eastAsia="宋体" w:cs="宋体"/>
          <w:color w:val="auto"/>
          <w:szCs w:val="22"/>
          <w:highlight w:val="none"/>
        </w:rPr>
        <w:t>的运输、利用、贮存、处置等应当采取防扬散、防流失、防渗漏或者其他防止污染环境的措施，不得擅自倾倒、堆放、丢弃、遗撒石膏。</w:t>
      </w:r>
    </w:p>
    <w:p w14:paraId="7ACA6C4A">
      <w:pPr>
        <w:pStyle w:val="27"/>
        <w:numPr>
          <w:ilvl w:val="255"/>
          <w:numId w:val="0"/>
        </w:num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w:t>
      </w:r>
      <w:r>
        <w:rPr>
          <w:rFonts w:hint="eastAsia" w:ascii="宋体" w:hAnsi="宋体" w:cs="宋体"/>
          <w:color w:val="auto"/>
          <w:szCs w:val="22"/>
          <w:highlight w:val="none"/>
          <w:lang w:val="en-US" w:eastAsia="zh-CN"/>
        </w:rPr>
        <w:t>3</w:t>
      </w:r>
      <w:r>
        <w:rPr>
          <w:rFonts w:hint="eastAsia" w:ascii="宋体" w:hAnsi="宋体" w:eastAsia="宋体" w:cs="宋体"/>
          <w:color w:val="auto"/>
          <w:szCs w:val="22"/>
          <w:highlight w:val="none"/>
          <w:lang w:eastAsia="zh-CN"/>
        </w:rPr>
        <w:t>投标人</w:t>
      </w:r>
      <w:r>
        <w:rPr>
          <w:rFonts w:hint="eastAsia" w:ascii="宋体" w:hAnsi="宋体" w:eastAsia="宋体" w:cs="宋体"/>
          <w:color w:val="auto"/>
          <w:szCs w:val="22"/>
          <w:highlight w:val="none"/>
        </w:rPr>
        <w:t>对石膏</w:t>
      </w:r>
      <w:r>
        <w:rPr>
          <w:rFonts w:hint="eastAsia" w:ascii="宋体" w:hAnsi="宋体" w:cs="宋体"/>
          <w:color w:val="auto"/>
          <w:sz w:val="24"/>
          <w:highlight w:val="none"/>
          <w:lang w:eastAsia="zh-CN"/>
        </w:rPr>
        <w:t>、炉渣</w:t>
      </w:r>
      <w:r>
        <w:rPr>
          <w:rFonts w:hint="eastAsia" w:ascii="宋体" w:hAnsi="宋体" w:eastAsia="宋体" w:cs="宋体"/>
          <w:color w:val="auto"/>
          <w:szCs w:val="22"/>
          <w:highlight w:val="none"/>
        </w:rPr>
        <w:t>的收集、贮存、运输、利用及处置等应当采取措施，防止或者减少石膏</w:t>
      </w:r>
      <w:r>
        <w:rPr>
          <w:rFonts w:hint="eastAsia" w:ascii="宋体" w:hAnsi="宋体" w:cs="宋体"/>
          <w:color w:val="auto"/>
          <w:sz w:val="24"/>
          <w:highlight w:val="none"/>
          <w:lang w:eastAsia="zh-CN"/>
        </w:rPr>
        <w:t>、炉渣</w:t>
      </w:r>
      <w:r>
        <w:rPr>
          <w:rFonts w:hint="eastAsia" w:ascii="宋体" w:hAnsi="宋体" w:eastAsia="宋体" w:cs="宋体"/>
          <w:color w:val="auto"/>
          <w:szCs w:val="22"/>
          <w:highlight w:val="none"/>
        </w:rPr>
        <w:t>对环境的污染，对所造成的环境污染</w:t>
      </w:r>
      <w:r>
        <w:rPr>
          <w:rFonts w:hint="eastAsia" w:ascii="宋体" w:hAnsi="宋体" w:eastAsia="宋体" w:cs="宋体"/>
          <w:color w:val="auto"/>
          <w:szCs w:val="22"/>
          <w:highlight w:val="none"/>
          <w:lang w:eastAsia="zh-CN"/>
        </w:rPr>
        <w:t>投标人</w:t>
      </w:r>
      <w:r>
        <w:rPr>
          <w:rFonts w:hint="eastAsia" w:ascii="宋体" w:hAnsi="宋体" w:eastAsia="宋体" w:cs="宋体"/>
          <w:color w:val="auto"/>
          <w:szCs w:val="22"/>
          <w:highlight w:val="none"/>
        </w:rPr>
        <w:t>应承担一切责任并及时消除污染。</w:t>
      </w:r>
    </w:p>
    <w:p w14:paraId="1AABCD45">
      <w:pPr>
        <w:pStyle w:val="27"/>
        <w:numPr>
          <w:ilvl w:val="255"/>
          <w:numId w:val="0"/>
        </w:num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w:t>
      </w:r>
      <w:r>
        <w:rPr>
          <w:rFonts w:hint="eastAsia" w:ascii="宋体" w:hAnsi="宋体" w:eastAsia="宋体" w:cs="宋体"/>
          <w:color w:val="auto"/>
          <w:szCs w:val="22"/>
          <w:highlight w:val="none"/>
          <w:lang w:val="en-US" w:eastAsia="zh-CN"/>
        </w:rPr>
        <w:t>4投标人应按国家环保要求自行处置每日转运的石膏</w:t>
      </w:r>
      <w:r>
        <w:rPr>
          <w:rFonts w:hint="eastAsia" w:ascii="宋体" w:hAnsi="宋体" w:cs="宋体"/>
          <w:color w:val="auto"/>
          <w:sz w:val="24"/>
          <w:highlight w:val="none"/>
          <w:lang w:eastAsia="zh-CN"/>
        </w:rPr>
        <w:t>、炉渣</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w:t>
      </w:r>
      <w:r>
        <w:rPr>
          <w:rFonts w:hint="eastAsia" w:ascii="宋体" w:hAnsi="宋体" w:eastAsia="宋体" w:cs="宋体"/>
          <w:color w:val="auto"/>
          <w:szCs w:val="22"/>
          <w:highlight w:val="none"/>
        </w:rPr>
        <w:t>用于贮存石膏的场所或设施应当采取符合国家环境保护标准的防护措施。</w:t>
      </w:r>
    </w:p>
    <w:p w14:paraId="68798AFC">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6、服务期限</w:t>
      </w:r>
    </w:p>
    <w:p w14:paraId="60955B03">
      <w:pPr>
        <w:snapToGri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szCs w:val="22"/>
          <w:highlight w:val="none"/>
        </w:rPr>
        <w:t>服务期限：</w:t>
      </w:r>
      <w:r>
        <w:rPr>
          <w:rFonts w:hint="eastAsia" w:ascii="宋体" w:hAnsi="宋体" w:cs="宋体"/>
          <w:color w:val="auto"/>
          <w:sz w:val="24"/>
          <w:szCs w:val="22"/>
          <w:highlight w:val="none"/>
          <w:lang w:val="en-US" w:eastAsia="zh-CN"/>
        </w:rPr>
        <w:t>负责处置招标人合同期内脱硫石膏</w:t>
      </w:r>
      <w:r>
        <w:rPr>
          <w:rFonts w:hint="eastAsia" w:ascii="宋体" w:hAnsi="宋体" w:cs="宋体"/>
          <w:color w:val="auto"/>
          <w:sz w:val="24"/>
          <w:highlight w:val="none"/>
          <w:lang w:eastAsia="zh-CN"/>
        </w:rPr>
        <w:t>、炉渣</w:t>
      </w:r>
      <w:r>
        <w:rPr>
          <w:rFonts w:hint="eastAsia" w:ascii="宋体" w:hAnsi="宋体" w:cs="宋体"/>
          <w:color w:val="auto"/>
          <w:sz w:val="24"/>
          <w:szCs w:val="22"/>
          <w:highlight w:val="none"/>
          <w:lang w:eastAsia="zh-CN"/>
        </w:rPr>
        <w:t>。</w:t>
      </w:r>
    </w:p>
    <w:p w14:paraId="40824B52">
      <w:pPr>
        <w:pStyle w:val="18"/>
        <w:tabs>
          <w:tab w:val="left" w:pos="840"/>
          <w:tab w:val="right" w:leader="dot" w:pos="9117"/>
        </w:tabs>
        <w:spacing w:before="120" w:beforeLines="50" w:after="120"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7、双方职责</w:t>
      </w:r>
    </w:p>
    <w:p w14:paraId="5DE92C3B">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7.1招标人职责</w:t>
      </w:r>
    </w:p>
    <w:p w14:paraId="334303D4">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负责运输车辆进出、过磅称重管理；</w:t>
      </w:r>
    </w:p>
    <w:p w14:paraId="3CDE26A1">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负责运输车辆装载、运输过程中的安全监督、检查与考核；</w:t>
      </w:r>
    </w:p>
    <w:p w14:paraId="7F17064F">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负责石膏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lang w:val="en-US" w:eastAsia="zh-CN"/>
        </w:rPr>
        <w:t>量</w:t>
      </w:r>
      <w:r>
        <w:rPr>
          <w:rFonts w:hint="eastAsia" w:ascii="宋体" w:hAnsi="宋体" w:cs="Times New Roman"/>
          <w:color w:val="auto"/>
          <w:sz w:val="24"/>
          <w:highlight w:val="none"/>
          <w:lang w:val="en-US" w:eastAsia="zh-CN"/>
        </w:rPr>
        <w:t>核定</w:t>
      </w:r>
      <w:r>
        <w:rPr>
          <w:rFonts w:hint="eastAsia" w:ascii="宋体" w:hAnsi="宋体" w:eastAsia="宋体" w:cs="Times New Roman"/>
          <w:color w:val="auto"/>
          <w:sz w:val="24"/>
          <w:highlight w:val="none"/>
          <w:lang w:val="en-US" w:eastAsia="zh-CN"/>
        </w:rPr>
        <w:t>、结算。</w:t>
      </w:r>
    </w:p>
    <w:p w14:paraId="578059D0">
      <w:pPr>
        <w:spacing w:before="62" w:line="36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7.2投标人职责</w:t>
      </w:r>
    </w:p>
    <w:p w14:paraId="35FCC82F">
      <w:pPr>
        <w:snapToGrid w:val="0"/>
        <w:spacing w:line="360" w:lineRule="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7.2.1</w:t>
      </w:r>
      <w:r>
        <w:rPr>
          <w:rFonts w:hint="eastAsia" w:ascii="宋体" w:hAnsi="宋体" w:eastAsia="宋体" w:cs="Times New Roman"/>
          <w:color w:val="auto"/>
          <w:sz w:val="24"/>
          <w:highlight w:val="none"/>
          <w:lang w:val="en-US" w:eastAsia="zh-CN"/>
        </w:rPr>
        <w:t>负责运输车辆进出、过磅称重管理；</w:t>
      </w:r>
    </w:p>
    <w:p w14:paraId="60A2A569">
      <w:pPr>
        <w:snapToGrid w:val="0"/>
        <w:spacing w:line="360" w:lineRule="auto"/>
        <w:rPr>
          <w:rFonts w:hint="eastAsia" w:ascii="宋体" w:hAnsi="宋体" w:eastAsia="宋体" w:cs="Times New Roman"/>
          <w:color w:val="auto"/>
          <w:sz w:val="24"/>
          <w:highlight w:val="none"/>
          <w:lang w:val="en-US" w:eastAsia="zh-CN"/>
        </w:rPr>
      </w:pPr>
      <w:r>
        <w:rPr>
          <w:rFonts w:hint="eastAsia" w:ascii="宋体" w:hAnsi="宋体"/>
          <w:b w:val="0"/>
          <w:bCs/>
          <w:color w:val="auto"/>
          <w:sz w:val="24"/>
          <w:highlight w:val="none"/>
          <w:lang w:val="en-US" w:eastAsia="zh-CN"/>
        </w:rPr>
        <w:t>7.2.2</w:t>
      </w:r>
      <w:r>
        <w:rPr>
          <w:rFonts w:hint="eastAsia" w:ascii="宋体" w:hAnsi="宋体" w:eastAsia="宋体" w:cs="Times New Roman"/>
          <w:color w:val="auto"/>
          <w:sz w:val="24"/>
          <w:highlight w:val="none"/>
          <w:lang w:val="en-US" w:eastAsia="zh-CN"/>
        </w:rPr>
        <w:t>负责运输车辆装载、运输过程中的安全监督、检查与考核；</w:t>
      </w:r>
    </w:p>
    <w:p w14:paraId="1575A3E7">
      <w:pPr>
        <w:pStyle w:val="2"/>
        <w:rPr>
          <w:rFonts w:hint="eastAsia"/>
          <w:color w:val="auto"/>
          <w:highlight w:val="none"/>
          <w:lang w:val="en-US" w:eastAsia="zh-CN"/>
        </w:rPr>
      </w:pPr>
      <w:r>
        <w:rPr>
          <w:rFonts w:hint="eastAsia" w:ascii="宋体" w:hAnsi="宋体" w:eastAsia="宋体" w:cs="Times New Roman"/>
          <w:color w:val="auto"/>
          <w:sz w:val="24"/>
          <w:highlight w:val="none"/>
          <w:lang w:val="en-US" w:eastAsia="zh-CN"/>
        </w:rPr>
        <w:t>7.</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负责石膏</w:t>
      </w:r>
      <w:r>
        <w:rPr>
          <w:rFonts w:hint="eastAsia" w:ascii="宋体" w:hAnsi="宋体" w:cs="宋体"/>
          <w:color w:val="auto"/>
          <w:sz w:val="24"/>
          <w:highlight w:val="none"/>
          <w:lang w:eastAsia="zh-CN"/>
        </w:rPr>
        <w:t>、炉渣</w:t>
      </w:r>
      <w:r>
        <w:rPr>
          <w:rFonts w:hint="eastAsia" w:ascii="宋体" w:hAnsi="宋体" w:eastAsia="宋体" w:cs="Times New Roman"/>
          <w:color w:val="auto"/>
          <w:sz w:val="24"/>
          <w:highlight w:val="none"/>
          <w:lang w:val="en-US" w:eastAsia="zh-CN"/>
        </w:rPr>
        <w:t>量</w:t>
      </w:r>
      <w:r>
        <w:rPr>
          <w:rFonts w:hint="eastAsia" w:ascii="宋体" w:hAnsi="宋体" w:cs="Times New Roman"/>
          <w:color w:val="auto"/>
          <w:sz w:val="24"/>
          <w:highlight w:val="none"/>
          <w:lang w:val="en-US" w:eastAsia="zh-CN"/>
        </w:rPr>
        <w:t>统计</w:t>
      </w:r>
      <w:r>
        <w:rPr>
          <w:rFonts w:hint="eastAsia" w:ascii="宋体" w:hAnsi="宋体" w:eastAsia="宋体" w:cs="Times New Roman"/>
          <w:color w:val="auto"/>
          <w:sz w:val="24"/>
          <w:highlight w:val="none"/>
          <w:lang w:val="en-US" w:eastAsia="zh-CN"/>
        </w:rPr>
        <w:t>、结算。</w:t>
      </w:r>
    </w:p>
    <w:p w14:paraId="32900F20">
      <w:pPr>
        <w:snapToGrid w:val="0"/>
        <w:spacing w:line="360" w:lineRule="auto"/>
        <w:rPr>
          <w:rFonts w:ascii="宋体" w:hAnsi="宋体"/>
          <w:b w:val="0"/>
          <w:bCs/>
          <w:color w:val="auto"/>
          <w:sz w:val="24"/>
          <w:highlight w:val="none"/>
        </w:rPr>
      </w:pPr>
      <w:r>
        <w:rPr>
          <w:rFonts w:hint="eastAsia" w:ascii="宋体" w:hAnsi="宋体"/>
          <w:b w:val="0"/>
          <w:bCs/>
          <w:color w:val="auto"/>
          <w:sz w:val="24"/>
          <w:highlight w:val="none"/>
          <w:lang w:val="en-US" w:eastAsia="zh-CN"/>
        </w:rPr>
        <w:t>7.2.4</w:t>
      </w:r>
      <w:r>
        <w:rPr>
          <w:rFonts w:hint="eastAsia" w:ascii="宋体" w:hAnsi="宋体"/>
          <w:b w:val="0"/>
          <w:bCs/>
          <w:color w:val="auto"/>
          <w:sz w:val="24"/>
          <w:highlight w:val="none"/>
          <w:lang w:eastAsia="zh-CN"/>
        </w:rPr>
        <w:t>投标人</w:t>
      </w:r>
      <w:r>
        <w:rPr>
          <w:rFonts w:hint="eastAsia" w:ascii="宋体" w:hAnsi="宋体"/>
          <w:b w:val="0"/>
          <w:bCs/>
          <w:color w:val="auto"/>
          <w:sz w:val="24"/>
          <w:highlight w:val="none"/>
        </w:rPr>
        <w:t>应加强对运输人员的安全教育，在运输灰、渣的过程中严格遵守交通安全法规，防止发生交通事故。如果是由于</w:t>
      </w:r>
      <w:r>
        <w:rPr>
          <w:rFonts w:hint="eastAsia" w:ascii="宋体" w:hAnsi="宋体"/>
          <w:b w:val="0"/>
          <w:bCs/>
          <w:color w:val="auto"/>
          <w:sz w:val="24"/>
          <w:highlight w:val="none"/>
          <w:lang w:eastAsia="zh-CN"/>
        </w:rPr>
        <w:t>投标人</w:t>
      </w:r>
      <w:r>
        <w:rPr>
          <w:rFonts w:hint="eastAsia" w:ascii="宋体" w:hAnsi="宋体"/>
          <w:b w:val="0"/>
          <w:bCs/>
          <w:color w:val="auto"/>
          <w:sz w:val="24"/>
          <w:highlight w:val="none"/>
        </w:rPr>
        <w:t>的原因造成的交通事故，责任全部由</w:t>
      </w:r>
      <w:r>
        <w:rPr>
          <w:rFonts w:hint="eastAsia" w:ascii="宋体" w:hAnsi="宋体"/>
          <w:b w:val="0"/>
          <w:bCs/>
          <w:color w:val="auto"/>
          <w:sz w:val="24"/>
          <w:highlight w:val="none"/>
          <w:lang w:eastAsia="zh-CN"/>
        </w:rPr>
        <w:t>投标人</w:t>
      </w:r>
      <w:r>
        <w:rPr>
          <w:rFonts w:hint="eastAsia" w:ascii="宋体" w:hAnsi="宋体"/>
          <w:b w:val="0"/>
          <w:bCs/>
          <w:color w:val="auto"/>
          <w:sz w:val="24"/>
          <w:highlight w:val="none"/>
        </w:rPr>
        <w:t>承担。</w:t>
      </w:r>
    </w:p>
    <w:p w14:paraId="2848CB47">
      <w:pPr>
        <w:snapToGrid w:val="0"/>
        <w:spacing w:line="360" w:lineRule="auto"/>
        <w:rPr>
          <w:rFonts w:hint="eastAsia" w:ascii="宋体" w:hAnsi="宋体"/>
          <w:b w:val="0"/>
          <w:bCs/>
          <w:color w:val="auto"/>
          <w:sz w:val="24"/>
          <w:szCs w:val="22"/>
          <w:highlight w:val="none"/>
          <w:lang w:eastAsia="zh-CN"/>
        </w:rPr>
      </w:pPr>
      <w:r>
        <w:rPr>
          <w:rFonts w:hint="eastAsia" w:ascii="宋体" w:hAnsi="宋体"/>
          <w:b w:val="0"/>
          <w:bCs/>
          <w:color w:val="auto"/>
          <w:sz w:val="24"/>
          <w:highlight w:val="none"/>
          <w:lang w:val="en-US" w:eastAsia="zh-CN"/>
        </w:rPr>
        <w:t>7.2.5</w:t>
      </w:r>
      <w:r>
        <w:rPr>
          <w:rFonts w:hint="eastAsia" w:ascii="宋体" w:hAnsi="宋体"/>
          <w:b w:val="0"/>
          <w:bCs/>
          <w:color w:val="auto"/>
          <w:sz w:val="24"/>
          <w:szCs w:val="22"/>
          <w:highlight w:val="none"/>
          <w:lang w:eastAsia="zh-CN"/>
        </w:rPr>
        <w:t>投标人</w:t>
      </w:r>
      <w:r>
        <w:rPr>
          <w:rFonts w:hint="eastAsia" w:ascii="宋体" w:hAnsi="宋体"/>
          <w:b w:val="0"/>
          <w:bCs/>
          <w:color w:val="auto"/>
          <w:sz w:val="24"/>
          <w:szCs w:val="22"/>
          <w:highlight w:val="none"/>
        </w:rPr>
        <w:t>应对本单位人员的安全全面负责</w:t>
      </w:r>
      <w:r>
        <w:rPr>
          <w:rFonts w:hint="eastAsia" w:ascii="宋体" w:hAnsi="宋体"/>
          <w:b w:val="0"/>
          <w:bCs/>
          <w:color w:val="auto"/>
          <w:sz w:val="24"/>
          <w:szCs w:val="22"/>
          <w:highlight w:val="none"/>
          <w:lang w:eastAsia="zh-CN"/>
        </w:rPr>
        <w:t>。</w:t>
      </w:r>
    </w:p>
    <w:p w14:paraId="1EF7556D">
      <w:pPr>
        <w:pStyle w:val="27"/>
        <w:spacing w:line="360" w:lineRule="auto"/>
        <w:rPr>
          <w:rFonts w:hint="eastAsia" w:ascii="宋体" w:hAnsi="宋体" w:cs="宋体"/>
          <w:b w:val="0"/>
          <w:bCs/>
          <w:color w:val="auto"/>
          <w:sz w:val="24"/>
          <w:highlight w:val="none"/>
        </w:rPr>
      </w:pPr>
      <w:r>
        <w:rPr>
          <w:rFonts w:hint="eastAsia" w:ascii="宋体" w:hAnsi="宋体"/>
          <w:b w:val="0"/>
          <w:bCs/>
          <w:color w:val="auto"/>
          <w:sz w:val="24"/>
          <w:highlight w:val="none"/>
          <w:lang w:val="en-US" w:eastAsia="zh-CN"/>
        </w:rPr>
        <w:t>7.2.6</w:t>
      </w:r>
      <w:r>
        <w:rPr>
          <w:rFonts w:hint="eastAsia" w:ascii="宋体" w:hAnsi="宋体" w:cs="宋体"/>
          <w:b w:val="0"/>
          <w:bCs/>
          <w:color w:val="auto"/>
          <w:sz w:val="24"/>
          <w:highlight w:val="none"/>
        </w:rPr>
        <w:t>落实</w:t>
      </w:r>
      <w:r>
        <w:rPr>
          <w:rFonts w:hint="eastAsia" w:ascii="宋体" w:hAnsi="宋体" w:cs="宋体"/>
          <w:b w:val="0"/>
          <w:bCs/>
          <w:color w:val="auto"/>
          <w:sz w:val="24"/>
          <w:highlight w:val="none"/>
          <w:lang w:eastAsia="zh-CN"/>
        </w:rPr>
        <w:t>招标人</w:t>
      </w:r>
      <w:r>
        <w:rPr>
          <w:rFonts w:hint="eastAsia" w:ascii="宋体" w:hAnsi="宋体" w:cs="宋体"/>
          <w:b w:val="0"/>
          <w:bCs/>
          <w:color w:val="auto"/>
          <w:sz w:val="24"/>
          <w:highlight w:val="none"/>
        </w:rPr>
        <w:t>提出的相关整改及通知要求。</w:t>
      </w:r>
    </w:p>
    <w:p w14:paraId="4A0AD5B3">
      <w:pPr>
        <w:pStyle w:val="18"/>
        <w:tabs>
          <w:tab w:val="left" w:pos="840"/>
          <w:tab w:val="right" w:leader="dot" w:pos="9117"/>
        </w:tabs>
        <w:spacing w:before="120" w:beforeLines="50" w:after="120"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8、考核</w:t>
      </w:r>
    </w:p>
    <w:p w14:paraId="671009C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运输车辆在厂区内不按规定线路和速度行驶，不按规定装载、过磅，考核1000元/次。</w:t>
      </w:r>
    </w:p>
    <w:p w14:paraId="7FA10F8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运输车辆在装载和运输过程中，发生石膏</w:t>
      </w:r>
      <w:r>
        <w:rPr>
          <w:rFonts w:hint="eastAsia" w:ascii="宋体" w:hAnsi="宋体" w:cs="宋体"/>
          <w:color w:val="auto"/>
          <w:sz w:val="24"/>
          <w:highlight w:val="none"/>
          <w:lang w:eastAsia="zh-CN"/>
        </w:rPr>
        <w:t>、炉渣</w:t>
      </w:r>
      <w:r>
        <w:rPr>
          <w:rFonts w:hint="eastAsia" w:ascii="宋体" w:hAnsi="宋体" w:eastAsia="宋体" w:cs="宋体"/>
          <w:color w:val="auto"/>
          <w:sz w:val="24"/>
          <w:highlight w:val="none"/>
        </w:rPr>
        <w:t>洒落或其他影响环境卫生的事件，考核2000元/次。</w:t>
      </w:r>
    </w:p>
    <w:p w14:paraId="1BA38A6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运输车辆驶出装载点不按规定遮盖棚布，每发现一次考核1000元，不整理车容，未清理干净车身易洒落物，造成环境影响的，每发现一次考核1000元。</w:t>
      </w:r>
    </w:p>
    <w:p w14:paraId="0129CD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运输车辆在装载和运输途中，损坏相关设施，除照价赔偿相关的全部费用，并考核1000元/次。</w:t>
      </w:r>
    </w:p>
    <w:p w14:paraId="037289C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有关人员在装载和作业过程中，不遵守有关安全管理规定，按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有关规定进行考核。</w:t>
      </w:r>
    </w:p>
    <w:p w14:paraId="556FC291">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有关台账、记录错误的视情况每处考核不低于100元，有关台账记录敷衍了事、不认真记录、漏登记、弄虚作假的每次考核不低于1000元。</w:t>
      </w:r>
    </w:p>
    <w:p w14:paraId="304DFA33">
      <w:pPr>
        <w:pStyle w:val="2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违反本</w:t>
      </w:r>
      <w:r>
        <w:rPr>
          <w:rFonts w:hint="eastAsia" w:ascii="宋体" w:hAnsi="宋体" w:eastAsia="宋体" w:cs="宋体"/>
          <w:color w:val="auto"/>
          <w:highlight w:val="none"/>
          <w:lang w:eastAsia="zh-CN"/>
        </w:rPr>
        <w:t>技术协议</w:t>
      </w:r>
      <w:r>
        <w:rPr>
          <w:rFonts w:hint="eastAsia" w:ascii="宋体" w:hAnsi="宋体" w:eastAsia="宋体" w:cs="宋体"/>
          <w:color w:val="auto"/>
          <w:highlight w:val="none"/>
        </w:rPr>
        <w:t>其它条款的，视情况每条至少考核500元。</w:t>
      </w:r>
    </w:p>
    <w:p w14:paraId="3141FB8F">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因投标人车辆超载等原因对招标人造成负面影响的，将对投标人进行责任追究并考核。</w:t>
      </w:r>
    </w:p>
    <w:p w14:paraId="1DCF99FF">
      <w:pPr>
        <w:pStyle w:val="2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车货总质量超过《超限运输车辆行驶公路管理规定》第三条第一款第四项至第八项规定的限定标准，予以警告，返回石膏间卸载部分石膏后重新过磅，单日超载警告超过三车次的，考核500元/次并返回石膏间卸载部分石膏后重新过磅。</w:t>
      </w:r>
    </w:p>
    <w:p w14:paraId="79DBEFDF">
      <w:pPr>
        <w:spacing w:before="62" w:line="360" w:lineRule="auto"/>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t>8.1</w:t>
      </w:r>
      <w:r>
        <w:rPr>
          <w:rFonts w:hint="eastAsia" w:ascii="宋体" w:hAnsi="宋体" w:cs="宋体"/>
          <w:color w:val="auto"/>
          <w:sz w:val="24"/>
          <w:highlight w:val="none"/>
          <w:lang w:val="en-US" w:eastAsia="zh-CN"/>
        </w:rPr>
        <w:t>0</w:t>
      </w:r>
      <w:r>
        <w:rPr>
          <w:rFonts w:hint="eastAsia" w:ascii="宋体" w:hAnsi="宋体" w:eastAsia="宋体" w:cs="宋体"/>
          <w:color w:val="auto"/>
          <w:sz w:val="24"/>
          <w:szCs w:val="22"/>
          <w:highlight w:val="none"/>
        </w:rPr>
        <w:t>其他考核以</w:t>
      </w:r>
      <w:r>
        <w:rPr>
          <w:rFonts w:hint="eastAsia" w:ascii="宋体" w:hAnsi="宋体" w:eastAsia="宋体" w:cs="宋体"/>
          <w:color w:val="auto"/>
          <w:sz w:val="24"/>
          <w:szCs w:val="22"/>
          <w:highlight w:val="none"/>
          <w:lang w:eastAsia="zh-CN"/>
        </w:rPr>
        <w:t>招标人</w:t>
      </w:r>
      <w:r>
        <w:rPr>
          <w:rFonts w:hint="eastAsia" w:ascii="宋体" w:hAnsi="宋体" w:eastAsia="宋体" w:cs="宋体"/>
          <w:color w:val="auto"/>
          <w:sz w:val="24"/>
          <w:szCs w:val="22"/>
          <w:highlight w:val="none"/>
        </w:rPr>
        <w:t>管理制度为准，</w:t>
      </w:r>
      <w:r>
        <w:rPr>
          <w:rFonts w:hint="eastAsia" w:ascii="宋体" w:hAnsi="宋体" w:eastAsia="宋体" w:cs="宋体"/>
          <w:color w:val="auto"/>
          <w:sz w:val="24"/>
          <w:szCs w:val="22"/>
          <w:highlight w:val="none"/>
          <w:lang w:eastAsia="zh-CN"/>
        </w:rPr>
        <w:t>投标人</w:t>
      </w:r>
      <w:r>
        <w:rPr>
          <w:rFonts w:hint="eastAsia" w:ascii="宋体" w:hAnsi="宋体" w:eastAsia="宋体" w:cs="宋体"/>
          <w:color w:val="auto"/>
          <w:sz w:val="24"/>
          <w:szCs w:val="22"/>
          <w:highlight w:val="none"/>
        </w:rPr>
        <w:t>必须无条件接受</w:t>
      </w:r>
      <w:r>
        <w:rPr>
          <w:rFonts w:hint="eastAsia" w:ascii="宋体" w:hAnsi="宋体" w:eastAsia="宋体" w:cs="宋体"/>
          <w:color w:val="auto"/>
          <w:sz w:val="24"/>
          <w:szCs w:val="22"/>
          <w:highlight w:val="none"/>
          <w:lang w:eastAsia="zh-CN"/>
        </w:rPr>
        <w:t>招标人</w:t>
      </w:r>
      <w:r>
        <w:rPr>
          <w:rFonts w:hint="eastAsia" w:ascii="宋体" w:hAnsi="宋体" w:eastAsia="宋体" w:cs="宋体"/>
          <w:color w:val="auto"/>
          <w:sz w:val="24"/>
          <w:szCs w:val="22"/>
          <w:highlight w:val="none"/>
        </w:rPr>
        <w:t>管理制度中的所有考核管理条款。</w:t>
      </w:r>
    </w:p>
    <w:p w14:paraId="3CB9F526">
      <w:pPr>
        <w:rPr>
          <w:rFonts w:hint="eastAsia"/>
          <w:color w:val="auto"/>
          <w:highlight w:val="none"/>
        </w:rPr>
      </w:pPr>
    </w:p>
    <w:p w14:paraId="6CF5F7DD">
      <w:pPr>
        <w:rPr>
          <w:color w:val="auto"/>
          <w:highlight w:val="none"/>
        </w:rPr>
      </w:pP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093E">
    <w:pPr>
      <w:pStyle w:val="16"/>
      <w:framePr w:wrap="around" w:vAnchor="text" w:hAnchor="margin" w:xAlign="center" w:y="1"/>
      <w:rPr>
        <w:rStyle w:val="24"/>
      </w:rPr>
    </w:pPr>
  </w:p>
  <w:p w14:paraId="74609EEF">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2181">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43</w:t>
    </w:r>
    <w:r>
      <w:fldChar w:fldCharType="end"/>
    </w:r>
  </w:p>
  <w:p w14:paraId="796806D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9C2E">
    <w:pPr>
      <w:pStyle w:val="16"/>
      <w:jc w:val="center"/>
    </w:pPr>
    <w:r>
      <w:fldChar w:fldCharType="begin"/>
    </w:r>
    <w:r>
      <w:instrText xml:space="preserve"> PAGE   \* MERGEFORMAT </w:instrText>
    </w:r>
    <w:r>
      <w:fldChar w:fldCharType="separate"/>
    </w:r>
    <w:r>
      <w:rPr>
        <w:lang w:val="zh-CN"/>
      </w:rPr>
      <w:t>3</w:t>
    </w:r>
    <w:r>
      <w:rPr>
        <w:lang w:val="zh-CN"/>
      </w:rPr>
      <w:fldChar w:fldCharType="end"/>
    </w:r>
  </w:p>
  <w:p w14:paraId="7890393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179B">
    <w:pPr>
      <w:pStyle w:val="16"/>
      <w:framePr w:wrap="around" w:vAnchor="text" w:hAnchor="margin" w:xAlign="center" w:y="1"/>
      <w:jc w:val="center"/>
      <w:rPr>
        <w:rStyle w:val="24"/>
      </w:rPr>
    </w:pPr>
    <w:r>
      <w:fldChar w:fldCharType="begin"/>
    </w:r>
    <w:r>
      <w:rPr>
        <w:rStyle w:val="24"/>
      </w:rPr>
      <w:instrText xml:space="preserve">PAGE  </w:instrText>
    </w:r>
    <w:r>
      <w:fldChar w:fldCharType="separate"/>
    </w:r>
    <w:r>
      <w:rPr>
        <w:rStyle w:val="24"/>
      </w:rPr>
      <w:t>64</w:t>
    </w:r>
    <w:r>
      <w:fldChar w:fldCharType="end"/>
    </w:r>
  </w:p>
  <w:p w14:paraId="5AF44EC0">
    <w:pPr>
      <w:pStyle w:val="16"/>
      <w:framePr w:wrap="around" w:vAnchor="text" w:hAnchor="margin" w:xAlign="center" w:y="1"/>
      <w:rPr>
        <w:rStyle w:val="24"/>
      </w:rPr>
    </w:pPr>
  </w:p>
  <w:p w14:paraId="56190833">
    <w:pPr>
      <w:pStyle w:val="16"/>
      <w:ind w:right="360" w:firstLine="4140" w:firstLineChars="23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E3D6">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Fonts w:hint="eastAsia"/>
      </w:rPr>
      <w:t>２</w:t>
    </w:r>
    <w:r>
      <w:fldChar w:fldCharType="end"/>
    </w:r>
  </w:p>
  <w:p w14:paraId="1DF944A2">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DFA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098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A6A08">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4535">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99C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01278"/>
    <w:multiLevelType w:val="multilevel"/>
    <w:tmpl w:val="0F5012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682BA6"/>
    <w:multiLevelType w:val="multilevel"/>
    <w:tmpl w:val="10682B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3400D1"/>
    <w:multiLevelType w:val="multilevel"/>
    <w:tmpl w:val="283400D1"/>
    <w:lvl w:ilvl="0" w:tentative="0">
      <w:start w:val="1"/>
      <w:numFmt w:val="decimal"/>
      <w:lvlText w:val="%1）"/>
      <w:lvlJc w:val="left"/>
      <w:pPr>
        <w:tabs>
          <w:tab w:val="left" w:pos="900"/>
        </w:tabs>
        <w:ind w:left="900" w:hanging="36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12083"/>
    <w:rsid w:val="000155B4"/>
    <w:rsid w:val="00021E30"/>
    <w:rsid w:val="00023E25"/>
    <w:rsid w:val="000249C9"/>
    <w:rsid w:val="00024A48"/>
    <w:rsid w:val="00026362"/>
    <w:rsid w:val="00030BE5"/>
    <w:rsid w:val="00030F3B"/>
    <w:rsid w:val="00032E6D"/>
    <w:rsid w:val="00036590"/>
    <w:rsid w:val="00036696"/>
    <w:rsid w:val="00046AAF"/>
    <w:rsid w:val="00047B9B"/>
    <w:rsid w:val="000514A6"/>
    <w:rsid w:val="00052FBD"/>
    <w:rsid w:val="000535B3"/>
    <w:rsid w:val="000545EF"/>
    <w:rsid w:val="00061B3B"/>
    <w:rsid w:val="00063378"/>
    <w:rsid w:val="0007175F"/>
    <w:rsid w:val="00075DEC"/>
    <w:rsid w:val="00076C72"/>
    <w:rsid w:val="000770A1"/>
    <w:rsid w:val="000862F9"/>
    <w:rsid w:val="00090ABD"/>
    <w:rsid w:val="000916E5"/>
    <w:rsid w:val="000950B1"/>
    <w:rsid w:val="000A41AA"/>
    <w:rsid w:val="000A7DAA"/>
    <w:rsid w:val="000B310F"/>
    <w:rsid w:val="000B5568"/>
    <w:rsid w:val="000B593C"/>
    <w:rsid w:val="000C2A38"/>
    <w:rsid w:val="000C7AA2"/>
    <w:rsid w:val="000D239F"/>
    <w:rsid w:val="000D278A"/>
    <w:rsid w:val="000E2C28"/>
    <w:rsid w:val="000E2DC7"/>
    <w:rsid w:val="000E74EE"/>
    <w:rsid w:val="000F072D"/>
    <w:rsid w:val="000F19F2"/>
    <w:rsid w:val="000F36DD"/>
    <w:rsid w:val="000F3E54"/>
    <w:rsid w:val="000F4F96"/>
    <w:rsid w:val="000F5192"/>
    <w:rsid w:val="00100425"/>
    <w:rsid w:val="00110F76"/>
    <w:rsid w:val="0011114B"/>
    <w:rsid w:val="00112424"/>
    <w:rsid w:val="00112CA7"/>
    <w:rsid w:val="00114227"/>
    <w:rsid w:val="00114F82"/>
    <w:rsid w:val="00120BA9"/>
    <w:rsid w:val="001225D9"/>
    <w:rsid w:val="00122B5C"/>
    <w:rsid w:val="001231C9"/>
    <w:rsid w:val="0012384B"/>
    <w:rsid w:val="001269F6"/>
    <w:rsid w:val="00131BD4"/>
    <w:rsid w:val="001332AC"/>
    <w:rsid w:val="0013357A"/>
    <w:rsid w:val="001365EC"/>
    <w:rsid w:val="001409A6"/>
    <w:rsid w:val="00144BC8"/>
    <w:rsid w:val="00146CE9"/>
    <w:rsid w:val="00147190"/>
    <w:rsid w:val="001473A6"/>
    <w:rsid w:val="00152A82"/>
    <w:rsid w:val="001543F0"/>
    <w:rsid w:val="001549E5"/>
    <w:rsid w:val="00156C98"/>
    <w:rsid w:val="0016195B"/>
    <w:rsid w:val="00163064"/>
    <w:rsid w:val="00170F29"/>
    <w:rsid w:val="00172777"/>
    <w:rsid w:val="00172A27"/>
    <w:rsid w:val="0018120A"/>
    <w:rsid w:val="00181380"/>
    <w:rsid w:val="0018340D"/>
    <w:rsid w:val="001842B5"/>
    <w:rsid w:val="001850F5"/>
    <w:rsid w:val="001909B9"/>
    <w:rsid w:val="00195984"/>
    <w:rsid w:val="00195EBE"/>
    <w:rsid w:val="00197D74"/>
    <w:rsid w:val="001A65F4"/>
    <w:rsid w:val="001A70B7"/>
    <w:rsid w:val="001A70DC"/>
    <w:rsid w:val="001B35B4"/>
    <w:rsid w:val="001B4571"/>
    <w:rsid w:val="001B4717"/>
    <w:rsid w:val="001C1D5A"/>
    <w:rsid w:val="001C2AA5"/>
    <w:rsid w:val="001C2AAD"/>
    <w:rsid w:val="001C3019"/>
    <w:rsid w:val="001D0116"/>
    <w:rsid w:val="001D194F"/>
    <w:rsid w:val="001D2DD3"/>
    <w:rsid w:val="001E4D8E"/>
    <w:rsid w:val="001E6978"/>
    <w:rsid w:val="001E78CD"/>
    <w:rsid w:val="001F66B7"/>
    <w:rsid w:val="002010C4"/>
    <w:rsid w:val="00203C60"/>
    <w:rsid w:val="00205D96"/>
    <w:rsid w:val="00207644"/>
    <w:rsid w:val="00212523"/>
    <w:rsid w:val="00213446"/>
    <w:rsid w:val="00213EC1"/>
    <w:rsid w:val="002163A0"/>
    <w:rsid w:val="002172B8"/>
    <w:rsid w:val="0022466D"/>
    <w:rsid w:val="00225A2C"/>
    <w:rsid w:val="00226D9D"/>
    <w:rsid w:val="0023360A"/>
    <w:rsid w:val="00235788"/>
    <w:rsid w:val="002359B5"/>
    <w:rsid w:val="00240057"/>
    <w:rsid w:val="00241879"/>
    <w:rsid w:val="002475F3"/>
    <w:rsid w:val="0025431A"/>
    <w:rsid w:val="00254FB2"/>
    <w:rsid w:val="002576FE"/>
    <w:rsid w:val="002606B5"/>
    <w:rsid w:val="00260DD9"/>
    <w:rsid w:val="00271D59"/>
    <w:rsid w:val="00273EB4"/>
    <w:rsid w:val="00274B28"/>
    <w:rsid w:val="00274FA9"/>
    <w:rsid w:val="00277EF2"/>
    <w:rsid w:val="002849BC"/>
    <w:rsid w:val="0028520F"/>
    <w:rsid w:val="00291375"/>
    <w:rsid w:val="00291BBA"/>
    <w:rsid w:val="002964F6"/>
    <w:rsid w:val="00296A4B"/>
    <w:rsid w:val="002971F3"/>
    <w:rsid w:val="002A0A3A"/>
    <w:rsid w:val="002A10BC"/>
    <w:rsid w:val="002A201D"/>
    <w:rsid w:val="002A5AF6"/>
    <w:rsid w:val="002A6321"/>
    <w:rsid w:val="002A7C5F"/>
    <w:rsid w:val="002B1C88"/>
    <w:rsid w:val="002B399C"/>
    <w:rsid w:val="002B3DF3"/>
    <w:rsid w:val="002B5DB6"/>
    <w:rsid w:val="002B5DEA"/>
    <w:rsid w:val="002B7E68"/>
    <w:rsid w:val="002C17F2"/>
    <w:rsid w:val="002C26F4"/>
    <w:rsid w:val="002C2B53"/>
    <w:rsid w:val="002D0F6F"/>
    <w:rsid w:val="002D23C3"/>
    <w:rsid w:val="002D45E3"/>
    <w:rsid w:val="002E1B2D"/>
    <w:rsid w:val="002E439D"/>
    <w:rsid w:val="002E53C0"/>
    <w:rsid w:val="002E7649"/>
    <w:rsid w:val="002F2E81"/>
    <w:rsid w:val="002F4EEB"/>
    <w:rsid w:val="002F5209"/>
    <w:rsid w:val="002F6BA3"/>
    <w:rsid w:val="00300F80"/>
    <w:rsid w:val="0031030A"/>
    <w:rsid w:val="00310CCB"/>
    <w:rsid w:val="0031456F"/>
    <w:rsid w:val="003150C6"/>
    <w:rsid w:val="00320067"/>
    <w:rsid w:val="0032086A"/>
    <w:rsid w:val="00323FAD"/>
    <w:rsid w:val="00331358"/>
    <w:rsid w:val="00331EB9"/>
    <w:rsid w:val="00333722"/>
    <w:rsid w:val="00333F4B"/>
    <w:rsid w:val="00340876"/>
    <w:rsid w:val="00340ED2"/>
    <w:rsid w:val="003439F6"/>
    <w:rsid w:val="0034447A"/>
    <w:rsid w:val="00351E95"/>
    <w:rsid w:val="0035243C"/>
    <w:rsid w:val="0035688A"/>
    <w:rsid w:val="00356EB1"/>
    <w:rsid w:val="00364DC1"/>
    <w:rsid w:val="0037000F"/>
    <w:rsid w:val="003747E6"/>
    <w:rsid w:val="003755BA"/>
    <w:rsid w:val="00375E8E"/>
    <w:rsid w:val="0038098F"/>
    <w:rsid w:val="003839A4"/>
    <w:rsid w:val="003842DE"/>
    <w:rsid w:val="00384504"/>
    <w:rsid w:val="00384580"/>
    <w:rsid w:val="003852E8"/>
    <w:rsid w:val="0039423F"/>
    <w:rsid w:val="00396E16"/>
    <w:rsid w:val="003A071D"/>
    <w:rsid w:val="003A1FAB"/>
    <w:rsid w:val="003A3259"/>
    <w:rsid w:val="003A3F66"/>
    <w:rsid w:val="003B0BF1"/>
    <w:rsid w:val="003B0C5F"/>
    <w:rsid w:val="003B392F"/>
    <w:rsid w:val="003B4CDE"/>
    <w:rsid w:val="003B7B66"/>
    <w:rsid w:val="003B7C69"/>
    <w:rsid w:val="003C6BD2"/>
    <w:rsid w:val="003D0022"/>
    <w:rsid w:val="003D36A5"/>
    <w:rsid w:val="003D4817"/>
    <w:rsid w:val="003D4855"/>
    <w:rsid w:val="003E0DFD"/>
    <w:rsid w:val="003E4866"/>
    <w:rsid w:val="003E4A29"/>
    <w:rsid w:val="003F1E89"/>
    <w:rsid w:val="003F281B"/>
    <w:rsid w:val="003F75C5"/>
    <w:rsid w:val="00405F44"/>
    <w:rsid w:val="00407C22"/>
    <w:rsid w:val="004152A2"/>
    <w:rsid w:val="00422670"/>
    <w:rsid w:val="00424D55"/>
    <w:rsid w:val="00432F8C"/>
    <w:rsid w:val="004333D7"/>
    <w:rsid w:val="00441BB9"/>
    <w:rsid w:val="00442094"/>
    <w:rsid w:val="00445215"/>
    <w:rsid w:val="00445FD4"/>
    <w:rsid w:val="00450FCD"/>
    <w:rsid w:val="00452E9D"/>
    <w:rsid w:val="00453DD1"/>
    <w:rsid w:val="00456B1E"/>
    <w:rsid w:val="00465FC7"/>
    <w:rsid w:val="00466577"/>
    <w:rsid w:val="004714CB"/>
    <w:rsid w:val="00473F9F"/>
    <w:rsid w:val="00485A41"/>
    <w:rsid w:val="0049044B"/>
    <w:rsid w:val="004943CE"/>
    <w:rsid w:val="004944F2"/>
    <w:rsid w:val="004950C8"/>
    <w:rsid w:val="00497F58"/>
    <w:rsid w:val="004A0C89"/>
    <w:rsid w:val="004A12D8"/>
    <w:rsid w:val="004A49E1"/>
    <w:rsid w:val="004B1177"/>
    <w:rsid w:val="004B413E"/>
    <w:rsid w:val="004B4688"/>
    <w:rsid w:val="004B5BD1"/>
    <w:rsid w:val="004C1A9C"/>
    <w:rsid w:val="004C299E"/>
    <w:rsid w:val="004C364B"/>
    <w:rsid w:val="004C4C95"/>
    <w:rsid w:val="004C4DC3"/>
    <w:rsid w:val="004C67D2"/>
    <w:rsid w:val="004D1316"/>
    <w:rsid w:val="004D4276"/>
    <w:rsid w:val="004D5A7E"/>
    <w:rsid w:val="004D7662"/>
    <w:rsid w:val="004E1798"/>
    <w:rsid w:val="004E2B4D"/>
    <w:rsid w:val="004E3B9C"/>
    <w:rsid w:val="004E3BCC"/>
    <w:rsid w:val="004E3C21"/>
    <w:rsid w:val="004E3EED"/>
    <w:rsid w:val="004E5201"/>
    <w:rsid w:val="004E59EB"/>
    <w:rsid w:val="00500896"/>
    <w:rsid w:val="005026AE"/>
    <w:rsid w:val="00506F83"/>
    <w:rsid w:val="005107FB"/>
    <w:rsid w:val="00510818"/>
    <w:rsid w:val="00523A0E"/>
    <w:rsid w:val="005305A7"/>
    <w:rsid w:val="00535385"/>
    <w:rsid w:val="005358DA"/>
    <w:rsid w:val="005371B6"/>
    <w:rsid w:val="00537860"/>
    <w:rsid w:val="00537DC7"/>
    <w:rsid w:val="00540776"/>
    <w:rsid w:val="005524F2"/>
    <w:rsid w:val="0055489E"/>
    <w:rsid w:val="00560925"/>
    <w:rsid w:val="00560B67"/>
    <w:rsid w:val="005620E0"/>
    <w:rsid w:val="0056364C"/>
    <w:rsid w:val="0056372A"/>
    <w:rsid w:val="00564ACD"/>
    <w:rsid w:val="00565FBF"/>
    <w:rsid w:val="0057156F"/>
    <w:rsid w:val="005776F6"/>
    <w:rsid w:val="00581C53"/>
    <w:rsid w:val="00584BC4"/>
    <w:rsid w:val="00585E6D"/>
    <w:rsid w:val="00586C2C"/>
    <w:rsid w:val="0058709E"/>
    <w:rsid w:val="00591B1D"/>
    <w:rsid w:val="00591BF2"/>
    <w:rsid w:val="00594731"/>
    <w:rsid w:val="005A56B0"/>
    <w:rsid w:val="005A6591"/>
    <w:rsid w:val="005A6C71"/>
    <w:rsid w:val="005B01F6"/>
    <w:rsid w:val="005B1A61"/>
    <w:rsid w:val="005B2B50"/>
    <w:rsid w:val="005B7848"/>
    <w:rsid w:val="005C3059"/>
    <w:rsid w:val="005C48B8"/>
    <w:rsid w:val="005D03A8"/>
    <w:rsid w:val="005D1270"/>
    <w:rsid w:val="005D179E"/>
    <w:rsid w:val="005D232C"/>
    <w:rsid w:val="005D2838"/>
    <w:rsid w:val="005D2D02"/>
    <w:rsid w:val="005D4ACC"/>
    <w:rsid w:val="005E576A"/>
    <w:rsid w:val="005E58C6"/>
    <w:rsid w:val="005E636D"/>
    <w:rsid w:val="0060059C"/>
    <w:rsid w:val="00601E98"/>
    <w:rsid w:val="006073C4"/>
    <w:rsid w:val="00610DFA"/>
    <w:rsid w:val="006113BD"/>
    <w:rsid w:val="006117B2"/>
    <w:rsid w:val="006134FD"/>
    <w:rsid w:val="006147A1"/>
    <w:rsid w:val="0061567A"/>
    <w:rsid w:val="00616F44"/>
    <w:rsid w:val="006213D2"/>
    <w:rsid w:val="00622624"/>
    <w:rsid w:val="00623671"/>
    <w:rsid w:val="00623EE4"/>
    <w:rsid w:val="0063249C"/>
    <w:rsid w:val="0063281D"/>
    <w:rsid w:val="00632D88"/>
    <w:rsid w:val="00636043"/>
    <w:rsid w:val="0063664B"/>
    <w:rsid w:val="00636DE6"/>
    <w:rsid w:val="00644E51"/>
    <w:rsid w:val="0064672B"/>
    <w:rsid w:val="00650078"/>
    <w:rsid w:val="0065610F"/>
    <w:rsid w:val="0066037E"/>
    <w:rsid w:val="006607AE"/>
    <w:rsid w:val="006643DE"/>
    <w:rsid w:val="00666285"/>
    <w:rsid w:val="006671A7"/>
    <w:rsid w:val="006705A9"/>
    <w:rsid w:val="00672C9E"/>
    <w:rsid w:val="00675F11"/>
    <w:rsid w:val="006775BD"/>
    <w:rsid w:val="00677CDD"/>
    <w:rsid w:val="0068100E"/>
    <w:rsid w:val="0068315A"/>
    <w:rsid w:val="00683587"/>
    <w:rsid w:val="0068738D"/>
    <w:rsid w:val="00694226"/>
    <w:rsid w:val="00694DA8"/>
    <w:rsid w:val="0069613F"/>
    <w:rsid w:val="006A0A20"/>
    <w:rsid w:val="006A2DF1"/>
    <w:rsid w:val="006A7AF5"/>
    <w:rsid w:val="006B0735"/>
    <w:rsid w:val="006B3C63"/>
    <w:rsid w:val="006B51C1"/>
    <w:rsid w:val="006B56B8"/>
    <w:rsid w:val="006B6352"/>
    <w:rsid w:val="006C0C20"/>
    <w:rsid w:val="006C51E0"/>
    <w:rsid w:val="006C69AC"/>
    <w:rsid w:val="006D3564"/>
    <w:rsid w:val="006D6EFE"/>
    <w:rsid w:val="006E1948"/>
    <w:rsid w:val="006E1F56"/>
    <w:rsid w:val="006E6721"/>
    <w:rsid w:val="006E778A"/>
    <w:rsid w:val="006F09CD"/>
    <w:rsid w:val="006F2347"/>
    <w:rsid w:val="006F30E8"/>
    <w:rsid w:val="006F3FB2"/>
    <w:rsid w:val="00700E35"/>
    <w:rsid w:val="0070307B"/>
    <w:rsid w:val="00704043"/>
    <w:rsid w:val="00704724"/>
    <w:rsid w:val="007074CF"/>
    <w:rsid w:val="00707BD7"/>
    <w:rsid w:val="00711648"/>
    <w:rsid w:val="00712227"/>
    <w:rsid w:val="00712C6D"/>
    <w:rsid w:val="00720FB9"/>
    <w:rsid w:val="007231A1"/>
    <w:rsid w:val="007240E8"/>
    <w:rsid w:val="007248B5"/>
    <w:rsid w:val="00725803"/>
    <w:rsid w:val="00726C42"/>
    <w:rsid w:val="0073418A"/>
    <w:rsid w:val="007359AA"/>
    <w:rsid w:val="00746E15"/>
    <w:rsid w:val="00747E30"/>
    <w:rsid w:val="00747E36"/>
    <w:rsid w:val="00750457"/>
    <w:rsid w:val="0075194C"/>
    <w:rsid w:val="00752A78"/>
    <w:rsid w:val="00752E80"/>
    <w:rsid w:val="00757A9E"/>
    <w:rsid w:val="00760CAD"/>
    <w:rsid w:val="007620AE"/>
    <w:rsid w:val="007626BE"/>
    <w:rsid w:val="0076308A"/>
    <w:rsid w:val="00766EA6"/>
    <w:rsid w:val="00767F30"/>
    <w:rsid w:val="00771522"/>
    <w:rsid w:val="0077448B"/>
    <w:rsid w:val="00775368"/>
    <w:rsid w:val="00775637"/>
    <w:rsid w:val="00775658"/>
    <w:rsid w:val="0077668C"/>
    <w:rsid w:val="00776D9C"/>
    <w:rsid w:val="007774F0"/>
    <w:rsid w:val="0079144E"/>
    <w:rsid w:val="00795F21"/>
    <w:rsid w:val="007979F6"/>
    <w:rsid w:val="007A13ED"/>
    <w:rsid w:val="007A1F25"/>
    <w:rsid w:val="007A2933"/>
    <w:rsid w:val="007A6BB1"/>
    <w:rsid w:val="007B02A0"/>
    <w:rsid w:val="007B5A9E"/>
    <w:rsid w:val="007B7E4E"/>
    <w:rsid w:val="007C126F"/>
    <w:rsid w:val="007C2A13"/>
    <w:rsid w:val="007C2FF1"/>
    <w:rsid w:val="007C7382"/>
    <w:rsid w:val="007D081B"/>
    <w:rsid w:val="007D4000"/>
    <w:rsid w:val="007D7B6E"/>
    <w:rsid w:val="007D7D72"/>
    <w:rsid w:val="007F03E3"/>
    <w:rsid w:val="007F25DD"/>
    <w:rsid w:val="007F2AE4"/>
    <w:rsid w:val="007F4142"/>
    <w:rsid w:val="00803598"/>
    <w:rsid w:val="0080460E"/>
    <w:rsid w:val="00811F4A"/>
    <w:rsid w:val="00817370"/>
    <w:rsid w:val="00822B22"/>
    <w:rsid w:val="00822FC7"/>
    <w:rsid w:val="00826653"/>
    <w:rsid w:val="00826721"/>
    <w:rsid w:val="00827D24"/>
    <w:rsid w:val="008301C3"/>
    <w:rsid w:val="00831B1C"/>
    <w:rsid w:val="0084574F"/>
    <w:rsid w:val="00846117"/>
    <w:rsid w:val="00847B3B"/>
    <w:rsid w:val="00852FC5"/>
    <w:rsid w:val="00855CD4"/>
    <w:rsid w:val="00861CF9"/>
    <w:rsid w:val="00862794"/>
    <w:rsid w:val="0086498E"/>
    <w:rsid w:val="0086716F"/>
    <w:rsid w:val="00870760"/>
    <w:rsid w:val="0087170B"/>
    <w:rsid w:val="00871967"/>
    <w:rsid w:val="00871CEA"/>
    <w:rsid w:val="00872E21"/>
    <w:rsid w:val="008746C9"/>
    <w:rsid w:val="008752FC"/>
    <w:rsid w:val="00883792"/>
    <w:rsid w:val="00887E2B"/>
    <w:rsid w:val="00892535"/>
    <w:rsid w:val="008930D9"/>
    <w:rsid w:val="0089718C"/>
    <w:rsid w:val="008A01E6"/>
    <w:rsid w:val="008A0E95"/>
    <w:rsid w:val="008A448F"/>
    <w:rsid w:val="008A5FEA"/>
    <w:rsid w:val="008B11E9"/>
    <w:rsid w:val="008B76F2"/>
    <w:rsid w:val="008B7FF3"/>
    <w:rsid w:val="008C257E"/>
    <w:rsid w:val="008C6CB1"/>
    <w:rsid w:val="008C7218"/>
    <w:rsid w:val="008D228F"/>
    <w:rsid w:val="008D247B"/>
    <w:rsid w:val="008D6270"/>
    <w:rsid w:val="008E2712"/>
    <w:rsid w:val="008E46C3"/>
    <w:rsid w:val="008F047F"/>
    <w:rsid w:val="008F291F"/>
    <w:rsid w:val="00900387"/>
    <w:rsid w:val="00900810"/>
    <w:rsid w:val="00901C3B"/>
    <w:rsid w:val="0090366A"/>
    <w:rsid w:val="00904F86"/>
    <w:rsid w:val="0090624B"/>
    <w:rsid w:val="0091162F"/>
    <w:rsid w:val="00914046"/>
    <w:rsid w:val="009142C3"/>
    <w:rsid w:val="009146D0"/>
    <w:rsid w:val="0091603D"/>
    <w:rsid w:val="009200B2"/>
    <w:rsid w:val="0092761E"/>
    <w:rsid w:val="0093522A"/>
    <w:rsid w:val="009368DE"/>
    <w:rsid w:val="00936F0C"/>
    <w:rsid w:val="00940523"/>
    <w:rsid w:val="009405CE"/>
    <w:rsid w:val="00941F07"/>
    <w:rsid w:val="0094233A"/>
    <w:rsid w:val="009454A6"/>
    <w:rsid w:val="0094591C"/>
    <w:rsid w:val="00950373"/>
    <w:rsid w:val="00951B1F"/>
    <w:rsid w:val="00953831"/>
    <w:rsid w:val="00953BEE"/>
    <w:rsid w:val="00956059"/>
    <w:rsid w:val="00960206"/>
    <w:rsid w:val="00962D6B"/>
    <w:rsid w:val="0096444F"/>
    <w:rsid w:val="00965EAF"/>
    <w:rsid w:val="00974848"/>
    <w:rsid w:val="00975458"/>
    <w:rsid w:val="00982364"/>
    <w:rsid w:val="0098438C"/>
    <w:rsid w:val="00986452"/>
    <w:rsid w:val="00986771"/>
    <w:rsid w:val="0099266C"/>
    <w:rsid w:val="00993A0E"/>
    <w:rsid w:val="009A19A6"/>
    <w:rsid w:val="009A3A2E"/>
    <w:rsid w:val="009A6341"/>
    <w:rsid w:val="009A700B"/>
    <w:rsid w:val="009B0722"/>
    <w:rsid w:val="009B18DA"/>
    <w:rsid w:val="009B2FFD"/>
    <w:rsid w:val="009B7D7A"/>
    <w:rsid w:val="009C0329"/>
    <w:rsid w:val="009C2DF3"/>
    <w:rsid w:val="009C4F54"/>
    <w:rsid w:val="009D30FE"/>
    <w:rsid w:val="009E0FC1"/>
    <w:rsid w:val="009E4DA3"/>
    <w:rsid w:val="00A00AA1"/>
    <w:rsid w:val="00A036AD"/>
    <w:rsid w:val="00A03CD6"/>
    <w:rsid w:val="00A07902"/>
    <w:rsid w:val="00A14B26"/>
    <w:rsid w:val="00A16411"/>
    <w:rsid w:val="00A1778E"/>
    <w:rsid w:val="00A2119A"/>
    <w:rsid w:val="00A32D25"/>
    <w:rsid w:val="00A36535"/>
    <w:rsid w:val="00A36765"/>
    <w:rsid w:val="00A37F95"/>
    <w:rsid w:val="00A41F15"/>
    <w:rsid w:val="00A43E2E"/>
    <w:rsid w:val="00A43FF1"/>
    <w:rsid w:val="00A44658"/>
    <w:rsid w:val="00A50B93"/>
    <w:rsid w:val="00A519E5"/>
    <w:rsid w:val="00A520C3"/>
    <w:rsid w:val="00A53150"/>
    <w:rsid w:val="00A548CF"/>
    <w:rsid w:val="00A5740A"/>
    <w:rsid w:val="00A60FA7"/>
    <w:rsid w:val="00A62EAC"/>
    <w:rsid w:val="00A64F45"/>
    <w:rsid w:val="00A65919"/>
    <w:rsid w:val="00A65BE9"/>
    <w:rsid w:val="00A6632C"/>
    <w:rsid w:val="00A74AEC"/>
    <w:rsid w:val="00A75C3D"/>
    <w:rsid w:val="00A76C03"/>
    <w:rsid w:val="00A773AB"/>
    <w:rsid w:val="00A81435"/>
    <w:rsid w:val="00A916FE"/>
    <w:rsid w:val="00A9206B"/>
    <w:rsid w:val="00A9210B"/>
    <w:rsid w:val="00A93092"/>
    <w:rsid w:val="00A931D8"/>
    <w:rsid w:val="00A95D2A"/>
    <w:rsid w:val="00A977D5"/>
    <w:rsid w:val="00AA0CDA"/>
    <w:rsid w:val="00AA11D9"/>
    <w:rsid w:val="00AA4C0C"/>
    <w:rsid w:val="00AA6674"/>
    <w:rsid w:val="00AB05E9"/>
    <w:rsid w:val="00AB0DE4"/>
    <w:rsid w:val="00AB14E9"/>
    <w:rsid w:val="00AB1C44"/>
    <w:rsid w:val="00AB2703"/>
    <w:rsid w:val="00AB3ABC"/>
    <w:rsid w:val="00AB56BA"/>
    <w:rsid w:val="00AB6BCD"/>
    <w:rsid w:val="00AB74D5"/>
    <w:rsid w:val="00AB78A5"/>
    <w:rsid w:val="00AC163F"/>
    <w:rsid w:val="00AC734C"/>
    <w:rsid w:val="00AC7817"/>
    <w:rsid w:val="00AC7DED"/>
    <w:rsid w:val="00AD2146"/>
    <w:rsid w:val="00AD6B7F"/>
    <w:rsid w:val="00AE0655"/>
    <w:rsid w:val="00AE09CD"/>
    <w:rsid w:val="00AE3877"/>
    <w:rsid w:val="00AE4032"/>
    <w:rsid w:val="00AE6352"/>
    <w:rsid w:val="00AE66DE"/>
    <w:rsid w:val="00AF17B9"/>
    <w:rsid w:val="00AF37E0"/>
    <w:rsid w:val="00AF4FC5"/>
    <w:rsid w:val="00B001A8"/>
    <w:rsid w:val="00B0382A"/>
    <w:rsid w:val="00B03B6D"/>
    <w:rsid w:val="00B105E4"/>
    <w:rsid w:val="00B11966"/>
    <w:rsid w:val="00B24E64"/>
    <w:rsid w:val="00B25409"/>
    <w:rsid w:val="00B26F48"/>
    <w:rsid w:val="00B30A86"/>
    <w:rsid w:val="00B31E9B"/>
    <w:rsid w:val="00B36C34"/>
    <w:rsid w:val="00B40AF3"/>
    <w:rsid w:val="00B411FE"/>
    <w:rsid w:val="00B41A7B"/>
    <w:rsid w:val="00B42755"/>
    <w:rsid w:val="00B50065"/>
    <w:rsid w:val="00B55D94"/>
    <w:rsid w:val="00B57334"/>
    <w:rsid w:val="00B610E8"/>
    <w:rsid w:val="00B61257"/>
    <w:rsid w:val="00B64BBF"/>
    <w:rsid w:val="00B64E8B"/>
    <w:rsid w:val="00B73294"/>
    <w:rsid w:val="00B76EEF"/>
    <w:rsid w:val="00B803D3"/>
    <w:rsid w:val="00B8331B"/>
    <w:rsid w:val="00B83E23"/>
    <w:rsid w:val="00B8425F"/>
    <w:rsid w:val="00B92C8E"/>
    <w:rsid w:val="00B92E68"/>
    <w:rsid w:val="00B93D52"/>
    <w:rsid w:val="00B97A39"/>
    <w:rsid w:val="00BA04C5"/>
    <w:rsid w:val="00BA20CE"/>
    <w:rsid w:val="00BA79AA"/>
    <w:rsid w:val="00BB4125"/>
    <w:rsid w:val="00BB417D"/>
    <w:rsid w:val="00BB4E59"/>
    <w:rsid w:val="00BB78EA"/>
    <w:rsid w:val="00BC0A7B"/>
    <w:rsid w:val="00BC1381"/>
    <w:rsid w:val="00BC39C8"/>
    <w:rsid w:val="00BC51D9"/>
    <w:rsid w:val="00BD009B"/>
    <w:rsid w:val="00BD0A2E"/>
    <w:rsid w:val="00BD2D1F"/>
    <w:rsid w:val="00BD32D5"/>
    <w:rsid w:val="00BD6506"/>
    <w:rsid w:val="00BD6B38"/>
    <w:rsid w:val="00BE1D03"/>
    <w:rsid w:val="00BE36AF"/>
    <w:rsid w:val="00C04CED"/>
    <w:rsid w:val="00C069CC"/>
    <w:rsid w:val="00C118CA"/>
    <w:rsid w:val="00C13D23"/>
    <w:rsid w:val="00C16983"/>
    <w:rsid w:val="00C17659"/>
    <w:rsid w:val="00C24A62"/>
    <w:rsid w:val="00C273F5"/>
    <w:rsid w:val="00C33849"/>
    <w:rsid w:val="00C33D11"/>
    <w:rsid w:val="00C34DD6"/>
    <w:rsid w:val="00C36ECA"/>
    <w:rsid w:val="00C40220"/>
    <w:rsid w:val="00C42DEE"/>
    <w:rsid w:val="00C462D5"/>
    <w:rsid w:val="00C516C4"/>
    <w:rsid w:val="00C52B52"/>
    <w:rsid w:val="00C56D32"/>
    <w:rsid w:val="00C629F2"/>
    <w:rsid w:val="00C63AEE"/>
    <w:rsid w:val="00C64953"/>
    <w:rsid w:val="00C65A31"/>
    <w:rsid w:val="00C66FAA"/>
    <w:rsid w:val="00C717F2"/>
    <w:rsid w:val="00C73679"/>
    <w:rsid w:val="00C737A2"/>
    <w:rsid w:val="00C85494"/>
    <w:rsid w:val="00C86F52"/>
    <w:rsid w:val="00C9009F"/>
    <w:rsid w:val="00C9397E"/>
    <w:rsid w:val="00CA0EF5"/>
    <w:rsid w:val="00CA156D"/>
    <w:rsid w:val="00CA2455"/>
    <w:rsid w:val="00CB09AA"/>
    <w:rsid w:val="00CB4038"/>
    <w:rsid w:val="00CB4E66"/>
    <w:rsid w:val="00CC42CF"/>
    <w:rsid w:val="00CC7991"/>
    <w:rsid w:val="00CC7A35"/>
    <w:rsid w:val="00CC7B51"/>
    <w:rsid w:val="00CD1EC4"/>
    <w:rsid w:val="00CD3FCC"/>
    <w:rsid w:val="00CD58DD"/>
    <w:rsid w:val="00CD692D"/>
    <w:rsid w:val="00CE0379"/>
    <w:rsid w:val="00CE433D"/>
    <w:rsid w:val="00CE5821"/>
    <w:rsid w:val="00CE72BF"/>
    <w:rsid w:val="00CF0337"/>
    <w:rsid w:val="00CF03E8"/>
    <w:rsid w:val="00CF2EE9"/>
    <w:rsid w:val="00CF3BCC"/>
    <w:rsid w:val="00CF6CA8"/>
    <w:rsid w:val="00CF7323"/>
    <w:rsid w:val="00CF7F0A"/>
    <w:rsid w:val="00D0053C"/>
    <w:rsid w:val="00D02EB2"/>
    <w:rsid w:val="00D0421D"/>
    <w:rsid w:val="00D058B9"/>
    <w:rsid w:val="00D07223"/>
    <w:rsid w:val="00D073D3"/>
    <w:rsid w:val="00D07F23"/>
    <w:rsid w:val="00D21B2A"/>
    <w:rsid w:val="00D30AC7"/>
    <w:rsid w:val="00D3250B"/>
    <w:rsid w:val="00D35F39"/>
    <w:rsid w:val="00D43B59"/>
    <w:rsid w:val="00D452AE"/>
    <w:rsid w:val="00D50395"/>
    <w:rsid w:val="00D5457B"/>
    <w:rsid w:val="00D574D5"/>
    <w:rsid w:val="00D601B6"/>
    <w:rsid w:val="00D6139C"/>
    <w:rsid w:val="00D66419"/>
    <w:rsid w:val="00D703E9"/>
    <w:rsid w:val="00D710B4"/>
    <w:rsid w:val="00D712BC"/>
    <w:rsid w:val="00D7191E"/>
    <w:rsid w:val="00D80E50"/>
    <w:rsid w:val="00D81F88"/>
    <w:rsid w:val="00D82BA2"/>
    <w:rsid w:val="00D9593A"/>
    <w:rsid w:val="00DA0B7F"/>
    <w:rsid w:val="00DA1093"/>
    <w:rsid w:val="00DA10C4"/>
    <w:rsid w:val="00DA5716"/>
    <w:rsid w:val="00DB00A1"/>
    <w:rsid w:val="00DB27B4"/>
    <w:rsid w:val="00DB2CCC"/>
    <w:rsid w:val="00DB323F"/>
    <w:rsid w:val="00DB370F"/>
    <w:rsid w:val="00DB3EBC"/>
    <w:rsid w:val="00DB43B9"/>
    <w:rsid w:val="00DC0D3C"/>
    <w:rsid w:val="00DC1745"/>
    <w:rsid w:val="00DC50C2"/>
    <w:rsid w:val="00DD2D19"/>
    <w:rsid w:val="00DD6772"/>
    <w:rsid w:val="00DE0FEF"/>
    <w:rsid w:val="00DE2303"/>
    <w:rsid w:val="00DE37FA"/>
    <w:rsid w:val="00DE5D19"/>
    <w:rsid w:val="00DE78C8"/>
    <w:rsid w:val="00DE7FF3"/>
    <w:rsid w:val="00DF29AF"/>
    <w:rsid w:val="00DF3691"/>
    <w:rsid w:val="00DF5A43"/>
    <w:rsid w:val="00E0067D"/>
    <w:rsid w:val="00E04552"/>
    <w:rsid w:val="00E06CC8"/>
    <w:rsid w:val="00E1012A"/>
    <w:rsid w:val="00E10510"/>
    <w:rsid w:val="00E10F55"/>
    <w:rsid w:val="00E11334"/>
    <w:rsid w:val="00E12BC7"/>
    <w:rsid w:val="00E13ABA"/>
    <w:rsid w:val="00E157B3"/>
    <w:rsid w:val="00E215BB"/>
    <w:rsid w:val="00E23028"/>
    <w:rsid w:val="00E247D2"/>
    <w:rsid w:val="00E24DD9"/>
    <w:rsid w:val="00E26E2F"/>
    <w:rsid w:val="00E27235"/>
    <w:rsid w:val="00E32021"/>
    <w:rsid w:val="00E33110"/>
    <w:rsid w:val="00E3515D"/>
    <w:rsid w:val="00E43456"/>
    <w:rsid w:val="00E44CD4"/>
    <w:rsid w:val="00E471E9"/>
    <w:rsid w:val="00E47208"/>
    <w:rsid w:val="00E50C05"/>
    <w:rsid w:val="00E53A6F"/>
    <w:rsid w:val="00E6178E"/>
    <w:rsid w:val="00E61BBB"/>
    <w:rsid w:val="00E6438F"/>
    <w:rsid w:val="00E74600"/>
    <w:rsid w:val="00E76026"/>
    <w:rsid w:val="00E772B5"/>
    <w:rsid w:val="00E77A57"/>
    <w:rsid w:val="00E80722"/>
    <w:rsid w:val="00E810C4"/>
    <w:rsid w:val="00E85FE2"/>
    <w:rsid w:val="00E8768E"/>
    <w:rsid w:val="00E90940"/>
    <w:rsid w:val="00E91C00"/>
    <w:rsid w:val="00EA7A3A"/>
    <w:rsid w:val="00EA7D05"/>
    <w:rsid w:val="00EB3BF4"/>
    <w:rsid w:val="00EB5159"/>
    <w:rsid w:val="00EB5746"/>
    <w:rsid w:val="00EC027A"/>
    <w:rsid w:val="00EC0A83"/>
    <w:rsid w:val="00EC14B7"/>
    <w:rsid w:val="00EC31CF"/>
    <w:rsid w:val="00EC5F22"/>
    <w:rsid w:val="00EC6C18"/>
    <w:rsid w:val="00EC6F47"/>
    <w:rsid w:val="00ED0B54"/>
    <w:rsid w:val="00ED118D"/>
    <w:rsid w:val="00ED1B3A"/>
    <w:rsid w:val="00ED5401"/>
    <w:rsid w:val="00EE459D"/>
    <w:rsid w:val="00EF5E4F"/>
    <w:rsid w:val="00F069D4"/>
    <w:rsid w:val="00F07CE9"/>
    <w:rsid w:val="00F103BF"/>
    <w:rsid w:val="00F22368"/>
    <w:rsid w:val="00F27285"/>
    <w:rsid w:val="00F277F3"/>
    <w:rsid w:val="00F30C7D"/>
    <w:rsid w:val="00F368D9"/>
    <w:rsid w:val="00F373B3"/>
    <w:rsid w:val="00F4713C"/>
    <w:rsid w:val="00F536EA"/>
    <w:rsid w:val="00F55365"/>
    <w:rsid w:val="00F560AE"/>
    <w:rsid w:val="00F600F5"/>
    <w:rsid w:val="00F61219"/>
    <w:rsid w:val="00F64976"/>
    <w:rsid w:val="00F70AF8"/>
    <w:rsid w:val="00F70C4D"/>
    <w:rsid w:val="00F711A3"/>
    <w:rsid w:val="00F7359C"/>
    <w:rsid w:val="00F73E73"/>
    <w:rsid w:val="00F757E0"/>
    <w:rsid w:val="00F769FE"/>
    <w:rsid w:val="00F85ACE"/>
    <w:rsid w:val="00F87E08"/>
    <w:rsid w:val="00F91579"/>
    <w:rsid w:val="00F91A07"/>
    <w:rsid w:val="00F94D3A"/>
    <w:rsid w:val="00F95518"/>
    <w:rsid w:val="00F9671F"/>
    <w:rsid w:val="00F971D7"/>
    <w:rsid w:val="00F97557"/>
    <w:rsid w:val="00F97DEF"/>
    <w:rsid w:val="00FA12B3"/>
    <w:rsid w:val="00FA2CEC"/>
    <w:rsid w:val="00FA77D9"/>
    <w:rsid w:val="00FB05BA"/>
    <w:rsid w:val="00FB08BF"/>
    <w:rsid w:val="00FB141A"/>
    <w:rsid w:val="00FB1A4C"/>
    <w:rsid w:val="00FB5824"/>
    <w:rsid w:val="00FC3DBB"/>
    <w:rsid w:val="00FC6058"/>
    <w:rsid w:val="00FC651B"/>
    <w:rsid w:val="00FD00BE"/>
    <w:rsid w:val="00FD0513"/>
    <w:rsid w:val="00FD1F3B"/>
    <w:rsid w:val="00FD2E0F"/>
    <w:rsid w:val="00FD6F10"/>
    <w:rsid w:val="00FE0078"/>
    <w:rsid w:val="00FE2766"/>
    <w:rsid w:val="00FE3319"/>
    <w:rsid w:val="00FE3691"/>
    <w:rsid w:val="00FE45BE"/>
    <w:rsid w:val="00FF1A0A"/>
    <w:rsid w:val="00FF2511"/>
    <w:rsid w:val="00FF5FAA"/>
    <w:rsid w:val="00FF68F1"/>
    <w:rsid w:val="01035D87"/>
    <w:rsid w:val="01260589"/>
    <w:rsid w:val="01492F6E"/>
    <w:rsid w:val="01C5531B"/>
    <w:rsid w:val="01FF2390"/>
    <w:rsid w:val="022842A6"/>
    <w:rsid w:val="02F54FC6"/>
    <w:rsid w:val="041D47D5"/>
    <w:rsid w:val="04250B4B"/>
    <w:rsid w:val="04CE06EC"/>
    <w:rsid w:val="05AB252E"/>
    <w:rsid w:val="071560F3"/>
    <w:rsid w:val="07865125"/>
    <w:rsid w:val="086F62C2"/>
    <w:rsid w:val="09176380"/>
    <w:rsid w:val="094A0F84"/>
    <w:rsid w:val="09DB5D48"/>
    <w:rsid w:val="09EC71B8"/>
    <w:rsid w:val="0A115F02"/>
    <w:rsid w:val="0AB70EAA"/>
    <w:rsid w:val="0B64321A"/>
    <w:rsid w:val="0BA8751B"/>
    <w:rsid w:val="0C7E3CF7"/>
    <w:rsid w:val="0C9B7B18"/>
    <w:rsid w:val="0D5C1813"/>
    <w:rsid w:val="0E7E4DAD"/>
    <w:rsid w:val="0EEC6BF8"/>
    <w:rsid w:val="0EF228E3"/>
    <w:rsid w:val="0F9F36BB"/>
    <w:rsid w:val="0FDF61E6"/>
    <w:rsid w:val="10424EAC"/>
    <w:rsid w:val="120A1670"/>
    <w:rsid w:val="12321383"/>
    <w:rsid w:val="134D580E"/>
    <w:rsid w:val="139B40F9"/>
    <w:rsid w:val="13A9151A"/>
    <w:rsid w:val="15C70A44"/>
    <w:rsid w:val="15C77A87"/>
    <w:rsid w:val="16C6734D"/>
    <w:rsid w:val="173B0CF8"/>
    <w:rsid w:val="175B6548"/>
    <w:rsid w:val="17FA54AA"/>
    <w:rsid w:val="1819252C"/>
    <w:rsid w:val="183D3240"/>
    <w:rsid w:val="1A527F69"/>
    <w:rsid w:val="1A803273"/>
    <w:rsid w:val="1A8F276B"/>
    <w:rsid w:val="1B6503BC"/>
    <w:rsid w:val="1BB93B82"/>
    <w:rsid w:val="1DF6650F"/>
    <w:rsid w:val="1EC72B9C"/>
    <w:rsid w:val="20617661"/>
    <w:rsid w:val="218912A4"/>
    <w:rsid w:val="236B6EB3"/>
    <w:rsid w:val="23D22A8E"/>
    <w:rsid w:val="249302AE"/>
    <w:rsid w:val="258D2496"/>
    <w:rsid w:val="25BF2294"/>
    <w:rsid w:val="25F84C0E"/>
    <w:rsid w:val="279F26E5"/>
    <w:rsid w:val="287E201F"/>
    <w:rsid w:val="28E15521"/>
    <w:rsid w:val="299F7A89"/>
    <w:rsid w:val="29CB7425"/>
    <w:rsid w:val="2A7F4250"/>
    <w:rsid w:val="2AEB3A0F"/>
    <w:rsid w:val="2B8B1657"/>
    <w:rsid w:val="2BDA5DD5"/>
    <w:rsid w:val="2CC526D7"/>
    <w:rsid w:val="2D7B34A6"/>
    <w:rsid w:val="2E29045C"/>
    <w:rsid w:val="303421D9"/>
    <w:rsid w:val="31515325"/>
    <w:rsid w:val="31760E45"/>
    <w:rsid w:val="31C14713"/>
    <w:rsid w:val="32E00CA6"/>
    <w:rsid w:val="32EE540A"/>
    <w:rsid w:val="33587678"/>
    <w:rsid w:val="33617029"/>
    <w:rsid w:val="336820A7"/>
    <w:rsid w:val="33804814"/>
    <w:rsid w:val="34857ABA"/>
    <w:rsid w:val="34F152D1"/>
    <w:rsid w:val="3532636B"/>
    <w:rsid w:val="35D45F0F"/>
    <w:rsid w:val="36D33265"/>
    <w:rsid w:val="37963E29"/>
    <w:rsid w:val="37C0692F"/>
    <w:rsid w:val="38953355"/>
    <w:rsid w:val="39553BDD"/>
    <w:rsid w:val="3A452090"/>
    <w:rsid w:val="3AFB2473"/>
    <w:rsid w:val="3C7834D1"/>
    <w:rsid w:val="3F9E0124"/>
    <w:rsid w:val="400B3176"/>
    <w:rsid w:val="42156510"/>
    <w:rsid w:val="42D22374"/>
    <w:rsid w:val="42D45294"/>
    <w:rsid w:val="42F81D62"/>
    <w:rsid w:val="434B1E17"/>
    <w:rsid w:val="4452467F"/>
    <w:rsid w:val="474859D1"/>
    <w:rsid w:val="4A3E34D1"/>
    <w:rsid w:val="4AD90E7B"/>
    <w:rsid w:val="4BE8784A"/>
    <w:rsid w:val="4C123166"/>
    <w:rsid w:val="4E202607"/>
    <w:rsid w:val="4EAA668A"/>
    <w:rsid w:val="50933D8E"/>
    <w:rsid w:val="51372E0F"/>
    <w:rsid w:val="51477D64"/>
    <w:rsid w:val="521E57D7"/>
    <w:rsid w:val="532D10B1"/>
    <w:rsid w:val="546572A4"/>
    <w:rsid w:val="5579070C"/>
    <w:rsid w:val="55D83373"/>
    <w:rsid w:val="55D93BF4"/>
    <w:rsid w:val="56B51C18"/>
    <w:rsid w:val="571A6411"/>
    <w:rsid w:val="57BB220D"/>
    <w:rsid w:val="58774FA5"/>
    <w:rsid w:val="5A316DF7"/>
    <w:rsid w:val="5ACE7D66"/>
    <w:rsid w:val="5AE34C50"/>
    <w:rsid w:val="5B784218"/>
    <w:rsid w:val="5C881135"/>
    <w:rsid w:val="5D6942A5"/>
    <w:rsid w:val="5EFA5BA8"/>
    <w:rsid w:val="5F097CAF"/>
    <w:rsid w:val="62070D75"/>
    <w:rsid w:val="6327149A"/>
    <w:rsid w:val="63B958D9"/>
    <w:rsid w:val="643220A1"/>
    <w:rsid w:val="643A7FB0"/>
    <w:rsid w:val="66BC4F9D"/>
    <w:rsid w:val="681C38A5"/>
    <w:rsid w:val="68806DE5"/>
    <w:rsid w:val="6A2922A9"/>
    <w:rsid w:val="6A4332F2"/>
    <w:rsid w:val="6A4B15F0"/>
    <w:rsid w:val="6B67678B"/>
    <w:rsid w:val="6BBF1CE1"/>
    <w:rsid w:val="6C0C419E"/>
    <w:rsid w:val="6CAA6EB4"/>
    <w:rsid w:val="6CFC6EF8"/>
    <w:rsid w:val="6E533ECD"/>
    <w:rsid w:val="6E83679B"/>
    <w:rsid w:val="6ED31B23"/>
    <w:rsid w:val="70533087"/>
    <w:rsid w:val="71A21455"/>
    <w:rsid w:val="74A548F4"/>
    <w:rsid w:val="74B524C2"/>
    <w:rsid w:val="74F146FA"/>
    <w:rsid w:val="75562F36"/>
    <w:rsid w:val="76414E18"/>
    <w:rsid w:val="77C04DF9"/>
    <w:rsid w:val="78D10CA9"/>
    <w:rsid w:val="78D930EC"/>
    <w:rsid w:val="7A147A65"/>
    <w:rsid w:val="7A453A29"/>
    <w:rsid w:val="7A800A05"/>
    <w:rsid w:val="7CC44481"/>
    <w:rsid w:val="7D6E2BD7"/>
    <w:rsid w:val="7F2A7B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28"/>
    <w:autoRedefine/>
    <w:qFormat/>
    <w:uiPriority w:val="0"/>
    <w:pPr>
      <w:keepNext/>
      <w:widowControl/>
      <w:tabs>
        <w:tab w:val="left" w:pos="600"/>
      </w:tabs>
      <w:ind w:left="600" w:hanging="300"/>
      <w:outlineLvl w:val="0"/>
    </w:pPr>
    <w:rPr>
      <w:rFonts w:ascii="楷体_GB2312" w:eastAsia="楷体_GB2312"/>
      <w:color w:val="000000"/>
      <w:sz w:val="30"/>
    </w:rPr>
  </w:style>
  <w:style w:type="paragraph" w:styleId="5">
    <w:name w:val="heading 2"/>
    <w:basedOn w:val="1"/>
    <w:next w:val="1"/>
    <w:link w:val="31"/>
    <w:qFormat/>
    <w:uiPriority w:val="0"/>
    <w:pPr>
      <w:keepNext/>
      <w:keepLines/>
      <w:tabs>
        <w:tab w:val="left" w:pos="1418"/>
      </w:tabs>
      <w:spacing w:before="200" w:after="100" w:line="500" w:lineRule="atLeast"/>
      <w:ind w:left="1933" w:firstLine="227"/>
      <w:outlineLvl w:val="1"/>
    </w:pPr>
    <w:rPr>
      <w:rFonts w:ascii="黑体" w:hAnsi="Arial" w:eastAsia="黑体"/>
      <w:b/>
      <w:sz w:val="30"/>
    </w:rPr>
  </w:style>
  <w:style w:type="paragraph" w:styleId="6">
    <w:name w:val="heading 3"/>
    <w:basedOn w:val="1"/>
    <w:next w:val="7"/>
    <w:autoRedefine/>
    <w:qFormat/>
    <w:uiPriority w:val="0"/>
    <w:pPr>
      <w:keepNext/>
      <w:keepLines/>
      <w:tabs>
        <w:tab w:val="left" w:pos="1134"/>
      </w:tabs>
      <w:spacing w:before="100" w:after="100" w:line="500" w:lineRule="exact"/>
      <w:ind w:firstLine="227"/>
      <w:outlineLvl w:val="2"/>
    </w:pPr>
    <w:rPr>
      <w:rFonts w:eastAsia="黑体"/>
      <w:b/>
      <w:sz w:val="28"/>
      <w:szCs w:val="20"/>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3"/>
    <w:autoRedefine/>
    <w:qFormat/>
    <w:uiPriority w:val="99"/>
    <w:pPr>
      <w:spacing w:after="120"/>
    </w:pPr>
  </w:style>
  <w:style w:type="paragraph" w:styleId="3">
    <w:name w:val="Body Text 2"/>
    <w:basedOn w:val="1"/>
    <w:next w:val="1"/>
    <w:autoRedefine/>
    <w:qFormat/>
    <w:uiPriority w:val="0"/>
    <w:pPr>
      <w:spacing w:line="600" w:lineRule="exact"/>
    </w:pPr>
    <w:rPr>
      <w:rFonts w:ascii="宋体" w:hAnsi="宋体"/>
      <w:sz w:val="36"/>
      <w:u w:val="single"/>
    </w:rPr>
  </w:style>
  <w:style w:type="paragraph" w:styleId="7">
    <w:name w:val="Normal Indent"/>
    <w:basedOn w:val="1"/>
    <w:autoRedefine/>
    <w:qFormat/>
    <w:uiPriority w:val="0"/>
    <w:pPr>
      <w:ind w:firstLine="420"/>
    </w:pPr>
    <w:rPr>
      <w:szCs w:val="20"/>
    </w:rPr>
  </w:style>
  <w:style w:type="paragraph" w:styleId="8">
    <w:name w:val="Document Map"/>
    <w:basedOn w:val="1"/>
    <w:link w:val="29"/>
    <w:qFormat/>
    <w:uiPriority w:val="0"/>
    <w:pPr>
      <w:shd w:val="clear" w:color="auto" w:fill="000080"/>
      <w:adjustRightInd w:val="0"/>
      <w:jc w:val="left"/>
      <w:textAlignment w:val="baseline"/>
    </w:pPr>
    <w:rPr>
      <w:kern w:val="0"/>
      <w:szCs w:val="20"/>
    </w:rPr>
  </w:style>
  <w:style w:type="paragraph" w:styleId="9">
    <w:name w:val="Body Text Indent"/>
    <w:basedOn w:val="1"/>
    <w:autoRedefine/>
    <w:qFormat/>
    <w:uiPriority w:val="99"/>
    <w:pPr>
      <w:autoSpaceDE w:val="0"/>
      <w:autoSpaceDN w:val="0"/>
      <w:adjustRightInd w:val="0"/>
      <w:spacing w:line="360" w:lineRule="auto"/>
      <w:ind w:firstLine="480"/>
      <w:jc w:val="left"/>
    </w:pPr>
    <w:rPr>
      <w:rFonts w:ascii="宋体" w:hAnsi="宋体"/>
      <w:kern w:val="0"/>
      <w:sz w:val="24"/>
    </w:rPr>
  </w:style>
  <w:style w:type="paragraph" w:styleId="10">
    <w:name w:val="toc 3"/>
    <w:basedOn w:val="1"/>
    <w:next w:val="1"/>
    <w:autoRedefine/>
    <w:qFormat/>
    <w:uiPriority w:val="0"/>
    <w:pPr>
      <w:ind w:left="840" w:leftChars="400"/>
    </w:pPr>
  </w:style>
  <w:style w:type="paragraph" w:styleId="11">
    <w:name w:val="Plain Text"/>
    <w:basedOn w:val="1"/>
    <w:link w:val="32"/>
    <w:qFormat/>
    <w:uiPriority w:val="0"/>
    <w:rPr>
      <w:rFonts w:ascii="宋体" w:hAnsi="Courier New"/>
      <w:szCs w:val="20"/>
    </w:rPr>
  </w:style>
  <w:style w:type="paragraph" w:styleId="12">
    <w:name w:val="toc 8"/>
    <w:basedOn w:val="1"/>
    <w:next w:val="1"/>
    <w:autoRedefine/>
    <w:qFormat/>
    <w:uiPriority w:val="0"/>
    <w:pPr>
      <w:ind w:left="1470"/>
      <w:jc w:val="left"/>
    </w:pPr>
    <w:rPr>
      <w:rFonts w:ascii="Times New Roman" w:hAnsi="Times New Roman" w:eastAsia="宋体" w:cs="Times New Roman"/>
    </w:rPr>
  </w:style>
  <w:style w:type="paragraph" w:styleId="13">
    <w:name w:val="Date"/>
    <w:basedOn w:val="1"/>
    <w:next w:val="1"/>
    <w:link w:val="39"/>
    <w:autoRedefine/>
    <w:qFormat/>
    <w:uiPriority w:val="0"/>
    <w:pPr>
      <w:ind w:left="100" w:leftChars="2500"/>
    </w:p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30"/>
    <w:autoRedefine/>
    <w:qFormat/>
    <w:uiPriority w:val="99"/>
    <w:pPr>
      <w:tabs>
        <w:tab w:val="center" w:pos="4153"/>
        <w:tab w:val="right" w:pos="8306"/>
      </w:tabs>
      <w:snapToGrid w:val="0"/>
      <w:jc w:val="left"/>
    </w:pPr>
    <w:rPr>
      <w:sz w:val="18"/>
      <w:szCs w:val="18"/>
    </w:rPr>
  </w:style>
  <w:style w:type="paragraph" w:styleId="17">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Normal (Web)"/>
    <w:basedOn w:val="1"/>
    <w:autoRedefine/>
    <w:qFormat/>
    <w:uiPriority w:val="0"/>
    <w:pPr>
      <w:jc w:val="left"/>
    </w:pPr>
    <w:rPr>
      <w:kern w:val="0"/>
    </w:rPr>
  </w:style>
  <w:style w:type="paragraph" w:styleId="20">
    <w:name w:val="Body Text First Indent"/>
    <w:basedOn w:val="2"/>
    <w:link w:val="61"/>
    <w:autoRedefine/>
    <w:qFormat/>
    <w:uiPriority w:val="0"/>
    <w:pPr>
      <w:ind w:firstLine="420" w:firstLineChars="100"/>
    </w:pPr>
    <w:rPr>
      <w:sz w:val="21"/>
    </w:rPr>
  </w:style>
  <w:style w:type="table" w:styleId="22">
    <w:name w:val="Table Grid"/>
    <w:basedOn w:val="2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FollowedHyperlink"/>
    <w:basedOn w:val="23"/>
    <w:qFormat/>
    <w:uiPriority w:val="0"/>
    <w:rPr>
      <w:color w:val="333333"/>
      <w:u w:val="none"/>
    </w:rPr>
  </w:style>
  <w:style w:type="character" w:styleId="26">
    <w:name w:val="Hyperlink"/>
    <w:basedOn w:val="23"/>
    <w:qFormat/>
    <w:uiPriority w:val="0"/>
    <w:rPr>
      <w:color w:val="333333"/>
      <w:u w:val="none"/>
    </w:rPr>
  </w:style>
  <w:style w:type="paragraph" w:customStyle="1" w:styleId="27">
    <w:name w:val="No Spacing1"/>
    <w:basedOn w:val="1"/>
    <w:autoRedefine/>
    <w:qFormat/>
    <w:uiPriority w:val="0"/>
    <w:pPr>
      <w:tabs>
        <w:tab w:val="left" w:pos="737"/>
      </w:tabs>
      <w:spacing w:line="400" w:lineRule="exact"/>
    </w:pPr>
  </w:style>
  <w:style w:type="character" w:customStyle="1" w:styleId="28">
    <w:name w:val="标题 1 字符"/>
    <w:link w:val="4"/>
    <w:autoRedefine/>
    <w:qFormat/>
    <w:uiPriority w:val="0"/>
    <w:rPr>
      <w:rFonts w:ascii="楷体_GB2312" w:eastAsia="楷体_GB2312"/>
      <w:color w:val="000000"/>
      <w:kern w:val="2"/>
      <w:sz w:val="30"/>
      <w:szCs w:val="24"/>
      <w:lang w:val="en-US" w:eastAsia="zh-CN" w:bidi="ar-SA"/>
    </w:rPr>
  </w:style>
  <w:style w:type="character" w:customStyle="1" w:styleId="29">
    <w:name w:val="文档结构图 字符"/>
    <w:link w:val="8"/>
    <w:autoRedefine/>
    <w:qFormat/>
    <w:uiPriority w:val="0"/>
    <w:rPr>
      <w:rFonts w:eastAsia="宋体"/>
      <w:sz w:val="21"/>
      <w:lang w:val="en-US" w:eastAsia="zh-CN" w:bidi="ar-SA"/>
    </w:rPr>
  </w:style>
  <w:style w:type="character" w:customStyle="1" w:styleId="30">
    <w:name w:val="页脚 字符"/>
    <w:link w:val="16"/>
    <w:qFormat/>
    <w:uiPriority w:val="99"/>
    <w:rPr>
      <w:rFonts w:eastAsia="宋体"/>
      <w:kern w:val="2"/>
      <w:sz w:val="18"/>
      <w:szCs w:val="18"/>
      <w:lang w:val="en-US" w:eastAsia="zh-CN" w:bidi="ar-SA"/>
    </w:rPr>
  </w:style>
  <w:style w:type="character" w:customStyle="1" w:styleId="31">
    <w:name w:val="标题 2 字符"/>
    <w:link w:val="5"/>
    <w:autoRedefine/>
    <w:qFormat/>
    <w:uiPriority w:val="0"/>
    <w:rPr>
      <w:rFonts w:ascii="黑体" w:hAnsi="Arial" w:eastAsia="黑体"/>
      <w:b/>
      <w:kern w:val="2"/>
      <w:sz w:val="30"/>
      <w:szCs w:val="24"/>
      <w:lang w:val="en-US" w:eastAsia="zh-CN" w:bidi="ar-SA"/>
    </w:rPr>
  </w:style>
  <w:style w:type="character" w:customStyle="1" w:styleId="32">
    <w:name w:val="纯文本 字符"/>
    <w:link w:val="11"/>
    <w:qFormat/>
    <w:locked/>
    <w:uiPriority w:val="0"/>
    <w:rPr>
      <w:rFonts w:ascii="宋体" w:hAnsi="Courier New"/>
      <w:kern w:val="2"/>
      <w:sz w:val="21"/>
    </w:rPr>
  </w:style>
  <w:style w:type="character" w:customStyle="1" w:styleId="33">
    <w:name w:val="正文文本 字符"/>
    <w:link w:val="2"/>
    <w:autoRedefine/>
    <w:qFormat/>
    <w:uiPriority w:val="99"/>
    <w:rPr>
      <w:kern w:val="2"/>
      <w:sz w:val="21"/>
      <w:szCs w:val="24"/>
    </w:rPr>
  </w:style>
  <w:style w:type="character" w:customStyle="1" w:styleId="34">
    <w:name w:val="页眉 字符"/>
    <w:link w:val="17"/>
    <w:qFormat/>
    <w:uiPriority w:val="0"/>
    <w:rPr>
      <w:rFonts w:eastAsia="宋体"/>
      <w:kern w:val="2"/>
      <w:sz w:val="18"/>
      <w:szCs w:val="18"/>
      <w:lang w:val="en-US" w:eastAsia="zh-CN" w:bidi="ar-SA"/>
    </w:rPr>
  </w:style>
  <w:style w:type="character" w:customStyle="1" w:styleId="35">
    <w:name w:val="Char Char Char Char Char Char Char Char Char"/>
    <w:link w:val="36"/>
    <w:autoRedefine/>
    <w:qFormat/>
    <w:uiPriority w:val="0"/>
    <w:rPr>
      <w:rFonts w:eastAsia="宋体"/>
      <w:kern w:val="2"/>
      <w:sz w:val="21"/>
      <w:lang w:val="en-US" w:eastAsia="zh-CN" w:bidi="ar-SA"/>
    </w:rPr>
  </w:style>
  <w:style w:type="paragraph" w:customStyle="1" w:styleId="36">
    <w:name w:val="Char Char Char Char Char Char Char"/>
    <w:basedOn w:val="1"/>
    <w:link w:val="35"/>
    <w:qFormat/>
    <w:uiPriority w:val="0"/>
    <w:rPr>
      <w:szCs w:val="20"/>
    </w:rPr>
  </w:style>
  <w:style w:type="character" w:customStyle="1" w:styleId="37">
    <w:name w:val="(标书)正文 Char Char"/>
    <w:link w:val="38"/>
    <w:autoRedefine/>
    <w:qFormat/>
    <w:uiPriority w:val="0"/>
    <w:rPr>
      <w:rFonts w:eastAsia="宋体" w:cs="宋体"/>
      <w:spacing w:val="10"/>
      <w:kern w:val="2"/>
      <w:sz w:val="24"/>
      <w:szCs w:val="24"/>
      <w:lang w:val="en-US" w:eastAsia="zh-CN" w:bidi="ar-SA"/>
    </w:rPr>
  </w:style>
  <w:style w:type="paragraph" w:customStyle="1" w:styleId="38">
    <w:name w:val="(标书)正文"/>
    <w:basedOn w:val="1"/>
    <w:link w:val="37"/>
    <w:qFormat/>
    <w:uiPriority w:val="0"/>
    <w:pPr>
      <w:spacing w:line="380" w:lineRule="exact"/>
      <w:ind w:firstLine="522"/>
    </w:pPr>
    <w:rPr>
      <w:rFonts w:cs="宋体"/>
      <w:spacing w:val="10"/>
    </w:rPr>
  </w:style>
  <w:style w:type="character" w:customStyle="1" w:styleId="39">
    <w:name w:val="日期 字符"/>
    <w:link w:val="13"/>
    <w:autoRedefine/>
    <w:qFormat/>
    <w:uiPriority w:val="0"/>
    <w:rPr>
      <w:kern w:val="2"/>
      <w:sz w:val="21"/>
      <w:szCs w:val="24"/>
    </w:rPr>
  </w:style>
  <w:style w:type="paragraph" w:customStyle="1" w:styleId="40">
    <w:name w:val="Char Char Char Char Char Char Char 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41">
    <w:name w:val="Table Paragraph"/>
    <w:basedOn w:val="1"/>
    <w:qFormat/>
    <w:uiPriority w:val="99"/>
    <w:pPr>
      <w:jc w:val="left"/>
    </w:pPr>
    <w:rPr>
      <w:rFonts w:ascii="宋体" w:hAnsi="宋体" w:cs="宋体"/>
      <w:kern w:val="0"/>
      <w:sz w:val="22"/>
      <w:szCs w:val="22"/>
      <w:lang w:eastAsia="en-US"/>
    </w:rPr>
  </w:style>
  <w:style w:type="paragraph" w:styleId="42">
    <w:name w:val="List Paragraph"/>
    <w:basedOn w:val="1"/>
    <w:qFormat/>
    <w:uiPriority w:val="34"/>
    <w:pPr>
      <w:ind w:firstLine="420" w:firstLineChars="200"/>
    </w:pPr>
    <w:rPr>
      <w:rFonts w:ascii="Calibri" w:hAnsi="Calibri"/>
      <w:szCs w:val="22"/>
    </w:rPr>
  </w:style>
  <w:style w:type="character" w:customStyle="1" w:styleId="43">
    <w:name w:val="sp_r"/>
    <w:basedOn w:val="23"/>
    <w:autoRedefine/>
    <w:qFormat/>
    <w:uiPriority w:val="0"/>
  </w:style>
  <w:style w:type="character" w:customStyle="1" w:styleId="44">
    <w:name w:val="sp_l"/>
    <w:basedOn w:val="23"/>
    <w:autoRedefine/>
    <w:qFormat/>
    <w:uiPriority w:val="0"/>
  </w:style>
  <w:style w:type="character" w:customStyle="1" w:styleId="45">
    <w:name w:val="sp_time"/>
    <w:basedOn w:val="23"/>
    <w:autoRedefine/>
    <w:qFormat/>
    <w:uiPriority w:val="0"/>
    <w:rPr>
      <w:color w:val="999999"/>
      <w:sz w:val="18"/>
      <w:szCs w:val="18"/>
    </w:rPr>
  </w:style>
  <w:style w:type="character" w:customStyle="1" w:styleId="46">
    <w:name w:val="hover"/>
    <w:basedOn w:val="23"/>
    <w:qFormat/>
    <w:uiPriority w:val="0"/>
    <w:rPr>
      <w:color w:val="3D95DF"/>
      <w:bdr w:val="single" w:color="E8E8E8" w:sz="6" w:space="0"/>
    </w:rPr>
  </w:style>
  <w:style w:type="character" w:customStyle="1" w:styleId="47">
    <w:name w:val="hover1"/>
    <w:basedOn w:val="23"/>
    <w:autoRedefine/>
    <w:qFormat/>
    <w:uiPriority w:val="0"/>
    <w:rPr>
      <w:color w:val="228BDE"/>
    </w:rPr>
  </w:style>
  <w:style w:type="character" w:customStyle="1" w:styleId="48">
    <w:name w:val="hover2"/>
    <w:basedOn w:val="23"/>
    <w:qFormat/>
    <w:uiPriority w:val="0"/>
  </w:style>
  <w:style w:type="character" w:customStyle="1" w:styleId="49">
    <w:name w:val="seton"/>
    <w:basedOn w:val="23"/>
    <w:qFormat/>
    <w:uiPriority w:val="0"/>
    <w:rPr>
      <w:shd w:val="clear" w:color="auto" w:fill="FF0000"/>
    </w:rPr>
  </w:style>
  <w:style w:type="character" w:customStyle="1" w:styleId="50">
    <w:name w:val="f_r2"/>
    <w:basedOn w:val="23"/>
    <w:qFormat/>
    <w:uiPriority w:val="0"/>
  </w:style>
  <w:style w:type="character" w:customStyle="1" w:styleId="51">
    <w:name w:val="hover14"/>
    <w:basedOn w:val="23"/>
    <w:qFormat/>
    <w:uiPriority w:val="0"/>
    <w:rPr>
      <w:color w:val="004EA2"/>
    </w:rPr>
  </w:style>
  <w:style w:type="character" w:customStyle="1" w:styleId="52">
    <w:name w:val="hover15"/>
    <w:basedOn w:val="23"/>
    <w:autoRedefine/>
    <w:qFormat/>
    <w:uiPriority w:val="0"/>
    <w:rPr>
      <w:color w:val="004EA2"/>
    </w:rPr>
  </w:style>
  <w:style w:type="character" w:customStyle="1" w:styleId="53">
    <w:name w:val="tips_hide"/>
    <w:basedOn w:val="23"/>
    <w:autoRedefine/>
    <w:qFormat/>
    <w:uiPriority w:val="0"/>
    <w:rPr>
      <w:vanish/>
    </w:rPr>
  </w:style>
  <w:style w:type="character" w:customStyle="1" w:styleId="54">
    <w:name w:val="tips_hide1"/>
    <w:basedOn w:val="23"/>
    <w:autoRedefine/>
    <w:qFormat/>
    <w:uiPriority w:val="0"/>
    <w:rPr>
      <w:vanish/>
    </w:rPr>
  </w:style>
  <w:style w:type="character" w:customStyle="1" w:styleId="55">
    <w:name w:val="time_for"/>
    <w:basedOn w:val="23"/>
    <w:autoRedefine/>
    <w:qFormat/>
    <w:uiPriority w:val="0"/>
  </w:style>
  <w:style w:type="character" w:customStyle="1" w:styleId="56">
    <w:name w:val="checked2"/>
    <w:basedOn w:val="23"/>
    <w:autoRedefine/>
    <w:qFormat/>
    <w:uiPriority w:val="0"/>
  </w:style>
  <w:style w:type="character" w:customStyle="1" w:styleId="57">
    <w:name w:val="zs_qzhy"/>
    <w:basedOn w:val="23"/>
    <w:autoRedefine/>
    <w:qFormat/>
    <w:uiPriority w:val="0"/>
  </w:style>
  <w:style w:type="paragraph" w:customStyle="1" w:styleId="58">
    <w:name w:val="列出段落2"/>
    <w:basedOn w:val="1"/>
    <w:autoRedefine/>
    <w:unhideWhenUsed/>
    <w:qFormat/>
    <w:uiPriority w:val="99"/>
    <w:pPr>
      <w:spacing w:line="360" w:lineRule="auto"/>
      <w:ind w:firstLine="420" w:firstLineChars="200"/>
    </w:pPr>
  </w:style>
  <w:style w:type="paragraph" w:customStyle="1" w:styleId="59">
    <w:name w:val="_Style 55"/>
    <w:basedOn w:val="1"/>
    <w:next w:val="1"/>
    <w:autoRedefine/>
    <w:qFormat/>
    <w:uiPriority w:val="0"/>
    <w:pPr>
      <w:pBdr>
        <w:bottom w:val="single" w:color="auto" w:sz="6" w:space="1"/>
      </w:pBdr>
      <w:jc w:val="center"/>
    </w:pPr>
    <w:rPr>
      <w:rFonts w:ascii="Arial"/>
      <w:vanish/>
      <w:sz w:val="16"/>
    </w:rPr>
  </w:style>
  <w:style w:type="paragraph" w:customStyle="1" w:styleId="60">
    <w:name w:val="_Style 56"/>
    <w:basedOn w:val="1"/>
    <w:next w:val="1"/>
    <w:qFormat/>
    <w:uiPriority w:val="0"/>
    <w:pPr>
      <w:pBdr>
        <w:top w:val="single" w:color="auto" w:sz="6" w:space="1"/>
      </w:pBdr>
      <w:jc w:val="center"/>
    </w:pPr>
    <w:rPr>
      <w:rFonts w:ascii="Arial"/>
      <w:vanish/>
      <w:sz w:val="16"/>
    </w:rPr>
  </w:style>
  <w:style w:type="character" w:customStyle="1" w:styleId="61">
    <w:name w:val="正文文本首行缩进 字符"/>
    <w:basedOn w:val="33"/>
    <w:link w:val="20"/>
    <w:autoRedefine/>
    <w:qFormat/>
    <w:uiPriority w:val="0"/>
    <w:rPr>
      <w:kern w:val="2"/>
      <w:sz w:val="21"/>
      <w:szCs w:val="24"/>
    </w:rPr>
  </w:style>
  <w:style w:type="paragraph" w:customStyle="1" w:styleId="62">
    <w:name w:val="正文文本 21"/>
    <w:basedOn w:val="1"/>
    <w:autoRedefine/>
    <w:qFormat/>
    <w:uiPriority w:val="0"/>
    <w:pPr>
      <w:spacing w:line="300" w:lineRule="auto"/>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50</Pages>
  <Words>27016</Words>
  <Characters>28714</Characters>
  <Lines>211</Lines>
  <Paragraphs>59</Paragraphs>
  <TotalTime>134</TotalTime>
  <ScaleCrop>false</ScaleCrop>
  <LinksUpToDate>false</LinksUpToDate>
  <CharactersWithSpaces>29464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2021-09-03T07:20:00Z</dcterms:created>
  <dc:creator>User</dc:creator>
  <cp:lastModifiedBy>徐俊云</cp:lastModifiedBy>
  <cp:lastPrinted>2019-12-30T11:58:00Z</cp:lastPrinted>
  <dcterms:modified xsi:type="dcterms:W3CDTF">2025-09-22T12:14:40Z</dcterms:modified>
  <dc:title>招  标  文  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F2C007B742184D0C8328FE4DC1BB49A6_13</vt:lpwstr>
  </property>
  <property fmtid="{D5CDD505-2E9C-101B-9397-08002B2CF9AE}" pid="4" name="commondata">
    <vt:lpwstr>eyJoZGlkIjoiYTM5M2Q3NmNlNTQ0NjJiYTc5MGQ2MTQ1YTc0YjY5M2UifQ==</vt:lpwstr>
  </property>
  <property fmtid="{D5CDD505-2E9C-101B-9397-08002B2CF9AE}" pid="5" name="KSOTemplateDocerSaveRecord">
    <vt:lpwstr>eyJoZGlkIjoiYTM5M2Q3NmNlNTQ0NjJiYTc5MGQ2MTQ1YTc0YjY5M2UiLCJ1c2VySWQiOiI1NjgzNTA0MzQifQ==</vt:lpwstr>
  </property>
</Properties>
</file>