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20266" w:type="dxa"/>
        <w:tblInd w:w="-806" w:type="dxa"/>
        <w:tblLayout w:type="autofit"/>
        <w:tblCellMar>
          <w:top w:w="0" w:type="dxa"/>
          <w:left w:w="108" w:type="dxa"/>
          <w:bottom w:w="0" w:type="dxa"/>
          <w:right w:w="108" w:type="dxa"/>
        </w:tblCellMar>
      </w:tblPr>
      <w:tblGrid>
        <w:gridCol w:w="1250"/>
        <w:gridCol w:w="5299"/>
        <w:gridCol w:w="3584"/>
        <w:gridCol w:w="10133"/>
      </w:tblGrid>
      <w:tr w14:paraId="353D3610">
        <w:tblPrEx>
          <w:tblCellMar>
            <w:top w:w="0" w:type="dxa"/>
            <w:left w:w="108" w:type="dxa"/>
            <w:bottom w:w="0" w:type="dxa"/>
            <w:right w:w="108" w:type="dxa"/>
          </w:tblCellMar>
        </w:tblPrEx>
        <w:trPr>
          <w:trHeight w:val="577" w:hRule="atLeast"/>
        </w:trPr>
        <w:tc>
          <w:tcPr>
            <w:tcW w:w="10133" w:type="dxa"/>
            <w:gridSpan w:val="3"/>
            <w:tcBorders>
              <w:top w:val="single" w:color="auto" w:sz="4" w:space="0"/>
              <w:left w:val="single" w:color="auto" w:sz="4" w:space="0"/>
              <w:bottom w:val="nil"/>
              <w:right w:val="single" w:color="auto" w:sz="4" w:space="0"/>
            </w:tcBorders>
            <w:shd w:val="clear" w:color="auto" w:fill="auto"/>
            <w:noWrap/>
            <w:vAlign w:val="center"/>
          </w:tcPr>
          <w:p w14:paraId="36E89470">
            <w:pPr>
              <w:jc w:val="center"/>
              <w:rPr>
                <w:rFonts w:hint="eastAsia" w:ascii="宋体" w:hAnsi="宋体"/>
                <w:b/>
                <w:sz w:val="30"/>
                <w:szCs w:val="30"/>
              </w:rPr>
            </w:pPr>
            <w:r>
              <w:rPr>
                <w:rFonts w:hint="eastAsia" w:ascii="宋体" w:hAnsi="宋体" w:cs="宋体"/>
                <w:b/>
                <w:bCs/>
                <w:kern w:val="0"/>
                <w:sz w:val="28"/>
                <w:szCs w:val="28"/>
              </w:rPr>
              <w:t>江西赣能股份有限公司丰城发电厂公开询价比选采购文件</w:t>
            </w:r>
          </w:p>
        </w:tc>
        <w:tc>
          <w:tcPr>
            <w:tcW w:w="10133" w:type="dxa"/>
            <w:tcBorders>
              <w:top w:val="single" w:color="auto" w:sz="4" w:space="0"/>
              <w:left w:val="single" w:color="auto" w:sz="4" w:space="0"/>
              <w:bottom w:val="nil"/>
              <w:right w:val="single" w:color="auto" w:sz="4" w:space="0"/>
            </w:tcBorders>
            <w:shd w:val="clear" w:color="auto" w:fill="auto"/>
            <w:noWrap/>
            <w:vAlign w:val="center"/>
          </w:tcPr>
          <w:p w14:paraId="2C1016FA">
            <w:pPr>
              <w:jc w:val="center"/>
              <w:rPr>
                <w:rFonts w:hint="eastAsia" w:ascii="宋体" w:hAnsi="宋体" w:cs="宋体"/>
                <w:b/>
                <w:bCs/>
                <w:kern w:val="0"/>
                <w:sz w:val="28"/>
                <w:szCs w:val="28"/>
              </w:rPr>
            </w:pPr>
          </w:p>
        </w:tc>
      </w:tr>
      <w:tr w14:paraId="32FDE252">
        <w:tblPrEx>
          <w:tblCellMar>
            <w:top w:w="0" w:type="dxa"/>
            <w:left w:w="108" w:type="dxa"/>
            <w:bottom w:w="0" w:type="dxa"/>
            <w:right w:w="108" w:type="dxa"/>
          </w:tblCellMar>
        </w:tblPrEx>
        <w:trPr>
          <w:trHeight w:val="433" w:hRule="atLeast"/>
        </w:trPr>
        <w:tc>
          <w:tcPr>
            <w:tcW w:w="1250" w:type="dxa"/>
            <w:tcBorders>
              <w:top w:val="single" w:color="auto" w:sz="4" w:space="0"/>
              <w:left w:val="single" w:color="auto" w:sz="4" w:space="0"/>
              <w:bottom w:val="nil"/>
              <w:right w:val="nil"/>
            </w:tcBorders>
            <w:shd w:val="clear" w:color="auto" w:fill="auto"/>
            <w:vAlign w:val="center"/>
          </w:tcPr>
          <w:p w14:paraId="14FCE6D1">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5299" w:type="dxa"/>
            <w:tcBorders>
              <w:top w:val="single" w:color="auto" w:sz="4" w:space="0"/>
              <w:left w:val="single" w:color="auto" w:sz="4" w:space="0"/>
              <w:bottom w:val="single" w:color="auto" w:sz="4" w:space="0"/>
              <w:right w:val="single" w:color="auto" w:sz="4" w:space="0"/>
            </w:tcBorders>
            <w:shd w:val="clear" w:color="auto" w:fill="auto"/>
            <w:vAlign w:val="center"/>
          </w:tcPr>
          <w:p w14:paraId="452FAB27">
            <w:pPr>
              <w:widowControl/>
              <w:jc w:val="center"/>
              <w:rPr>
                <w:rFonts w:hint="eastAsia" w:ascii="宋体" w:hAnsi="宋体" w:cs="宋体"/>
                <w:kern w:val="0"/>
                <w:sz w:val="24"/>
                <w:szCs w:val="24"/>
              </w:rPr>
            </w:pPr>
            <w:r>
              <w:rPr>
                <w:rFonts w:hint="eastAsia" w:ascii="宋体" w:hAnsi="宋体" w:cs="宋体"/>
                <w:kern w:val="0"/>
                <w:sz w:val="24"/>
                <w:szCs w:val="24"/>
              </w:rPr>
              <w:t>项目名称</w:t>
            </w:r>
          </w:p>
        </w:tc>
        <w:tc>
          <w:tcPr>
            <w:tcW w:w="3584" w:type="dxa"/>
            <w:tcBorders>
              <w:top w:val="single" w:color="auto" w:sz="4" w:space="0"/>
              <w:left w:val="nil"/>
              <w:bottom w:val="single" w:color="auto" w:sz="4" w:space="0"/>
              <w:right w:val="single" w:color="auto" w:sz="4" w:space="0"/>
            </w:tcBorders>
            <w:shd w:val="clear" w:color="auto" w:fill="auto"/>
            <w:vAlign w:val="center"/>
          </w:tcPr>
          <w:p w14:paraId="50C5DF18">
            <w:pPr>
              <w:widowControl/>
              <w:jc w:val="center"/>
              <w:rPr>
                <w:rFonts w:hint="eastAsia" w:ascii="宋体" w:hAnsi="宋体" w:cs="宋体"/>
                <w:kern w:val="0"/>
                <w:sz w:val="24"/>
                <w:szCs w:val="24"/>
              </w:rPr>
            </w:pPr>
            <w:r>
              <w:rPr>
                <w:rFonts w:hint="eastAsia" w:ascii="宋体" w:hAnsi="宋体" w:cs="宋体"/>
                <w:kern w:val="0"/>
                <w:sz w:val="24"/>
                <w:szCs w:val="24"/>
              </w:rPr>
              <w:t>主要采购内容</w:t>
            </w:r>
          </w:p>
        </w:tc>
        <w:tc>
          <w:tcPr>
            <w:tcW w:w="10133" w:type="dxa"/>
            <w:tcBorders>
              <w:top w:val="single" w:color="auto" w:sz="4" w:space="0"/>
              <w:left w:val="nil"/>
              <w:bottom w:val="single" w:color="auto" w:sz="4" w:space="0"/>
              <w:right w:val="single" w:color="auto" w:sz="4" w:space="0"/>
            </w:tcBorders>
            <w:shd w:val="clear" w:color="auto" w:fill="auto"/>
            <w:vAlign w:val="center"/>
          </w:tcPr>
          <w:p w14:paraId="4358F45E">
            <w:pPr>
              <w:widowControl/>
              <w:jc w:val="center"/>
              <w:rPr>
                <w:rFonts w:hint="eastAsia" w:ascii="宋体" w:hAnsi="宋体" w:cs="宋体"/>
                <w:kern w:val="0"/>
                <w:sz w:val="24"/>
                <w:szCs w:val="24"/>
              </w:rPr>
            </w:pPr>
          </w:p>
        </w:tc>
      </w:tr>
      <w:tr w14:paraId="56D88B70">
        <w:tblPrEx>
          <w:tblCellMar>
            <w:top w:w="0" w:type="dxa"/>
            <w:left w:w="108" w:type="dxa"/>
            <w:bottom w:w="0" w:type="dxa"/>
            <w:right w:w="108" w:type="dxa"/>
          </w:tblCellMar>
        </w:tblPrEx>
        <w:trPr>
          <w:trHeight w:val="482"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42A7E4E4">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5299" w:type="dxa"/>
            <w:tcBorders>
              <w:top w:val="nil"/>
              <w:left w:val="nil"/>
              <w:bottom w:val="single" w:color="auto" w:sz="4" w:space="0"/>
              <w:right w:val="single" w:color="auto" w:sz="4" w:space="0"/>
            </w:tcBorders>
            <w:shd w:val="clear" w:color="auto" w:fill="auto"/>
            <w:vAlign w:val="center"/>
          </w:tcPr>
          <w:p w14:paraId="3E04C6C2">
            <w:pPr>
              <w:widowControl/>
              <w:rPr>
                <w:rFonts w:hint="eastAsia" w:ascii="宋体" w:hAnsi="宋体" w:cs="宋体"/>
                <w:color w:val="FF0000"/>
                <w:kern w:val="0"/>
                <w:sz w:val="24"/>
                <w:szCs w:val="24"/>
              </w:rPr>
            </w:pPr>
            <w:bookmarkStart w:id="0" w:name="_GoBack"/>
            <w:r>
              <w:rPr>
                <w:rFonts w:hint="eastAsia" w:ascii="宋体" w:hAnsi="宋体" w:cs="宋体"/>
                <w:color w:val="FF0000"/>
                <w:kern w:val="0"/>
                <w:sz w:val="24"/>
                <w:szCs w:val="24"/>
                <w:lang w:val="en-US" w:eastAsia="zh-CN"/>
              </w:rPr>
              <w:t>8号机超高压主汽阀内阀盖和阀体Z密封面修复</w:t>
            </w:r>
            <w:bookmarkEnd w:id="0"/>
          </w:p>
        </w:tc>
        <w:tc>
          <w:tcPr>
            <w:tcW w:w="3584" w:type="dxa"/>
            <w:tcBorders>
              <w:top w:val="single" w:color="auto" w:sz="4" w:space="0"/>
              <w:left w:val="nil"/>
              <w:bottom w:val="single" w:color="auto" w:sz="4" w:space="0"/>
              <w:right w:val="single" w:color="auto" w:sz="4" w:space="0"/>
            </w:tcBorders>
            <w:shd w:val="clear" w:color="auto" w:fill="auto"/>
            <w:vAlign w:val="center"/>
          </w:tcPr>
          <w:p w14:paraId="5849E8B3">
            <w:pPr>
              <w:widowControl/>
              <w:jc w:val="left"/>
              <w:rPr>
                <w:rFonts w:hint="eastAsia" w:ascii="宋体" w:hAnsi="宋体" w:cs="宋体"/>
                <w:color w:val="FF0000"/>
                <w:kern w:val="0"/>
                <w:sz w:val="24"/>
                <w:szCs w:val="24"/>
              </w:rPr>
            </w:pPr>
            <w:r>
              <w:rPr>
                <w:rFonts w:hint="eastAsia" w:ascii="宋体" w:hAnsi="宋体" w:cs="宋体"/>
                <w:kern w:val="0"/>
                <w:sz w:val="24"/>
                <w:szCs w:val="24"/>
              </w:rPr>
              <w:t>详见挂网招标附件</w:t>
            </w:r>
          </w:p>
        </w:tc>
        <w:tc>
          <w:tcPr>
            <w:tcW w:w="10133" w:type="dxa"/>
            <w:tcBorders>
              <w:top w:val="single" w:color="auto" w:sz="4" w:space="0"/>
              <w:left w:val="nil"/>
              <w:bottom w:val="single" w:color="auto" w:sz="4" w:space="0"/>
              <w:right w:val="single" w:color="auto" w:sz="4" w:space="0"/>
            </w:tcBorders>
            <w:shd w:val="clear" w:color="auto" w:fill="auto"/>
            <w:vAlign w:val="center"/>
          </w:tcPr>
          <w:p w14:paraId="58CC9AF9">
            <w:pPr>
              <w:widowControl/>
              <w:jc w:val="left"/>
              <w:rPr>
                <w:rFonts w:hint="eastAsia" w:ascii="宋体" w:hAnsi="宋体" w:cs="宋体"/>
                <w:kern w:val="0"/>
                <w:sz w:val="24"/>
                <w:szCs w:val="24"/>
              </w:rPr>
            </w:pPr>
          </w:p>
        </w:tc>
      </w:tr>
      <w:tr w14:paraId="7E0CA00E">
        <w:tblPrEx>
          <w:tblCellMar>
            <w:top w:w="0" w:type="dxa"/>
            <w:left w:w="108" w:type="dxa"/>
            <w:bottom w:w="0" w:type="dxa"/>
            <w:right w:w="108" w:type="dxa"/>
          </w:tblCellMar>
        </w:tblPrEx>
        <w:trPr>
          <w:trHeight w:val="8884" w:hRule="atLeast"/>
        </w:trPr>
        <w:tc>
          <w:tcPr>
            <w:tcW w:w="10133" w:type="dxa"/>
            <w:gridSpan w:val="3"/>
            <w:tcBorders>
              <w:top w:val="single" w:color="auto" w:sz="4" w:space="0"/>
              <w:left w:val="single" w:color="auto" w:sz="4" w:space="0"/>
              <w:bottom w:val="single" w:color="auto" w:sz="4" w:space="0"/>
              <w:right w:val="single" w:color="auto" w:sz="4" w:space="0"/>
            </w:tcBorders>
            <w:shd w:val="clear" w:color="auto" w:fill="auto"/>
          </w:tcPr>
          <w:p w14:paraId="5A3D2E7A">
            <w:pPr>
              <w:widowControl/>
              <w:jc w:val="left"/>
              <w:rPr>
                <w:rFonts w:hint="eastAsia" w:ascii="宋体" w:hAnsi="宋体" w:cs="宋体"/>
                <w:kern w:val="0"/>
                <w:sz w:val="24"/>
                <w:szCs w:val="24"/>
              </w:rPr>
            </w:pPr>
            <w:r>
              <w:rPr>
                <w:rFonts w:hint="eastAsia" w:ascii="宋体" w:hAnsi="宋体" w:cs="宋体"/>
                <w:kern w:val="0"/>
                <w:sz w:val="24"/>
                <w:szCs w:val="24"/>
              </w:rPr>
              <w:t>投标须知（</w:t>
            </w:r>
            <w:r>
              <w:rPr>
                <w:rFonts w:hint="eastAsia" w:ascii="宋体" w:hAnsi="宋体" w:cs="宋体"/>
                <w:b/>
                <w:kern w:val="0"/>
                <w:sz w:val="24"/>
                <w:szCs w:val="24"/>
              </w:rPr>
              <w:t>请认真阅读，以免投标不规范导致投标无效</w:t>
            </w:r>
            <w:r>
              <w:rPr>
                <w:rFonts w:hint="eastAsia" w:ascii="宋体" w:hAnsi="宋体" w:cs="宋体"/>
                <w:kern w:val="0"/>
                <w:sz w:val="24"/>
                <w:szCs w:val="24"/>
              </w:rPr>
              <w:t>）：</w:t>
            </w:r>
            <w:r>
              <w:rPr>
                <w:rFonts w:hint="eastAsia" w:ascii="宋体" w:hAnsi="宋体" w:cs="宋体"/>
                <w:kern w:val="0"/>
                <w:sz w:val="24"/>
                <w:szCs w:val="24"/>
              </w:rPr>
              <w:br w:type="textWrapping"/>
            </w:r>
            <w:r>
              <w:rPr>
                <w:rFonts w:hint="eastAsia" w:ascii="宋体" w:hAnsi="宋体" w:cs="宋体"/>
                <w:kern w:val="0"/>
                <w:sz w:val="24"/>
                <w:szCs w:val="24"/>
              </w:rPr>
              <w:t>1、采购方式为询价比选采购，参与投标的供应商请根据此次挂网所附的招标规范/技术说明、评分标准等招标文件做出响应。</w:t>
            </w:r>
            <w:r>
              <w:rPr>
                <w:rFonts w:hint="eastAsia" w:ascii="宋体" w:hAnsi="宋体" w:cs="宋体"/>
                <w:b/>
                <w:bCs/>
                <w:kern w:val="0"/>
                <w:sz w:val="24"/>
                <w:szCs w:val="24"/>
              </w:rPr>
              <w:t>按照技术说明3.2.2和11条要求提供资格条件证明文件和业绩证明。</w:t>
            </w:r>
          </w:p>
          <w:p w14:paraId="782CEE1C">
            <w:pPr>
              <w:widowControl/>
              <w:jc w:val="left"/>
              <w:rPr>
                <w:rFonts w:hint="eastAsia" w:ascii="宋体" w:hAnsi="宋体" w:cs="宋体"/>
                <w:kern w:val="0"/>
                <w:sz w:val="24"/>
                <w:szCs w:val="24"/>
              </w:rPr>
            </w:pPr>
            <w:r>
              <w:rPr>
                <w:rFonts w:hint="eastAsia" w:ascii="宋体" w:hAnsi="宋体" w:cs="宋体"/>
                <w:kern w:val="0"/>
                <w:sz w:val="24"/>
                <w:szCs w:val="24"/>
              </w:rPr>
              <w:t>2、报价要求：</w:t>
            </w:r>
            <w:r>
              <w:rPr>
                <w:rFonts w:hint="eastAsia" w:ascii="宋体" w:hAnsi="宋体" w:cs="宋体"/>
                <w:b/>
                <w:bCs/>
                <w:kern w:val="0"/>
                <w:sz w:val="24"/>
                <w:szCs w:val="24"/>
              </w:rPr>
              <w:t>控制价：</w:t>
            </w:r>
            <w:r>
              <w:rPr>
                <w:rFonts w:hint="eastAsia" w:ascii="宋体" w:hAnsi="宋体" w:cs="宋体"/>
                <w:b/>
                <w:bCs/>
                <w:color w:val="FF0000"/>
                <w:kern w:val="0"/>
                <w:sz w:val="24"/>
                <w:szCs w:val="24"/>
                <w:lang w:val="en-US" w:eastAsia="zh-CN"/>
              </w:rPr>
              <w:t>40</w:t>
            </w:r>
            <w:r>
              <w:rPr>
                <w:rFonts w:hint="eastAsia" w:ascii="宋体" w:hAnsi="宋体" w:cs="宋体"/>
                <w:b/>
                <w:bCs/>
                <w:kern w:val="0"/>
                <w:sz w:val="24"/>
                <w:szCs w:val="24"/>
              </w:rPr>
              <w:t>万元。</w:t>
            </w:r>
            <w:r>
              <w:rPr>
                <w:rFonts w:ascii="宋体" w:hAnsi="宋体" w:cs="宋体"/>
                <w:kern w:val="0"/>
                <w:sz w:val="24"/>
                <w:szCs w:val="24"/>
              </w:rPr>
              <w:t>对项目分项报价，</w:t>
            </w:r>
            <w:r>
              <w:rPr>
                <w:rFonts w:ascii="宋体" w:hAnsi="宋体" w:cs="宋体"/>
                <w:b/>
                <w:bCs/>
                <w:kern w:val="0"/>
                <w:sz w:val="24"/>
                <w:szCs w:val="24"/>
              </w:rPr>
              <w:t>注明是否含税以及税率</w:t>
            </w:r>
            <w:r>
              <w:rPr>
                <w:rFonts w:ascii="宋体" w:hAnsi="宋体" w:cs="宋体"/>
                <w:kern w:val="0"/>
                <w:sz w:val="24"/>
                <w:szCs w:val="24"/>
              </w:rPr>
              <w:t>（需开具</w:t>
            </w:r>
            <w:r>
              <w:rPr>
                <w:rFonts w:hint="eastAsia" w:ascii="宋体" w:hAnsi="宋体" w:cs="宋体"/>
                <w:kern w:val="0"/>
                <w:sz w:val="24"/>
                <w:szCs w:val="24"/>
              </w:rPr>
              <w:t>国家相关法规规定的</w:t>
            </w:r>
            <w:r>
              <w:rPr>
                <w:rFonts w:ascii="宋体" w:hAnsi="宋体" w:cs="宋体"/>
                <w:kern w:val="0"/>
                <w:sz w:val="24"/>
                <w:szCs w:val="24"/>
              </w:rPr>
              <w:t>增值税专票）。</w:t>
            </w:r>
            <w:r>
              <w:rPr>
                <w:rFonts w:hint="eastAsia" w:ascii="宋体" w:hAnsi="宋体" w:cs="宋体"/>
                <w:b/>
                <w:bCs/>
                <w:kern w:val="0"/>
                <w:sz w:val="24"/>
                <w:szCs w:val="24"/>
              </w:rPr>
              <w:t>报价相关资料需盖骑缝章或者每一页需加盖公章/</w:t>
            </w:r>
            <w:r>
              <w:rPr>
                <w:rFonts w:ascii="宋体" w:hAnsi="宋体" w:cs="宋体"/>
                <w:b/>
                <w:bCs/>
                <w:kern w:val="0"/>
                <w:sz w:val="24"/>
                <w:szCs w:val="24"/>
              </w:rPr>
              <w:t>报价章</w:t>
            </w:r>
            <w:r>
              <w:rPr>
                <w:rFonts w:hint="eastAsia" w:ascii="宋体" w:hAnsi="宋体" w:cs="宋体"/>
                <w:kern w:val="0"/>
                <w:sz w:val="24"/>
                <w:szCs w:val="24"/>
              </w:rPr>
              <w:t>。报价不规范的，视为投标无效，不允许澄清。</w:t>
            </w:r>
          </w:p>
          <w:p w14:paraId="32F223C1">
            <w:pPr>
              <w:widowControl/>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、打分标准：</w:t>
            </w:r>
          </w:p>
          <w:p w14:paraId="28368435">
            <w:pPr>
              <w:widowControl/>
              <w:jc w:val="left"/>
              <w:rPr>
                <w:rFonts w:hint="eastAsia" w:ascii="宋体" w:hAnsi="宋体" w:cs="宋体"/>
                <w:kern w:val="0"/>
                <w:sz w:val="24"/>
                <w:szCs w:val="24"/>
              </w:rPr>
            </w:pPr>
            <w:r>
              <w:rPr>
                <w:rFonts w:hint="eastAsia" w:ascii="宋体" w:hAnsi="宋体" w:cs="宋体"/>
                <w:kern w:val="0"/>
                <w:sz w:val="24"/>
                <w:szCs w:val="24"/>
              </w:rPr>
              <w:t>（一）报价：分值100分。（权重50%）</w:t>
            </w:r>
          </w:p>
          <w:p w14:paraId="4E7AA58B">
            <w:pPr>
              <w:widowControl/>
              <w:ind w:firstLine="480" w:firstLineChars="200"/>
              <w:jc w:val="left"/>
              <w:rPr>
                <w:rFonts w:hint="eastAsia" w:ascii="宋体" w:hAnsi="宋体" w:cs="宋体"/>
                <w:kern w:val="0"/>
                <w:sz w:val="24"/>
                <w:szCs w:val="24"/>
              </w:rPr>
            </w:pPr>
            <w:r>
              <w:rPr>
                <w:rFonts w:hint="eastAsia" w:ascii="宋体" w:hAnsi="宋体" w:cs="宋体"/>
                <w:kern w:val="0"/>
                <w:sz w:val="24"/>
                <w:szCs w:val="24"/>
              </w:rPr>
              <w:t>各询价比选响应单位的报价需经询价比选单位评选为合理报价，否则该项不得计分。计分方法如下：</w:t>
            </w:r>
          </w:p>
          <w:p w14:paraId="522D997D">
            <w:pPr>
              <w:widowControl/>
              <w:jc w:val="left"/>
              <w:rPr>
                <w:rFonts w:hint="eastAsia" w:ascii="宋体" w:hAnsi="宋体" w:cs="宋体"/>
                <w:kern w:val="0"/>
                <w:sz w:val="24"/>
                <w:szCs w:val="24"/>
              </w:rPr>
            </w:pPr>
            <w:r>
              <w:rPr>
                <w:rFonts w:hint="eastAsia" w:ascii="宋体" w:hAnsi="宋体" w:cs="宋体"/>
                <w:kern w:val="0"/>
                <w:sz w:val="24"/>
                <w:szCs w:val="24"/>
              </w:rPr>
              <w:t>如有效投标人为4家以下时，按有效评标价的算术平均值的95%为评标基准价；如有效投标人为4家，则去掉一个最高报价，其余有效评标价的算术平均值的95%为评标基准价；如有效投标人4家以上时，则去掉一个最高报价及一个最低报价，其余有效评标价的算术平均值的95%为评标基准价。各投标人以评审的最终投标价与基准价相比每高1%扣1分，每低1%扣0.5分。等于基准价的得100分。不足1%部份按内插法计算，小数点保留两位。投标报价部分最低得分为0分，最高得分为100分。若各投标人所报税率相同，则按含税总价进行评审，若各投标人所报税率不同，则按不含税单价进行评审。</w:t>
            </w:r>
          </w:p>
          <w:p w14:paraId="3A664201">
            <w:pPr>
              <w:widowControl/>
              <w:jc w:val="left"/>
              <w:rPr>
                <w:rFonts w:hint="eastAsia" w:ascii="宋体" w:hAnsi="宋体" w:cs="宋体"/>
                <w:kern w:val="0"/>
                <w:sz w:val="24"/>
                <w:szCs w:val="24"/>
              </w:rPr>
            </w:pPr>
            <w:r>
              <w:rPr>
                <w:rFonts w:hint="eastAsia" w:ascii="宋体" w:hAnsi="宋体" w:cs="宋体"/>
                <w:kern w:val="0"/>
                <w:sz w:val="24"/>
                <w:szCs w:val="24"/>
              </w:rPr>
              <w:t>（二）技术：分值100分。（权重50%）</w:t>
            </w:r>
          </w:p>
          <w:p w14:paraId="7FFEE1EC">
            <w:pPr>
              <w:widowControl/>
              <w:ind w:firstLine="480" w:firstLineChars="200"/>
              <w:jc w:val="left"/>
              <w:rPr>
                <w:rFonts w:hint="eastAsia" w:ascii="宋体" w:hAnsi="宋体" w:cs="宋体"/>
                <w:kern w:val="0"/>
                <w:sz w:val="24"/>
                <w:szCs w:val="24"/>
              </w:rPr>
            </w:pPr>
            <w:r>
              <w:rPr>
                <w:rFonts w:hint="eastAsia" w:ascii="宋体" w:hAnsi="宋体" w:cs="宋体"/>
                <w:kern w:val="0"/>
                <w:sz w:val="24"/>
                <w:szCs w:val="24"/>
              </w:rPr>
              <w:t>详见招标规范/技术说明中的“技术评分表”</w:t>
            </w:r>
          </w:p>
          <w:p w14:paraId="702E1876">
            <w:pPr>
              <w:widowControl/>
              <w:ind w:firstLine="480" w:firstLineChars="200"/>
              <w:jc w:val="left"/>
              <w:rPr>
                <w:rFonts w:hint="eastAsia" w:ascii="宋体" w:hAnsi="宋体" w:cs="宋体"/>
                <w:kern w:val="0"/>
                <w:sz w:val="24"/>
                <w:szCs w:val="24"/>
              </w:rPr>
            </w:pPr>
            <w:r>
              <w:rPr>
                <w:rFonts w:hint="eastAsia" w:ascii="宋体" w:hAnsi="宋体" w:cs="宋体"/>
                <w:kern w:val="0"/>
                <w:sz w:val="24"/>
                <w:szCs w:val="24"/>
              </w:rPr>
              <w:t>总分计分方法如下：</w:t>
            </w:r>
          </w:p>
          <w:p w14:paraId="6EB7A8AC">
            <w:pPr>
              <w:widowControl/>
              <w:ind w:firstLine="480" w:firstLineChars="200"/>
              <w:jc w:val="left"/>
              <w:rPr>
                <w:rFonts w:hint="eastAsia" w:ascii="宋体" w:hAnsi="宋体" w:cs="宋体"/>
                <w:kern w:val="0"/>
                <w:sz w:val="24"/>
                <w:szCs w:val="24"/>
              </w:rPr>
            </w:pPr>
            <w:r>
              <w:rPr>
                <w:rFonts w:hint="eastAsia" w:ascii="宋体" w:hAnsi="宋体" w:cs="宋体"/>
                <w:kern w:val="0"/>
                <w:sz w:val="24"/>
                <w:szCs w:val="24"/>
              </w:rPr>
              <w:t>报价、技术得分乘以权重百分比后相加为询价比选响应单位的总分。各单位最终得分为：每位评选成员评选得出的总分取平均值。完全响应并满足招标文件要求的参与投标的供应商中，</w:t>
            </w:r>
            <w:r>
              <w:rPr>
                <w:rFonts w:hint="eastAsia" w:ascii="宋体" w:hAnsi="宋体" w:cs="宋体"/>
                <w:b/>
                <w:bCs/>
                <w:kern w:val="0"/>
                <w:sz w:val="24"/>
                <w:szCs w:val="24"/>
              </w:rPr>
              <w:t>评审总分最高者</w:t>
            </w:r>
            <w:r>
              <w:rPr>
                <w:rFonts w:hint="eastAsia" w:ascii="宋体" w:hAnsi="宋体" w:cs="宋体"/>
                <w:kern w:val="0"/>
                <w:sz w:val="24"/>
                <w:szCs w:val="24"/>
              </w:rPr>
              <w:t>中标。</w:t>
            </w:r>
            <w:r>
              <w:rPr>
                <w:rFonts w:hint="eastAsia" w:ascii="宋体" w:hAnsi="宋体" w:cs="宋体"/>
                <w:kern w:val="0"/>
                <w:sz w:val="24"/>
                <w:szCs w:val="24"/>
              </w:rPr>
              <w:br w:type="textWrapping"/>
            </w:r>
            <w:r>
              <w:rPr>
                <w:rFonts w:ascii="宋体" w:hAnsi="宋体" w:cs="宋体"/>
                <w:kern w:val="0"/>
                <w:sz w:val="24"/>
                <w:szCs w:val="24"/>
              </w:rPr>
              <w:t>4</w:t>
            </w:r>
            <w:r>
              <w:rPr>
                <w:rFonts w:hint="eastAsia" w:ascii="宋体" w:hAnsi="宋体" w:cs="宋体"/>
                <w:kern w:val="0"/>
                <w:sz w:val="24"/>
                <w:szCs w:val="24"/>
              </w:rPr>
              <w:t>、工期：详见</w:t>
            </w:r>
            <w:r>
              <w:rPr>
                <w:rFonts w:hint="eastAsia" w:ascii="宋体" w:hAnsi="宋体" w:cs="宋体"/>
                <w:kern w:val="0"/>
                <w:sz w:val="24"/>
                <w:szCs w:val="24"/>
                <w:lang w:val="en-US" w:eastAsia="zh-CN"/>
              </w:rPr>
              <w:t>技术说明</w:t>
            </w:r>
            <w:r>
              <w:rPr>
                <w:rFonts w:hint="eastAsia" w:ascii="宋体" w:hAnsi="宋体" w:cs="宋体"/>
                <w:kern w:val="0"/>
                <w:sz w:val="24"/>
                <w:szCs w:val="24"/>
              </w:rPr>
              <w:t>。</w:t>
            </w:r>
          </w:p>
          <w:p w14:paraId="16CEBC1B">
            <w:pPr>
              <w:widowControl/>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、合同主要条款约定：</w:t>
            </w:r>
          </w:p>
          <w:p w14:paraId="141327C3">
            <w:pPr>
              <w:widowControl/>
              <w:jc w:val="left"/>
              <w:rPr>
                <w:rFonts w:hint="eastAsia" w:ascii="宋体" w:hAnsi="宋体" w:cs="宋体"/>
                <w:kern w:val="0"/>
                <w:sz w:val="24"/>
                <w:szCs w:val="24"/>
              </w:rPr>
            </w:pPr>
            <w:r>
              <w:rPr>
                <w:rFonts w:hint="eastAsia" w:ascii="宋体" w:hAnsi="宋体" w:cs="宋体"/>
                <w:kern w:val="0"/>
                <w:sz w:val="24"/>
                <w:szCs w:val="24"/>
              </w:rPr>
              <w:t>（1）以项目实际开工之日（有开工报告的以开工报告时间为准）起计算。项目必须按合同工期完成，若延误工期，甲方有权进行考核，其中：项目合同金额在50万元以上的，因乙方原因推迟工期，每延误一天考核乙方本项目结算金额的1%；项目合同金额在50万元以下的，因乙方原因推迟工期，每延误一天考核乙方本项目结算金额1000元。以此类推，最高不超过合同结算金额总价的10%。</w:t>
            </w:r>
          </w:p>
          <w:p w14:paraId="3DE9100C">
            <w:pPr>
              <w:widowControl/>
              <w:jc w:val="left"/>
              <w:rPr>
                <w:rFonts w:hint="eastAsia" w:ascii="宋体" w:hAnsi="宋体" w:cs="宋体"/>
                <w:kern w:val="0"/>
                <w:sz w:val="24"/>
                <w:szCs w:val="24"/>
              </w:rPr>
            </w:pPr>
            <w:r>
              <w:rPr>
                <w:rFonts w:hint="eastAsia" w:ascii="宋体" w:hAnsi="宋体" w:cs="宋体"/>
                <w:kern w:val="0"/>
                <w:sz w:val="24"/>
                <w:szCs w:val="24"/>
              </w:rPr>
              <w:t>（2）结算方式：项目验收合格后，乙方在三周内向甲方报送完整结算资料。若因乙方原因未及时办理，每延迟一周考核乙方工程结算金额1%，以此类推，最高不超过合同结算金额总价5%（2万元封顶）。</w:t>
            </w:r>
          </w:p>
          <w:p w14:paraId="31197CA5">
            <w:pPr>
              <w:widowControl/>
              <w:jc w:val="left"/>
              <w:rPr>
                <w:rFonts w:hint="eastAsia" w:ascii="宋体" w:hAnsi="宋体" w:cs="宋体"/>
                <w:color w:val="FF0000"/>
                <w:kern w:val="0"/>
                <w:sz w:val="24"/>
                <w:szCs w:val="24"/>
              </w:rPr>
            </w:pPr>
            <w:r>
              <w:rPr>
                <w:rFonts w:hint="eastAsia" w:ascii="宋体" w:hAnsi="宋体" w:cs="宋体"/>
                <w:kern w:val="0"/>
                <w:sz w:val="24"/>
                <w:szCs w:val="24"/>
              </w:rPr>
              <w:t>（3）付款方式：合格办理结算完毕后一个月后，付足结算总价的</w:t>
            </w:r>
            <w:r>
              <w:rPr>
                <w:rFonts w:hint="eastAsia" w:ascii="宋体" w:hAnsi="宋体" w:cs="宋体"/>
                <w:color w:val="FF0000"/>
                <w:kern w:val="0"/>
                <w:sz w:val="24"/>
                <w:szCs w:val="24"/>
              </w:rPr>
              <w:t>97%，其余3%作为质保金，质保期一年，待使用一年无质量问题后，乙方需及时办理质保金结算手续，每逾期一年办理扣除项目结算金额的1%；以此类推。质保期满后逾期三年仍未办理质保金结算手续，视为乙方放弃质保金，甲方不再支付质保金。</w:t>
            </w:r>
          </w:p>
          <w:p w14:paraId="39CF8914">
            <w:pPr>
              <w:widowControl/>
              <w:jc w:val="left"/>
              <w:rPr>
                <w:rFonts w:hint="eastAsia" w:ascii="宋体" w:hAnsi="宋体" w:cs="宋体"/>
                <w:b/>
                <w:kern w:val="0"/>
                <w:sz w:val="24"/>
                <w:szCs w:val="24"/>
              </w:rPr>
            </w:pPr>
            <w:r>
              <w:rPr>
                <w:rFonts w:hint="eastAsia" w:ascii="宋体" w:hAnsi="宋体" w:cs="宋体"/>
                <w:kern w:val="0"/>
                <w:sz w:val="24"/>
                <w:szCs w:val="24"/>
              </w:rPr>
              <w:t>（4）对于需要入厂施工的项目，中标供应商必须为所有人员购买“工伤险”、“团体意外伤害保险”、“雇主责任保险”中的一种或多种保险，要求每个人主险总保额不低于120万元，否则不得进场工作（不能以个人名义购买）。涉及到特种作业施工项目人员，必须按国家法律法规持证上岗。</w:t>
            </w:r>
            <w:r>
              <w:rPr>
                <w:rFonts w:hint="eastAsia" w:ascii="宋体" w:hAnsi="宋体" w:cs="宋体"/>
                <w:b/>
                <w:kern w:val="0"/>
                <w:sz w:val="24"/>
                <w:szCs w:val="24"/>
              </w:rPr>
              <w:t>中标单位在办理入场手续时需提供入场人员的劳动合同原件及保险单原件交我厂人力资源部审核。</w:t>
            </w:r>
          </w:p>
          <w:p w14:paraId="56978C46">
            <w:pPr>
              <w:pStyle w:val="7"/>
              <w:ind w:firstLine="482"/>
              <w:rPr>
                <w:rFonts w:hint="eastAsia" w:ascii="宋体" w:hAnsi="宋体" w:cs="宋体"/>
                <w:b/>
                <w:bCs/>
                <w:kern w:val="0"/>
                <w:sz w:val="24"/>
                <w:szCs w:val="24"/>
              </w:rPr>
            </w:pPr>
            <w:r>
              <w:rPr>
                <w:rFonts w:hint="eastAsia" w:ascii="宋体" w:hAnsi="宋体" w:cs="宋体"/>
                <w:b/>
                <w:bCs/>
                <w:kern w:val="0"/>
                <w:sz w:val="24"/>
                <w:szCs w:val="24"/>
              </w:rPr>
              <w:t>（在甲方向中标单位发送电子版水印合同后，中标单位须在10日内完成纸质版签字盖章并寄回，如无特殊原因，甲方有权认定为是弃标行为，扣除本项目投标保证金且不得参加本项目投标。）</w:t>
            </w:r>
          </w:p>
          <w:p w14:paraId="69CA9483">
            <w:pPr>
              <w:pStyle w:val="13"/>
              <w:widowControl/>
              <w:ind w:firstLine="0" w:firstLineChars="0"/>
              <w:jc w:val="left"/>
              <w:rPr>
                <w:rFonts w:hint="eastAsia" w:ascii="宋体" w:hAnsi="宋体" w:cs="宋体"/>
                <w:bCs/>
                <w:kern w:val="0"/>
                <w:sz w:val="24"/>
                <w:szCs w:val="24"/>
              </w:rPr>
            </w:pPr>
            <w:r>
              <w:rPr>
                <w:rFonts w:hint="eastAsia" w:ascii="宋体" w:hAnsi="宋体" w:cs="宋体"/>
                <w:bCs/>
                <w:kern w:val="0"/>
                <w:sz w:val="24"/>
                <w:szCs w:val="24"/>
              </w:rPr>
              <w:t>6、参与投标的供应商需认真悉知我厂考核细则，见挂网附件，投标则视为响应我厂考核细则，并受其约束和管理。</w:t>
            </w:r>
          </w:p>
          <w:p w14:paraId="1BB05409">
            <w:pPr>
              <w:pStyle w:val="13"/>
              <w:widowControl/>
              <w:ind w:firstLine="0" w:firstLineChars="0"/>
              <w:jc w:val="left"/>
              <w:rPr>
                <w:rFonts w:hint="eastAsia" w:ascii="宋体" w:hAnsi="宋体" w:cs="宋体"/>
                <w:bCs/>
                <w:kern w:val="0"/>
                <w:sz w:val="24"/>
                <w:szCs w:val="24"/>
              </w:rPr>
            </w:pPr>
            <w:r>
              <w:rPr>
                <w:rFonts w:hint="eastAsia" w:ascii="宋体" w:hAnsi="宋体" w:cs="宋体"/>
                <w:bCs/>
                <w:kern w:val="0"/>
                <w:sz w:val="24"/>
                <w:szCs w:val="24"/>
              </w:rPr>
              <w:t>7、土建类项目必须进行前期现场勘察，在挂网公告中会明确集中勘察时间。对于未进行前期现场勘察的参与投标的供应商，我厂有权拒绝其投标。</w:t>
            </w:r>
          </w:p>
          <w:p w14:paraId="5694AD11">
            <w:pPr>
              <w:widowControl/>
              <w:jc w:val="left"/>
              <w:rPr>
                <w:rFonts w:ascii="宋体" w:hAnsi="宋体" w:cs="宋体"/>
                <w:bCs/>
                <w:kern w:val="0"/>
                <w:sz w:val="24"/>
                <w:szCs w:val="24"/>
              </w:rPr>
            </w:pPr>
            <w:r>
              <w:rPr>
                <w:rFonts w:hint="eastAsia" w:ascii="宋体" w:hAnsi="宋体" w:cs="宋体"/>
                <w:bCs/>
                <w:kern w:val="0"/>
                <w:sz w:val="24"/>
                <w:szCs w:val="24"/>
              </w:rPr>
              <w:t>9、其他要求见挂网公告。</w:t>
            </w:r>
          </w:p>
          <w:p w14:paraId="2DC36603">
            <w:pPr>
              <w:widowControl/>
              <w:jc w:val="left"/>
              <w:rPr>
                <w:rFonts w:hint="eastAsia" w:ascii="宋体" w:hAnsi="宋体" w:cs="宋体"/>
                <w:bCs/>
                <w:kern w:val="0"/>
                <w:sz w:val="24"/>
                <w:szCs w:val="24"/>
              </w:rPr>
            </w:pPr>
          </w:p>
          <w:p w14:paraId="20C0502D">
            <w:pPr>
              <w:widowControl/>
              <w:jc w:val="left"/>
              <w:rPr>
                <w:rFonts w:hint="eastAsia" w:ascii="宋体" w:hAnsi="宋体" w:cs="宋体"/>
                <w:b/>
                <w:kern w:val="0"/>
                <w:sz w:val="24"/>
                <w:szCs w:val="24"/>
              </w:rPr>
            </w:pPr>
            <w:r>
              <w:rPr>
                <w:rFonts w:hint="eastAsia" w:ascii="宋体" w:hAnsi="宋体" w:cs="宋体"/>
                <w:b/>
                <w:kern w:val="0"/>
                <w:sz w:val="24"/>
                <w:szCs w:val="24"/>
              </w:rPr>
              <w:t>备注：请参与投标的供应商认真对待。提交的投标资料必须按照招标文件要求提供，对于胡乱提供明显与本次招标无关资料的，甚至提供错误、虚假资料的供应商，将被没收投标保证金，并做拉黑三个月处理。</w:t>
            </w:r>
          </w:p>
          <w:p w14:paraId="0CD09083">
            <w:pPr>
              <w:widowControl/>
              <w:jc w:val="left"/>
              <w:rPr>
                <w:rFonts w:hint="eastAsia" w:ascii="宋体" w:hAnsi="宋体" w:cs="宋体"/>
                <w:bCs/>
                <w:kern w:val="0"/>
                <w:sz w:val="24"/>
                <w:szCs w:val="24"/>
              </w:rPr>
            </w:pPr>
          </w:p>
          <w:p w14:paraId="3844B3FA">
            <w:pPr>
              <w:widowControl/>
              <w:jc w:val="left"/>
              <w:rPr>
                <w:rFonts w:hint="eastAsia" w:ascii="宋体" w:hAnsi="宋体" w:cs="宋体"/>
                <w:bCs/>
                <w:kern w:val="0"/>
                <w:sz w:val="24"/>
                <w:szCs w:val="24"/>
              </w:rPr>
            </w:pPr>
          </w:p>
          <w:p w14:paraId="3EB9551D">
            <w:pPr>
              <w:widowControl/>
              <w:jc w:val="left"/>
              <w:rPr>
                <w:rFonts w:hint="eastAsia" w:ascii="宋体" w:hAnsi="宋体" w:cs="宋体"/>
                <w:b/>
                <w:kern w:val="0"/>
                <w:sz w:val="24"/>
                <w:szCs w:val="24"/>
              </w:rPr>
            </w:pPr>
          </w:p>
          <w:p w14:paraId="67030476">
            <w:pPr>
              <w:jc w:val="center"/>
              <w:rPr>
                <w:rFonts w:hint="eastAsia" w:ascii="宋体" w:hAnsi="宋体" w:cs="宋体"/>
                <w:kern w:val="0"/>
                <w:sz w:val="24"/>
                <w:szCs w:val="24"/>
              </w:rPr>
            </w:pPr>
            <w:r>
              <w:rPr>
                <w:rFonts w:hint="eastAsia" w:ascii="宋体" w:hAnsi="宋体" w:cs="宋体"/>
                <w:kern w:val="0"/>
                <w:sz w:val="24"/>
                <w:szCs w:val="24"/>
              </w:rPr>
              <w:t>计划经营发展部</w:t>
            </w:r>
          </w:p>
          <w:p w14:paraId="79CF1548">
            <w:pPr>
              <w:jc w:val="center"/>
              <w:rPr>
                <w:rFonts w:hint="eastAsia" w:ascii="宋体" w:hAnsi="宋体" w:cs="宋体"/>
                <w:kern w:val="0"/>
                <w:sz w:val="24"/>
                <w:szCs w:val="24"/>
              </w:rPr>
            </w:pPr>
            <w:r>
              <w:rPr>
                <w:rFonts w:hint="eastAsia" w:ascii="宋体" w:hAnsi="宋体" w:cs="宋体"/>
                <w:color w:val="FF0000"/>
                <w:kern w:val="0"/>
                <w:sz w:val="24"/>
                <w:szCs w:val="24"/>
                <w:lang w:val="en-US" w:eastAsia="zh-CN"/>
              </w:rPr>
              <w:t xml:space="preserve"> </w:t>
            </w:r>
            <w:r>
              <w:rPr>
                <w:rFonts w:hint="eastAsia" w:ascii="宋体" w:hAnsi="宋体" w:cs="宋体"/>
                <w:color w:val="FF0000"/>
                <w:kern w:val="0"/>
                <w:sz w:val="24"/>
                <w:szCs w:val="24"/>
              </w:rPr>
              <w:t>2025年</w:t>
            </w:r>
            <w:r>
              <w:rPr>
                <w:rFonts w:hint="eastAsia" w:ascii="宋体" w:hAnsi="宋体" w:cs="宋体"/>
                <w:color w:val="FF0000"/>
                <w:kern w:val="0"/>
                <w:sz w:val="24"/>
                <w:szCs w:val="24"/>
                <w:lang w:val="en-US" w:eastAsia="zh-CN"/>
              </w:rPr>
              <w:t>9</w:t>
            </w:r>
            <w:r>
              <w:rPr>
                <w:rFonts w:hint="eastAsia" w:ascii="宋体" w:hAnsi="宋体" w:cs="宋体"/>
                <w:color w:val="FF0000"/>
                <w:kern w:val="0"/>
                <w:sz w:val="24"/>
                <w:szCs w:val="24"/>
              </w:rPr>
              <w:t>月</w:t>
            </w:r>
            <w:r>
              <w:rPr>
                <w:rFonts w:hint="eastAsia" w:ascii="宋体" w:hAnsi="宋体" w:cs="宋体"/>
                <w:color w:val="FF0000"/>
                <w:kern w:val="0"/>
                <w:sz w:val="24"/>
                <w:szCs w:val="24"/>
                <w:lang w:val="en-US" w:eastAsia="zh-CN"/>
              </w:rPr>
              <w:t>19</w:t>
            </w:r>
            <w:r>
              <w:rPr>
                <w:rFonts w:hint="eastAsia" w:ascii="宋体" w:hAnsi="宋体" w:cs="宋体"/>
                <w:color w:val="FF0000"/>
                <w:kern w:val="0"/>
                <w:sz w:val="24"/>
                <w:szCs w:val="24"/>
              </w:rPr>
              <w:t>日</w:t>
            </w:r>
          </w:p>
        </w:tc>
        <w:tc>
          <w:tcPr>
            <w:tcW w:w="10133" w:type="dxa"/>
            <w:tcBorders>
              <w:top w:val="single" w:color="auto" w:sz="4" w:space="0"/>
              <w:left w:val="single" w:color="auto" w:sz="4" w:space="0"/>
              <w:bottom w:val="single" w:color="auto" w:sz="4" w:space="0"/>
              <w:right w:val="single" w:color="auto" w:sz="4" w:space="0"/>
            </w:tcBorders>
            <w:shd w:val="clear" w:color="auto" w:fill="auto"/>
          </w:tcPr>
          <w:p w14:paraId="67C3D56A">
            <w:pPr>
              <w:jc w:val="center"/>
              <w:rPr>
                <w:rFonts w:hint="eastAsia" w:ascii="宋体" w:hAnsi="宋体" w:cs="宋体"/>
                <w:color w:val="FF0000"/>
                <w:kern w:val="0"/>
                <w:sz w:val="24"/>
                <w:szCs w:val="24"/>
              </w:rPr>
            </w:pPr>
          </w:p>
        </w:tc>
      </w:tr>
    </w:tbl>
    <w:p w14:paraId="282D44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C2"/>
    <w:rsid w:val="00006BE4"/>
    <w:rsid w:val="000074AC"/>
    <w:rsid w:val="00007D3A"/>
    <w:rsid w:val="000120BE"/>
    <w:rsid w:val="00034D38"/>
    <w:rsid w:val="00045291"/>
    <w:rsid w:val="00045D62"/>
    <w:rsid w:val="00062406"/>
    <w:rsid w:val="0006272C"/>
    <w:rsid w:val="00080BE4"/>
    <w:rsid w:val="00081707"/>
    <w:rsid w:val="000B58CA"/>
    <w:rsid w:val="000C3938"/>
    <w:rsid w:val="000C7A39"/>
    <w:rsid w:val="000E3316"/>
    <w:rsid w:val="000E5CA1"/>
    <w:rsid w:val="00121CF9"/>
    <w:rsid w:val="00132A44"/>
    <w:rsid w:val="00132B72"/>
    <w:rsid w:val="00137BAC"/>
    <w:rsid w:val="00147F71"/>
    <w:rsid w:val="001517A6"/>
    <w:rsid w:val="00176B8D"/>
    <w:rsid w:val="0019232A"/>
    <w:rsid w:val="001A6BD5"/>
    <w:rsid w:val="001D545F"/>
    <w:rsid w:val="002223A0"/>
    <w:rsid w:val="002268F4"/>
    <w:rsid w:val="00227097"/>
    <w:rsid w:val="002305AE"/>
    <w:rsid w:val="00231E88"/>
    <w:rsid w:val="0026619B"/>
    <w:rsid w:val="00267CE8"/>
    <w:rsid w:val="00273E64"/>
    <w:rsid w:val="0028321B"/>
    <w:rsid w:val="00287C1D"/>
    <w:rsid w:val="00296DA1"/>
    <w:rsid w:val="00296E3A"/>
    <w:rsid w:val="002A100E"/>
    <w:rsid w:val="002A6BE5"/>
    <w:rsid w:val="002B5E6A"/>
    <w:rsid w:val="002C231A"/>
    <w:rsid w:val="002C6968"/>
    <w:rsid w:val="002D1CC2"/>
    <w:rsid w:val="002D1DB5"/>
    <w:rsid w:val="002D5A2B"/>
    <w:rsid w:val="002E6275"/>
    <w:rsid w:val="00312F13"/>
    <w:rsid w:val="00334B58"/>
    <w:rsid w:val="0034023E"/>
    <w:rsid w:val="00343B61"/>
    <w:rsid w:val="00344872"/>
    <w:rsid w:val="00344CAD"/>
    <w:rsid w:val="003514CA"/>
    <w:rsid w:val="00363BB2"/>
    <w:rsid w:val="00364DBB"/>
    <w:rsid w:val="0037194B"/>
    <w:rsid w:val="00377E44"/>
    <w:rsid w:val="00377FEB"/>
    <w:rsid w:val="00384DB8"/>
    <w:rsid w:val="00390FEA"/>
    <w:rsid w:val="003A2A69"/>
    <w:rsid w:val="003A7057"/>
    <w:rsid w:val="0040249F"/>
    <w:rsid w:val="00402D64"/>
    <w:rsid w:val="0040753A"/>
    <w:rsid w:val="00417F00"/>
    <w:rsid w:val="004555ED"/>
    <w:rsid w:val="004558EE"/>
    <w:rsid w:val="00485C4E"/>
    <w:rsid w:val="00493E33"/>
    <w:rsid w:val="004941FA"/>
    <w:rsid w:val="004A5E44"/>
    <w:rsid w:val="004B60AD"/>
    <w:rsid w:val="004C25EA"/>
    <w:rsid w:val="004C6366"/>
    <w:rsid w:val="004E64A7"/>
    <w:rsid w:val="005004F5"/>
    <w:rsid w:val="00501A40"/>
    <w:rsid w:val="0050497F"/>
    <w:rsid w:val="005054E7"/>
    <w:rsid w:val="00515A07"/>
    <w:rsid w:val="00522374"/>
    <w:rsid w:val="005278D0"/>
    <w:rsid w:val="00537138"/>
    <w:rsid w:val="00543627"/>
    <w:rsid w:val="00561450"/>
    <w:rsid w:val="00567660"/>
    <w:rsid w:val="00573686"/>
    <w:rsid w:val="00580CA6"/>
    <w:rsid w:val="00583D91"/>
    <w:rsid w:val="005971AB"/>
    <w:rsid w:val="005A09BB"/>
    <w:rsid w:val="005B6173"/>
    <w:rsid w:val="005C052C"/>
    <w:rsid w:val="005C26A3"/>
    <w:rsid w:val="005C52A8"/>
    <w:rsid w:val="005D6DD8"/>
    <w:rsid w:val="005E1F69"/>
    <w:rsid w:val="005E3CF3"/>
    <w:rsid w:val="005F0C6C"/>
    <w:rsid w:val="00600C4B"/>
    <w:rsid w:val="006028A5"/>
    <w:rsid w:val="00602A79"/>
    <w:rsid w:val="00612153"/>
    <w:rsid w:val="00614402"/>
    <w:rsid w:val="0062070A"/>
    <w:rsid w:val="006251C3"/>
    <w:rsid w:val="00625A8D"/>
    <w:rsid w:val="006431E9"/>
    <w:rsid w:val="006455C1"/>
    <w:rsid w:val="00662007"/>
    <w:rsid w:val="00664A60"/>
    <w:rsid w:val="006714E9"/>
    <w:rsid w:val="00676A96"/>
    <w:rsid w:val="00682700"/>
    <w:rsid w:val="00693795"/>
    <w:rsid w:val="006B3045"/>
    <w:rsid w:val="006B52C4"/>
    <w:rsid w:val="006B55F1"/>
    <w:rsid w:val="006C62D1"/>
    <w:rsid w:val="006D3137"/>
    <w:rsid w:val="006E3622"/>
    <w:rsid w:val="006E61C4"/>
    <w:rsid w:val="006F218D"/>
    <w:rsid w:val="006F4026"/>
    <w:rsid w:val="006F620F"/>
    <w:rsid w:val="006F625C"/>
    <w:rsid w:val="007276F7"/>
    <w:rsid w:val="00736986"/>
    <w:rsid w:val="007541B7"/>
    <w:rsid w:val="007629FE"/>
    <w:rsid w:val="0076742F"/>
    <w:rsid w:val="00785ECC"/>
    <w:rsid w:val="007911C8"/>
    <w:rsid w:val="007C1B08"/>
    <w:rsid w:val="007D3A14"/>
    <w:rsid w:val="007D4200"/>
    <w:rsid w:val="007E15B2"/>
    <w:rsid w:val="007E5325"/>
    <w:rsid w:val="007F1A24"/>
    <w:rsid w:val="007F67EC"/>
    <w:rsid w:val="008137D0"/>
    <w:rsid w:val="008162D0"/>
    <w:rsid w:val="00822793"/>
    <w:rsid w:val="00823BA0"/>
    <w:rsid w:val="00827499"/>
    <w:rsid w:val="00835741"/>
    <w:rsid w:val="00845440"/>
    <w:rsid w:val="00851BE1"/>
    <w:rsid w:val="008533A1"/>
    <w:rsid w:val="00867620"/>
    <w:rsid w:val="0087224D"/>
    <w:rsid w:val="00873DD2"/>
    <w:rsid w:val="0087575A"/>
    <w:rsid w:val="0089032E"/>
    <w:rsid w:val="008D1889"/>
    <w:rsid w:val="008F13E6"/>
    <w:rsid w:val="00900471"/>
    <w:rsid w:val="00902B0C"/>
    <w:rsid w:val="0091515E"/>
    <w:rsid w:val="009174F9"/>
    <w:rsid w:val="00924500"/>
    <w:rsid w:val="0093614E"/>
    <w:rsid w:val="009376CD"/>
    <w:rsid w:val="00950096"/>
    <w:rsid w:val="00955E4A"/>
    <w:rsid w:val="009571A3"/>
    <w:rsid w:val="00963A5D"/>
    <w:rsid w:val="009641F2"/>
    <w:rsid w:val="009876A5"/>
    <w:rsid w:val="009910F1"/>
    <w:rsid w:val="00994DC9"/>
    <w:rsid w:val="009A0320"/>
    <w:rsid w:val="009A2FCA"/>
    <w:rsid w:val="009A473A"/>
    <w:rsid w:val="009A5C3D"/>
    <w:rsid w:val="009B4DC5"/>
    <w:rsid w:val="009D1888"/>
    <w:rsid w:val="009D325D"/>
    <w:rsid w:val="009E20F8"/>
    <w:rsid w:val="009F1FA5"/>
    <w:rsid w:val="009F757B"/>
    <w:rsid w:val="00A03A10"/>
    <w:rsid w:val="00A0656D"/>
    <w:rsid w:val="00A26E87"/>
    <w:rsid w:val="00A3229E"/>
    <w:rsid w:val="00A36C5E"/>
    <w:rsid w:val="00A44D05"/>
    <w:rsid w:val="00A51F7A"/>
    <w:rsid w:val="00A54B11"/>
    <w:rsid w:val="00A554BA"/>
    <w:rsid w:val="00A57009"/>
    <w:rsid w:val="00A607C0"/>
    <w:rsid w:val="00A640FE"/>
    <w:rsid w:val="00A70D25"/>
    <w:rsid w:val="00A70F56"/>
    <w:rsid w:val="00A86A1E"/>
    <w:rsid w:val="00A923AC"/>
    <w:rsid w:val="00AA0FE9"/>
    <w:rsid w:val="00AA10CE"/>
    <w:rsid w:val="00AA47CE"/>
    <w:rsid w:val="00AB6F03"/>
    <w:rsid w:val="00AE1F20"/>
    <w:rsid w:val="00AF31F3"/>
    <w:rsid w:val="00B062B6"/>
    <w:rsid w:val="00B3559E"/>
    <w:rsid w:val="00B36C98"/>
    <w:rsid w:val="00B45B7C"/>
    <w:rsid w:val="00B543F4"/>
    <w:rsid w:val="00B61E40"/>
    <w:rsid w:val="00B708F2"/>
    <w:rsid w:val="00B72C08"/>
    <w:rsid w:val="00B906B6"/>
    <w:rsid w:val="00B94F83"/>
    <w:rsid w:val="00BA1062"/>
    <w:rsid w:val="00BA1903"/>
    <w:rsid w:val="00BB0E0D"/>
    <w:rsid w:val="00BD5378"/>
    <w:rsid w:val="00C00306"/>
    <w:rsid w:val="00C02627"/>
    <w:rsid w:val="00C05364"/>
    <w:rsid w:val="00C05B5A"/>
    <w:rsid w:val="00C24986"/>
    <w:rsid w:val="00C30298"/>
    <w:rsid w:val="00C350F0"/>
    <w:rsid w:val="00C41BEF"/>
    <w:rsid w:val="00C525C8"/>
    <w:rsid w:val="00C52625"/>
    <w:rsid w:val="00C60499"/>
    <w:rsid w:val="00C61FB5"/>
    <w:rsid w:val="00C96AFC"/>
    <w:rsid w:val="00CA40BC"/>
    <w:rsid w:val="00CA4462"/>
    <w:rsid w:val="00CA670D"/>
    <w:rsid w:val="00CB4064"/>
    <w:rsid w:val="00CD7E88"/>
    <w:rsid w:val="00CE5F7E"/>
    <w:rsid w:val="00CF2B4F"/>
    <w:rsid w:val="00CF5827"/>
    <w:rsid w:val="00CF605F"/>
    <w:rsid w:val="00D03E8A"/>
    <w:rsid w:val="00D063C0"/>
    <w:rsid w:val="00D212C1"/>
    <w:rsid w:val="00D41769"/>
    <w:rsid w:val="00D46710"/>
    <w:rsid w:val="00D524D4"/>
    <w:rsid w:val="00D54E70"/>
    <w:rsid w:val="00D67DB0"/>
    <w:rsid w:val="00D80F8C"/>
    <w:rsid w:val="00D848CE"/>
    <w:rsid w:val="00D94252"/>
    <w:rsid w:val="00D95509"/>
    <w:rsid w:val="00DB19DD"/>
    <w:rsid w:val="00DB21F8"/>
    <w:rsid w:val="00DF22E2"/>
    <w:rsid w:val="00E0255F"/>
    <w:rsid w:val="00E32783"/>
    <w:rsid w:val="00E33B96"/>
    <w:rsid w:val="00E833BF"/>
    <w:rsid w:val="00E85642"/>
    <w:rsid w:val="00EA08DD"/>
    <w:rsid w:val="00EB1309"/>
    <w:rsid w:val="00EB418E"/>
    <w:rsid w:val="00EC5835"/>
    <w:rsid w:val="00EE7642"/>
    <w:rsid w:val="00F050D6"/>
    <w:rsid w:val="00F11DC6"/>
    <w:rsid w:val="00F146A3"/>
    <w:rsid w:val="00F22E9B"/>
    <w:rsid w:val="00F33C73"/>
    <w:rsid w:val="00F40923"/>
    <w:rsid w:val="00F4656A"/>
    <w:rsid w:val="00F55560"/>
    <w:rsid w:val="00F55FFB"/>
    <w:rsid w:val="00F57AA9"/>
    <w:rsid w:val="00F628AF"/>
    <w:rsid w:val="00F774B8"/>
    <w:rsid w:val="00F815DC"/>
    <w:rsid w:val="00F830F4"/>
    <w:rsid w:val="00F96264"/>
    <w:rsid w:val="00FB143C"/>
    <w:rsid w:val="00FC346D"/>
    <w:rsid w:val="00FC68AE"/>
    <w:rsid w:val="00FE67E8"/>
    <w:rsid w:val="00FF5693"/>
    <w:rsid w:val="00FF6549"/>
    <w:rsid w:val="00FF7817"/>
    <w:rsid w:val="4AB925D4"/>
    <w:rsid w:val="4B201B5B"/>
    <w:rsid w:val="633C4AEA"/>
    <w:rsid w:val="7261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semiHidden/>
    <w:unhideWhenUsed/>
    <w:qFormat/>
    <w:uiPriority w:val="99"/>
    <w:pPr>
      <w:spacing w:after="120"/>
    </w:pPr>
  </w:style>
  <w:style w:type="paragraph" w:styleId="3">
    <w:name w:val="Body Text Indent"/>
    <w:basedOn w:val="1"/>
    <w:link w:val="14"/>
    <w:semiHidden/>
    <w:unhideWhenUsed/>
    <w:uiPriority w:val="99"/>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7"/>
    <w:semiHidden/>
    <w:unhideWhenUsed/>
    <w:qFormat/>
    <w:uiPriority w:val="99"/>
    <w:pPr>
      <w:ind w:firstLine="420" w:firstLineChars="100"/>
    </w:pPr>
  </w:style>
  <w:style w:type="paragraph" w:styleId="7">
    <w:name w:val="Body Text First Indent 2"/>
    <w:basedOn w:val="3"/>
    <w:next w:val="6"/>
    <w:link w:val="15"/>
    <w:qFormat/>
    <w:uiPriority w:val="0"/>
    <w:pPr>
      <w:spacing w:after="0"/>
      <w:ind w:left="0" w:leftChars="0" w:firstLine="420" w:firstLineChars="200"/>
    </w:pPr>
    <w:rPr>
      <w:sz w:val="2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5"/>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字符"/>
    <w:basedOn w:val="9"/>
    <w:link w:val="3"/>
    <w:semiHidden/>
    <w:uiPriority w:val="99"/>
    <w:rPr>
      <w:rFonts w:ascii="Times New Roman" w:hAnsi="Times New Roman" w:eastAsia="宋体" w:cs="Times New Roman"/>
      <w:kern w:val="2"/>
      <w:sz w:val="21"/>
    </w:rPr>
  </w:style>
  <w:style w:type="character" w:customStyle="1" w:styleId="15">
    <w:name w:val="正文文本首行缩进 2 字符"/>
    <w:basedOn w:val="14"/>
    <w:link w:val="7"/>
    <w:qFormat/>
    <w:uiPriority w:val="0"/>
    <w:rPr>
      <w:rFonts w:ascii="Times New Roman" w:hAnsi="Times New Roman" w:eastAsia="宋体" w:cs="Times New Roman"/>
      <w:kern w:val="2"/>
      <w:sz w:val="28"/>
    </w:rPr>
  </w:style>
  <w:style w:type="character" w:customStyle="1" w:styleId="16">
    <w:name w:val="正文文本 字符"/>
    <w:basedOn w:val="9"/>
    <w:link w:val="2"/>
    <w:semiHidden/>
    <w:qFormat/>
    <w:uiPriority w:val="99"/>
    <w:rPr>
      <w:rFonts w:ascii="Times New Roman" w:hAnsi="Times New Roman" w:eastAsia="宋体" w:cs="Times New Roman"/>
      <w:kern w:val="2"/>
      <w:sz w:val="21"/>
    </w:rPr>
  </w:style>
  <w:style w:type="character" w:customStyle="1" w:styleId="17">
    <w:name w:val="正文文本首行缩进 字符"/>
    <w:basedOn w:val="16"/>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1601</Words>
  <Characters>1653</Characters>
  <Lines>144</Lines>
  <Paragraphs>94</Paragraphs>
  <TotalTime>0</TotalTime>
  <ScaleCrop>false</ScaleCrop>
  <LinksUpToDate>false</LinksUpToDate>
  <CharactersWithSpaces>1654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2022-04-13T06:53:00Z</dcterms:created>
  <dc:creator>左晓辉</dc:creator>
  <cp:lastModifiedBy>WPS_1494729474</cp:lastModifiedBy>
  <cp:lastPrinted>2023-12-01T04:11:00Z</cp:lastPrinted>
  <dcterms:modified xsi:type="dcterms:W3CDTF">2025-09-19T01:35:54Z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622251EE9B6D479BAA530092056736CF_13</vt:lpwstr>
  </property>
  <property fmtid="{D5CDD505-2E9C-101B-9397-08002B2CF9AE}" pid="4" name="KSOTemplateDocerSaveRecord">
    <vt:lpwstr>eyJoZGlkIjoiYTI0OWZlNDVmNTgyNTNlMWZkZjkxMTI5MmMyNjk0OTAiLCJ1c2VySWQiOiIyODAwOTUzNzAifQ==</vt:lpwstr>
  </property>
</Properties>
</file>