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A865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采购方案参数</w:t>
      </w:r>
    </w:p>
    <w:tbl>
      <w:tblPr>
        <w:tblStyle w:val="6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68"/>
        <w:gridCol w:w="642"/>
        <w:gridCol w:w="6770"/>
      </w:tblGrid>
      <w:tr w14:paraId="4C17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6AC30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采购清单及技术参数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4829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4394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095A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服务参数</w:t>
            </w:r>
          </w:p>
        </w:tc>
      </w:tr>
      <w:tr w14:paraId="4E4F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2867FC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DA28B1"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17862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BCE6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一、5G专网服务</w:t>
            </w:r>
          </w:p>
          <w:p w14:paraId="4F6DDC1E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szCs w:val="21"/>
              </w:rPr>
              <w:t>张5G专网专用物联网卡，实现专网用户的开通和计费管理；</w:t>
            </w:r>
          </w:p>
          <w:p w14:paraId="40C77764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2、物联网卡技术指标：消费级plug-in拔插卡，支持4/5G 互操作，4/5G业务切换业务中断时延≤1.5s，每张包含每年区内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60G</w:t>
            </w:r>
            <w:r>
              <w:rPr>
                <w:rFonts w:hint="eastAsia" w:ascii="宋体" w:hAnsi="宋体" w:cs="宋体"/>
                <w:szCs w:val="21"/>
              </w:rPr>
              <w:t>定向流量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240张共用流量池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CFC3C55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3、提供5G专网专用的的DNN服务，提供定制的唯一网络标识，实现终端使用定制DNN通过专线访问至采购人业务内网。通过定制DNN将访问通道与公网完全隔离，确保网络访问的安全性以及数据传输的私密性；</w:t>
            </w:r>
          </w:p>
          <w:p w14:paraId="142D3880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4、支持5G信号切换至4G信号或省内漫游等接入网络发生变化时，5G专网服务不收影响。</w:t>
            </w:r>
          </w:p>
          <w:p w14:paraId="01F40167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5、方案使用的5G核心网部署在项目所在省；</w:t>
            </w:r>
          </w:p>
          <w:p w14:paraId="3A56AB3F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6、供应商5G网络采用SA独立组网方式；</w:t>
            </w:r>
            <w:bookmarkStart w:id="0" w:name="_GoBack"/>
            <w:bookmarkEnd w:id="0"/>
          </w:p>
        </w:tc>
      </w:tr>
      <w:tr w14:paraId="15F1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C270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B20E"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DA6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A0B2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二、5G传输专线</w:t>
            </w:r>
          </w:p>
          <w:p w14:paraId="712B1435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1、数量：1条；</w:t>
            </w:r>
          </w:p>
          <w:p w14:paraId="3B708967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2、提供5G机房至采购人机房内网连接的100M传输专线，为5G专网提供数据通道服务，满足端对端业务数据传输，免费提供接入设备；</w:t>
            </w:r>
          </w:p>
          <w:p w14:paraId="7A8FA3FB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3、接口类型：LC，FC，RJ45等；</w:t>
            </w:r>
          </w:p>
          <w:p w14:paraId="43B055B4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4、端到端可用率≥99.0%，电路比特误码率≤1×10-7，丢包率≤0.1%，各个节点最大时延≤10ms，时延抖动率≤10ms；</w:t>
            </w:r>
          </w:p>
          <w:p w14:paraId="4BF12C36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5、要求全网端到端必须采用光传输通信系统进行组网，提供端对端透明传输电路并与其他网络物理隔离；</w:t>
            </w:r>
          </w:p>
          <w:p w14:paraId="5E5192DE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6、要求具有核心网全程网管监控功能，并实行7*24小时实时监控，具备自动告警、日志查询等功能。</w:t>
            </w:r>
          </w:p>
        </w:tc>
      </w:tr>
      <w:tr w14:paraId="43C5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3AF23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商务条款</w:t>
            </w: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1353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、合同签订期：自成交结果通知书发出之日起25个日历日内。若因成交供应商自身原因未能在约定的时间内与采购人签订合同的，采购人将不再受理合同签订事宜，并终止项目合同签订，成交供应商自行承担由此产生的后果。</w:t>
            </w:r>
          </w:p>
          <w:p w14:paraId="0BDA7465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二、提交服务成果时间：自合同签订之日起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个日历日内交付使用。</w:t>
            </w:r>
          </w:p>
          <w:p w14:paraId="7DDDE425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三、服务地点：南宁市内采购人指定地点。</w:t>
            </w:r>
          </w:p>
          <w:p w14:paraId="617B9DEF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四、服务期限：1年（自合同签订之日起计）。</w:t>
            </w:r>
          </w:p>
          <w:p w14:paraId="3D96FFAB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五、售后服务要求：</w:t>
            </w:r>
          </w:p>
          <w:p w14:paraId="3E80B601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1、质量保证期1年（自验收合格之日起计算）。且采购的所有货物服务内容，在验收合格后，成交供应商必须提供至少一年的免费功能增强性维护、免费技术维护服务，保证所有设备正常运行。</w:t>
            </w:r>
          </w:p>
          <w:p w14:paraId="4DE149AB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2、成交供应商需安排专门技术人员提供7×24小时维护服务。故障申报1小时内响应，2小时到达现场，8小时恢复业务（自然灾害等不可抗拒原因除外）。</w:t>
            </w:r>
          </w:p>
          <w:p w14:paraId="37660319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六、验收标准、规范及流程：</w:t>
            </w:r>
          </w:p>
          <w:p w14:paraId="6E476411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1、服务技术参数与采购合同一致，性能或指标达到规定的标准。 </w:t>
            </w:r>
          </w:p>
          <w:p w14:paraId="6060667E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2、本项目正式投入运行后，采购人将组织项目验收，采购人有权邀请相关行业专家一起验收，届时验收专家由采购人要求，所产生的费用包含在竞标报价中，请各竞标人代表自行考虑竞标成本。</w:t>
            </w:r>
          </w:p>
          <w:p w14:paraId="60E06B88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3、成交供应商提供的服务未达到竞争性谈判采购文件规定要求的，且对采购人造成损失的，由成交供应商承担一切责任，并赔偿所造成的损失。 </w:t>
            </w:r>
          </w:p>
          <w:p w14:paraId="6DEAB636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4、项目验收时成交供应商须向采购人提供详细的设备相关技术文档、使用说明书、维护手册等文档资料。</w:t>
            </w:r>
          </w:p>
          <w:p w14:paraId="28887216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七、其他要求：</w:t>
            </w:r>
          </w:p>
          <w:p w14:paraId="5DE2A749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1、报价必须包含以下部分，包括：</w:t>
            </w:r>
          </w:p>
          <w:p w14:paraId="540527E1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（1）货物及服务的价格；</w:t>
            </w:r>
          </w:p>
          <w:p w14:paraId="73946D03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（2）必要的保险费用和各项税金；</w:t>
            </w:r>
          </w:p>
          <w:p w14:paraId="4B9EEE8F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（3）其他：本项目为服务成果整体交付使用项目，按服务总价包干，为交钥匙工程，采购人不对项目达到成果水平报的服务、货物、施工等一切内容追加支付费用，而由成交供应商在合同价内全部提供或解决；</w:t>
            </w:r>
          </w:p>
          <w:p w14:paraId="51FDBDDB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（4）如不能按期完成的，采购人有权单方面解除合同，所造成的损失由成交供应商负责。</w:t>
            </w:r>
          </w:p>
          <w:p w14:paraId="33A74AC3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2、付款方式：本项目无预付款，双方在验收清单上签字盖章确认后，成交供应商开具合同款对应的增值税发票给采购人。采购人收到发票并完成审批手续后一次性支付合同款。</w:t>
            </w:r>
          </w:p>
        </w:tc>
      </w:tr>
    </w:tbl>
    <w:p w14:paraId="47DC5ADC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F1B4B"/>
    <w:rsid w:val="37187B15"/>
    <w:rsid w:val="5C9F1B4B"/>
    <w:rsid w:val="7A98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64"/>
    <w:basedOn w:val="1"/>
    <w:next w:val="9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1391</Words>
  <Characters>1467</Characters>
  <Lines>0</Lines>
  <Paragraphs>0</Paragraphs>
  <TotalTime>12</TotalTime>
  <ScaleCrop>false</ScaleCrop>
  <LinksUpToDate>false</LinksUpToDate>
  <CharactersWithSpaces>1470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2025-08-18T02:30:00Z</dcterms:created>
  <dc:creator>魔羽魔罗</dc:creator>
  <cp:lastModifiedBy>魔羽魔罗</cp:lastModifiedBy>
  <dcterms:modified xsi:type="dcterms:W3CDTF">2025-09-10T00:49:35Z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C352D0C200F14E0BACF9830421700CFD_11</vt:lpwstr>
  </property>
  <property fmtid="{D5CDD505-2E9C-101B-9397-08002B2CF9AE}" pid="4" name="KSOTemplateDocerSaveRecord">
    <vt:lpwstr>eyJoZGlkIjoiNTMyNTNlZWRmYWI2YzY1ZTEyZmZiODZiYTk2ODZkNWUiLCJ1c2VySWQiOiIzMjY0NzE5In0=</vt:lpwstr>
  </property>
</Properties>
</file>