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B87A2">
      <w:pPr>
        <w:jc w:val="center"/>
        <w:rPr>
          <w:rFonts w:hint="eastAsia" w:eastAsiaTheme="minorEastAsia"/>
          <w:b/>
          <w:bCs/>
          <w:sz w:val="28"/>
          <w:szCs w:val="28"/>
          <w:lang w:val="en-US" w:eastAsia="zh-CN"/>
        </w:rPr>
      </w:pPr>
      <w:r>
        <w:rPr>
          <w:rFonts w:hint="eastAsia"/>
          <w:b/>
          <w:bCs/>
          <w:sz w:val="28"/>
          <w:szCs w:val="28"/>
        </w:rPr>
        <w:t>可调式OT桌需求</w:t>
      </w:r>
      <w:r>
        <w:rPr>
          <w:rFonts w:hint="eastAsia"/>
          <w:b/>
          <w:bCs/>
          <w:sz w:val="28"/>
          <w:szCs w:val="28"/>
          <w:lang w:val="en-US" w:eastAsia="zh-CN"/>
        </w:rPr>
        <w:t>参数</w:t>
      </w:r>
    </w:p>
    <w:p w14:paraId="18196998">
      <w:pPr>
        <w:pStyle w:val="5"/>
        <w:numPr>
          <w:numId w:val="0"/>
        </w:numPr>
        <w:ind w:leftChars="0"/>
        <w:jc w:val="left"/>
        <w:rPr>
          <w:rFonts w:hint="default" w:eastAsiaTheme="minorEastAsia"/>
          <w:sz w:val="28"/>
          <w:szCs w:val="28"/>
          <w:lang w:val="en-US" w:eastAsia="zh-CN"/>
        </w:rPr>
      </w:pPr>
      <w:r>
        <w:rPr>
          <w:rFonts w:hint="eastAsia" w:ascii="宋体" w:hAnsi="宋体" w:eastAsia="宋体" w:cs="宋体"/>
          <w:sz w:val="28"/>
          <w:szCs w:val="28"/>
          <w:lang w:val="en-US" w:eastAsia="zh-CN"/>
        </w:rPr>
        <w:t>▲</w:t>
      </w:r>
      <w:r>
        <w:rPr>
          <w:rFonts w:hint="eastAsia"/>
          <w:sz w:val="28"/>
          <w:szCs w:val="28"/>
          <w:lang w:val="en-US" w:eastAsia="zh-CN"/>
        </w:rPr>
        <w:t>1、</w:t>
      </w:r>
      <w:r>
        <w:rPr>
          <w:sz w:val="28"/>
          <w:szCs w:val="28"/>
        </w:rPr>
        <w:t>外形尺寸（长×宽×高）：1600mm×800mm×</w:t>
      </w:r>
      <w:r>
        <w:rPr>
          <w:rFonts w:hint="eastAsia"/>
          <w:sz w:val="28"/>
          <w:szCs w:val="28"/>
          <w:lang w:val="en-US" w:eastAsia="zh-CN"/>
        </w:rPr>
        <w:t>605</w:t>
      </w:r>
      <w:r>
        <w:rPr>
          <w:sz w:val="28"/>
          <w:szCs w:val="28"/>
        </w:rPr>
        <w:t>mm</w:t>
      </w:r>
    </w:p>
    <w:p w14:paraId="21F49C66">
      <w:pPr>
        <w:pStyle w:val="5"/>
        <w:numPr>
          <w:numId w:val="0"/>
        </w:numPr>
        <w:ind w:leftChars="0"/>
        <w:jc w:val="left"/>
        <w:rPr>
          <w:sz w:val="28"/>
          <w:szCs w:val="28"/>
        </w:rPr>
      </w:pPr>
      <w:r>
        <w:rPr>
          <w:rFonts w:hint="eastAsia" w:ascii="宋体" w:hAnsi="宋体" w:eastAsia="宋体" w:cs="宋体"/>
          <w:sz w:val="28"/>
          <w:szCs w:val="28"/>
          <w:lang w:val="en-US" w:eastAsia="zh-CN"/>
        </w:rPr>
        <w:t>▲</w:t>
      </w:r>
      <w:r>
        <w:rPr>
          <w:rFonts w:hint="eastAsia"/>
          <w:sz w:val="28"/>
          <w:szCs w:val="28"/>
          <w:lang w:val="en-US" w:eastAsia="zh-CN"/>
        </w:rPr>
        <w:t>2、</w:t>
      </w:r>
      <w:r>
        <w:rPr>
          <w:sz w:val="28"/>
          <w:szCs w:val="28"/>
        </w:rPr>
        <w:t>桌面升降范围</w:t>
      </w:r>
      <w:r>
        <w:rPr>
          <w:rFonts w:hint="eastAsia"/>
          <w:sz w:val="28"/>
          <w:szCs w:val="28"/>
          <w:lang w:val="en-US" w:eastAsia="zh-CN"/>
        </w:rPr>
        <w:t>至少包含</w:t>
      </w:r>
      <w:r>
        <w:rPr>
          <w:sz w:val="28"/>
          <w:szCs w:val="28"/>
        </w:rPr>
        <w:t>：605～845</w:t>
      </w:r>
      <w:bookmarkStart w:id="0" w:name="_GoBack"/>
      <w:bookmarkEnd w:id="0"/>
      <w:r>
        <w:rPr>
          <w:sz w:val="28"/>
          <w:szCs w:val="28"/>
        </w:rPr>
        <w:t>mm</w:t>
      </w:r>
    </w:p>
    <w:p w14:paraId="44802671">
      <w:pPr>
        <w:pStyle w:val="5"/>
        <w:numPr>
          <w:numId w:val="0"/>
        </w:numPr>
        <w:ind w:leftChars="0"/>
        <w:jc w:val="left"/>
        <w:rPr>
          <w:sz w:val="28"/>
          <w:szCs w:val="28"/>
        </w:rPr>
      </w:pPr>
      <w:r>
        <w:rPr>
          <w:rFonts w:hint="eastAsia" w:ascii="宋体" w:hAnsi="宋体" w:eastAsia="宋体" w:cs="宋体"/>
          <w:sz w:val="28"/>
          <w:szCs w:val="28"/>
          <w:lang w:val="en-US" w:eastAsia="zh-CN"/>
        </w:rPr>
        <w:t>▲</w:t>
      </w:r>
      <w:r>
        <w:rPr>
          <w:rFonts w:hint="eastAsia"/>
          <w:sz w:val="28"/>
          <w:szCs w:val="28"/>
          <w:lang w:val="en-US" w:eastAsia="zh-CN"/>
        </w:rPr>
        <w:t>3、</w:t>
      </w:r>
      <w:r>
        <w:rPr>
          <w:sz w:val="28"/>
          <w:szCs w:val="28"/>
        </w:rPr>
        <w:t>手柄转动力矩：</w:t>
      </w:r>
      <w:r>
        <w:rPr>
          <w:rFonts w:hint="eastAsia" w:ascii="宋体" w:hAnsi="宋体" w:eastAsia="宋体" w:cs="宋体"/>
          <w:sz w:val="28"/>
          <w:szCs w:val="28"/>
        </w:rPr>
        <w:t>≧</w:t>
      </w:r>
      <w:r>
        <w:rPr>
          <w:sz w:val="28"/>
          <w:szCs w:val="28"/>
        </w:rPr>
        <w:t>10N•m</w:t>
      </w:r>
    </w:p>
    <w:p w14:paraId="5BDBAA00">
      <w:pPr>
        <w:pStyle w:val="5"/>
        <w:numPr>
          <w:numId w:val="0"/>
        </w:numPr>
        <w:ind w:leftChars="0"/>
        <w:jc w:val="left"/>
        <w:rPr>
          <w:rFonts w:hint="default" w:eastAsiaTheme="minorEastAsia"/>
          <w:sz w:val="28"/>
          <w:szCs w:val="28"/>
          <w:lang w:val="en-US" w:eastAsia="zh-CN"/>
        </w:rPr>
      </w:pPr>
      <w:r>
        <w:rPr>
          <w:rFonts w:hint="eastAsia" w:ascii="宋体" w:hAnsi="宋体" w:eastAsia="宋体" w:cs="宋体"/>
          <w:sz w:val="28"/>
          <w:szCs w:val="28"/>
          <w:lang w:val="en-US" w:eastAsia="zh-CN"/>
        </w:rPr>
        <w:t>▲</w:t>
      </w:r>
      <w:r>
        <w:rPr>
          <w:rFonts w:hint="eastAsia"/>
          <w:sz w:val="28"/>
          <w:szCs w:val="28"/>
          <w:lang w:val="en-US" w:eastAsia="zh-CN"/>
        </w:rPr>
        <w:t>4、</w:t>
      </w:r>
      <w:r>
        <w:rPr>
          <w:rFonts w:hint="eastAsia"/>
          <w:sz w:val="28"/>
          <w:szCs w:val="28"/>
        </w:rPr>
        <w:t>桌面材质：多层实木</w:t>
      </w:r>
      <w:r>
        <w:rPr>
          <w:rFonts w:hint="eastAsia"/>
          <w:sz w:val="28"/>
          <w:szCs w:val="28"/>
          <w:lang w:val="en-US" w:eastAsia="zh-CN"/>
        </w:rPr>
        <w:t>或</w:t>
      </w:r>
      <w:r>
        <w:rPr>
          <w:rFonts w:hint="eastAsia"/>
          <w:sz w:val="28"/>
          <w:szCs w:val="28"/>
        </w:rPr>
        <w:t>金属材质</w:t>
      </w:r>
      <w:r>
        <w:rPr>
          <w:rFonts w:hint="eastAsia"/>
          <w:sz w:val="28"/>
          <w:szCs w:val="28"/>
          <w:lang w:val="en-US" w:eastAsia="zh-CN"/>
        </w:rPr>
        <w:t>或更优于。</w:t>
      </w:r>
    </w:p>
    <w:p w14:paraId="2F7D93DA">
      <w:pPr>
        <w:pStyle w:val="5"/>
        <w:numPr>
          <w:ilvl w:val="0"/>
          <w:numId w:val="0"/>
        </w:numPr>
        <w:ind w:leftChars="0"/>
        <w:jc w:val="left"/>
        <w:rPr>
          <w:sz w:val="28"/>
          <w:szCs w:val="28"/>
        </w:rPr>
      </w:pPr>
      <w:r>
        <w:rPr>
          <w:rFonts w:hint="eastAsia" w:ascii="宋体" w:hAnsi="宋体" w:eastAsia="宋体" w:cs="宋体"/>
          <w:sz w:val="28"/>
          <w:szCs w:val="28"/>
          <w:lang w:val="en-US" w:eastAsia="zh-CN"/>
        </w:rPr>
        <w:t>▲</w:t>
      </w:r>
      <w:r>
        <w:rPr>
          <w:rFonts w:hint="eastAsia"/>
          <w:sz w:val="28"/>
          <w:szCs w:val="28"/>
          <w:lang w:val="en-US" w:eastAsia="zh-CN"/>
        </w:rPr>
        <w:t>5、</w:t>
      </w:r>
      <w:r>
        <w:rPr>
          <w:sz w:val="28"/>
          <w:szCs w:val="28"/>
        </w:rPr>
        <w:t>承重</w:t>
      </w:r>
      <w:r>
        <w:rPr>
          <w:rFonts w:hint="eastAsia"/>
          <w:sz w:val="28"/>
          <w:szCs w:val="28"/>
        </w:rPr>
        <w:t>≧</w:t>
      </w:r>
      <w:r>
        <w:rPr>
          <w:sz w:val="28"/>
          <w:szCs w:val="28"/>
        </w:rPr>
        <w:t>750N</w:t>
      </w:r>
    </w:p>
    <w:p w14:paraId="5ACD6869">
      <w:pPr>
        <w:pStyle w:val="5"/>
        <w:numPr>
          <w:ilvl w:val="0"/>
          <w:numId w:val="0"/>
        </w:numPr>
        <w:ind w:leftChars="0"/>
        <w:jc w:val="left"/>
        <w:rPr>
          <w:sz w:val="28"/>
          <w:szCs w:val="28"/>
        </w:rPr>
      </w:pPr>
      <w:r>
        <w:rPr>
          <w:rFonts w:hint="eastAsia" w:ascii="宋体" w:hAnsi="宋体" w:eastAsia="宋体" w:cs="宋体"/>
          <w:sz w:val="28"/>
          <w:szCs w:val="28"/>
          <w:lang w:val="en-US" w:eastAsia="zh-CN"/>
        </w:rPr>
        <w:t>▲</w:t>
      </w:r>
      <w:r>
        <w:rPr>
          <w:rFonts w:hint="eastAsia"/>
          <w:sz w:val="28"/>
          <w:szCs w:val="28"/>
          <w:lang w:val="en-US" w:eastAsia="zh-CN"/>
        </w:rPr>
        <w:t>6、</w:t>
      </w:r>
      <w:r>
        <w:rPr>
          <w:sz w:val="28"/>
          <w:szCs w:val="28"/>
        </w:rPr>
        <w:t>桌面厚度</w:t>
      </w:r>
      <w:r>
        <w:rPr>
          <w:rFonts w:hint="eastAsia"/>
          <w:sz w:val="28"/>
          <w:szCs w:val="28"/>
        </w:rPr>
        <w:t>≧</w:t>
      </w:r>
      <w:r>
        <w:rPr>
          <w:sz w:val="28"/>
          <w:szCs w:val="28"/>
        </w:rPr>
        <w:t xml:space="preserve">2.5cm </w:t>
      </w:r>
    </w:p>
    <w:p w14:paraId="5DB70E74">
      <w:pPr>
        <w:pStyle w:val="5"/>
        <w:numPr>
          <w:ilvl w:val="0"/>
          <w:numId w:val="0"/>
        </w:numPr>
        <w:ind w:leftChars="0"/>
        <w:jc w:val="left"/>
        <w:rPr>
          <w:sz w:val="28"/>
          <w:szCs w:val="28"/>
        </w:rPr>
      </w:pPr>
    </w:p>
    <w:p w14:paraId="7EB0EFD2">
      <w:pPr>
        <w:pStyle w:val="5"/>
        <w:numPr>
          <w:ilvl w:val="0"/>
          <w:numId w:val="0"/>
        </w:numPr>
        <w:ind w:leftChars="0"/>
        <w:jc w:val="left"/>
        <w:rPr>
          <w:sz w:val="28"/>
          <w:szCs w:val="28"/>
        </w:rPr>
      </w:pPr>
    </w:p>
    <w:p w14:paraId="76206D6B">
      <w:pPr>
        <w:pStyle w:val="5"/>
        <w:numPr>
          <w:ilvl w:val="0"/>
          <w:numId w:val="0"/>
        </w:numPr>
        <w:ind w:leftChars="0"/>
        <w:jc w:val="left"/>
        <w:rPr>
          <w:sz w:val="28"/>
          <w:szCs w:val="28"/>
        </w:rPr>
      </w:pPr>
    </w:p>
    <w:p w14:paraId="4DFDDC8B">
      <w:pPr>
        <w:pStyle w:val="5"/>
        <w:numPr>
          <w:ilvl w:val="0"/>
          <w:numId w:val="0"/>
        </w:numPr>
        <w:ind w:leftChars="0"/>
        <w:jc w:val="left"/>
        <w:rPr>
          <w:sz w:val="28"/>
          <w:szCs w:val="28"/>
        </w:rPr>
      </w:pPr>
    </w:p>
    <w:p w14:paraId="2B964BAA">
      <w:pPr>
        <w:pStyle w:val="5"/>
        <w:numPr>
          <w:ilvl w:val="0"/>
          <w:numId w:val="0"/>
        </w:numPr>
        <w:ind w:leftChars="0"/>
        <w:jc w:val="left"/>
        <w:rPr>
          <w:sz w:val="28"/>
          <w:szCs w:val="28"/>
        </w:rPr>
      </w:pPr>
    </w:p>
    <w:p w14:paraId="022E6349">
      <w:pPr>
        <w:pStyle w:val="5"/>
        <w:numPr>
          <w:ilvl w:val="0"/>
          <w:numId w:val="0"/>
        </w:numPr>
        <w:ind w:leftChars="0"/>
        <w:jc w:val="left"/>
        <w:rPr>
          <w:sz w:val="28"/>
          <w:szCs w:val="28"/>
        </w:rPr>
      </w:pPr>
    </w:p>
    <w:p w14:paraId="690CA769">
      <w:pPr>
        <w:pStyle w:val="5"/>
        <w:numPr>
          <w:ilvl w:val="0"/>
          <w:numId w:val="0"/>
        </w:numPr>
        <w:ind w:leftChars="0"/>
        <w:jc w:val="left"/>
        <w:rPr>
          <w:sz w:val="28"/>
          <w:szCs w:val="28"/>
        </w:rPr>
      </w:pPr>
    </w:p>
    <w:p w14:paraId="4E92C67C">
      <w:pPr>
        <w:pStyle w:val="5"/>
        <w:numPr>
          <w:ilvl w:val="0"/>
          <w:numId w:val="0"/>
        </w:numPr>
        <w:ind w:leftChars="0"/>
        <w:jc w:val="left"/>
        <w:rPr>
          <w:sz w:val="28"/>
          <w:szCs w:val="28"/>
        </w:rPr>
      </w:pPr>
    </w:p>
    <w:p w14:paraId="1B963B74">
      <w:pPr>
        <w:pStyle w:val="5"/>
        <w:numPr>
          <w:ilvl w:val="0"/>
          <w:numId w:val="0"/>
        </w:numPr>
        <w:ind w:leftChars="0"/>
        <w:jc w:val="left"/>
        <w:rPr>
          <w:sz w:val="28"/>
          <w:szCs w:val="28"/>
        </w:rPr>
      </w:pPr>
    </w:p>
    <w:p w14:paraId="10B23203">
      <w:pPr>
        <w:pStyle w:val="5"/>
        <w:numPr>
          <w:ilvl w:val="0"/>
          <w:numId w:val="0"/>
        </w:numPr>
        <w:ind w:leftChars="0"/>
        <w:jc w:val="left"/>
        <w:rPr>
          <w:sz w:val="28"/>
          <w:szCs w:val="28"/>
        </w:rPr>
      </w:pPr>
    </w:p>
    <w:p w14:paraId="477E45C3">
      <w:pPr>
        <w:pStyle w:val="5"/>
        <w:numPr>
          <w:ilvl w:val="0"/>
          <w:numId w:val="0"/>
        </w:numPr>
        <w:ind w:leftChars="0"/>
        <w:jc w:val="left"/>
        <w:rPr>
          <w:sz w:val="28"/>
          <w:szCs w:val="28"/>
        </w:rPr>
      </w:pPr>
    </w:p>
    <w:p w14:paraId="1A263F36">
      <w:pPr>
        <w:pStyle w:val="5"/>
        <w:numPr>
          <w:ilvl w:val="0"/>
          <w:numId w:val="0"/>
        </w:numPr>
        <w:ind w:leftChars="0"/>
        <w:jc w:val="left"/>
        <w:rPr>
          <w:sz w:val="28"/>
          <w:szCs w:val="28"/>
        </w:rPr>
      </w:pPr>
    </w:p>
    <w:p w14:paraId="01246219">
      <w:pPr>
        <w:pStyle w:val="5"/>
        <w:numPr>
          <w:ilvl w:val="0"/>
          <w:numId w:val="0"/>
        </w:numPr>
        <w:ind w:leftChars="0"/>
        <w:jc w:val="left"/>
        <w:rPr>
          <w:sz w:val="28"/>
          <w:szCs w:val="28"/>
        </w:rPr>
      </w:pPr>
    </w:p>
    <w:p w14:paraId="5ADA9C2C">
      <w:pPr>
        <w:pStyle w:val="5"/>
        <w:numPr>
          <w:ilvl w:val="0"/>
          <w:numId w:val="0"/>
        </w:numPr>
        <w:ind w:leftChars="0"/>
        <w:jc w:val="left"/>
        <w:rPr>
          <w:sz w:val="28"/>
          <w:szCs w:val="28"/>
        </w:rPr>
      </w:pPr>
    </w:p>
    <w:p w14:paraId="795A3A82">
      <w:pPr>
        <w:pStyle w:val="5"/>
        <w:numPr>
          <w:ilvl w:val="0"/>
          <w:numId w:val="0"/>
        </w:numPr>
        <w:ind w:leftChars="0"/>
        <w:jc w:val="left"/>
        <w:rPr>
          <w:sz w:val="28"/>
          <w:szCs w:val="28"/>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8"/>
        <w:gridCol w:w="7626"/>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widowControl w:val="0"/>
              <w:spacing w:before="130" w:line="189" w:lineRule="auto"/>
              <w:ind w:left="139"/>
              <w:jc w:val="both"/>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5"/>
                <w:kern w:val="2"/>
                <w:sz w:val="20"/>
                <w:szCs w:val="20"/>
                <w:lang w:val="en-US" w:eastAsia="en-US" w:bidi="ar-SA"/>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5" w:hRule="atLeast"/>
          <w:jc w:val="center"/>
        </w:trPr>
        <w:tc>
          <w:tcPr>
            <w:tcW w:w="703" w:type="pct"/>
            <w:vAlign w:val="center"/>
          </w:tcPr>
          <w:p w14:paraId="32F7A628">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投标报价</w:t>
            </w:r>
          </w:p>
          <w:p w14:paraId="3B94D779">
            <w:pPr>
              <w:keepNext w:val="0"/>
              <w:keepLines w:val="0"/>
              <w:pageBreakBefore w:val="0"/>
              <w:widowControl/>
              <w:wordWrap/>
              <w:overflowPunct/>
              <w:topLinePunct w:val="0"/>
              <w:bidi w:val="0"/>
              <w:adjustRightInd w:val="0"/>
              <w:snapToGrid w:val="0"/>
              <w:spacing w:before="176" w:line="240" w:lineRule="exact"/>
              <w:ind w:left="125" w:firstLine="424" w:firstLineChars="200"/>
              <w:jc w:val="both"/>
              <w:textAlignment w:val="baseline"/>
              <w:outlineLvl w:val="0"/>
              <w:rPr>
                <w:rFonts w:hint="default" w:ascii="微软雅黑" w:hAnsi="微软雅黑" w:eastAsia="微软雅黑" w:cs="微软雅黑"/>
                <w:color w:val="FF0000"/>
                <w:spacing w:val="4"/>
                <w:kern w:val="2"/>
                <w:sz w:val="20"/>
                <w:szCs w:val="20"/>
                <w:highlight w:val="yellow"/>
                <w:lang w:val="en-US" w:eastAsia="zh-CN" w:bidi="ar-SA"/>
              </w:rPr>
            </w:pPr>
            <w:r>
              <w:rPr>
                <w:rFonts w:hint="eastAsia" w:ascii="微软雅黑" w:hAnsi="微软雅黑" w:eastAsia="微软雅黑" w:cs="微软雅黑"/>
                <w:spacing w:val="6"/>
                <w:kern w:val="2"/>
                <w:sz w:val="20"/>
                <w:szCs w:val="20"/>
                <w:lang w:val="en-US" w:eastAsia="zh-CN" w:bidi="ar-SA"/>
              </w:rPr>
              <w:t>要求</w:t>
            </w:r>
          </w:p>
        </w:tc>
        <w:tc>
          <w:tcPr>
            <w:tcW w:w="4296" w:type="pct"/>
            <w:vAlign w:val="top"/>
          </w:tcPr>
          <w:p w14:paraId="090435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1、报价必须含以下部分，包括：</w:t>
            </w:r>
          </w:p>
          <w:p w14:paraId="60709EF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（1）货物的价格；</w:t>
            </w:r>
          </w:p>
          <w:p w14:paraId="4876636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（2）必要的保险费用和各项税金；</w:t>
            </w:r>
          </w:p>
          <w:p w14:paraId="1884BF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交货时间</w:t>
            </w:r>
          </w:p>
          <w:p w14:paraId="2EFD21C7">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及地点</w:t>
            </w:r>
          </w:p>
        </w:tc>
        <w:tc>
          <w:tcPr>
            <w:tcW w:w="4296" w:type="pct"/>
            <w:vAlign w:val="top"/>
          </w:tcPr>
          <w:p w14:paraId="57EE72F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woUserID w:val="2"/>
              </w:rPr>
            </w:pPr>
            <w:r>
              <w:rPr>
                <w:rFonts w:hint="eastAsia" w:ascii="微软雅黑" w:hAnsi="微软雅黑" w:eastAsia="微软雅黑" w:cs="微软雅黑"/>
                <w:spacing w:val="6"/>
                <w:kern w:val="2"/>
                <w:sz w:val="20"/>
                <w:szCs w:val="20"/>
                <w:lang w:val="en-US" w:eastAsia="zh-CN" w:bidi="ar-SA"/>
                <w:woUserID w:val="2"/>
              </w:rPr>
              <w:t>1.交货期：合同签订后30天内，采购人电话通知中标人送货后，交货安装调试并正常运行。</w:t>
            </w:r>
          </w:p>
          <w:p w14:paraId="6A2AB24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Pr>
              <w:widowControl w:val="0"/>
              <w:jc w:val="both"/>
              <w:rPr>
                <w:rFonts w:ascii="Calibri" w:hAnsi="Calibri" w:eastAsia="宋体" w:cs="Times New Roman"/>
                <w:kern w:val="2"/>
                <w:szCs w:val="24"/>
                <w:lang w:val="en-US" w:eastAsia="zh-CN" w:bidi="ar-SA"/>
              </w:rPr>
            </w:pPr>
          </w:p>
          <w:p w14:paraId="6D33262D">
            <w:pPr>
              <w:widowControl w:val="0"/>
              <w:jc w:val="both"/>
              <w:rPr>
                <w:rFonts w:ascii="Calibri" w:hAnsi="Calibri" w:eastAsia="宋体" w:cs="Times New Roman"/>
                <w:kern w:val="2"/>
                <w:szCs w:val="24"/>
                <w:lang w:val="en-US" w:eastAsia="zh-CN" w:bidi="ar-SA"/>
              </w:rPr>
            </w:pPr>
          </w:p>
          <w:p w14:paraId="14D412E3">
            <w:pPr>
              <w:widowControl w:val="0"/>
              <w:spacing w:before="86" w:line="187" w:lineRule="auto"/>
              <w:jc w:val="both"/>
              <w:rPr>
                <w:rFonts w:ascii="微软雅黑" w:hAnsi="微软雅黑" w:eastAsia="微软雅黑" w:cs="微软雅黑"/>
                <w:spacing w:val="9"/>
                <w:kern w:val="2"/>
                <w:sz w:val="20"/>
                <w:szCs w:val="20"/>
                <w:lang w:val="en-US" w:eastAsia="en-US" w:bidi="ar-SA"/>
              </w:rPr>
            </w:pPr>
          </w:p>
          <w:p w14:paraId="7E7968B4">
            <w:pPr>
              <w:widowControl w:val="0"/>
              <w:spacing w:before="86" w:line="187" w:lineRule="auto"/>
              <w:jc w:val="center"/>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9"/>
                <w:kern w:val="2"/>
                <w:sz w:val="20"/>
                <w:szCs w:val="20"/>
                <w:lang w:val="en-US" w:eastAsia="en-US" w:bidi="ar-SA"/>
              </w:rPr>
              <w:t>质保期</w:t>
            </w:r>
          </w:p>
        </w:tc>
        <w:tc>
          <w:tcPr>
            <w:tcW w:w="4296" w:type="pct"/>
            <w:vAlign w:val="top"/>
          </w:tcPr>
          <w:p w14:paraId="433121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1.投标人应明确承诺：按国家有关产品“三包”规定执行“三包”，货物验收合格后，自安装验收合格之日起质保期≥3年，质保期内非人为损坏免费更换所有故障零 配件，并免费提供设备的系统软件及硬件的安全性改版升级和技术支持 ，确保设备 正常运行，质保期满后，终身维护。</w:t>
            </w:r>
          </w:p>
          <w:p w14:paraId="57EB2A2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2.要求投标货物是全新的、未经改装的、合格的、满足本项目技术需求及要求的 货物。所有零部件、配件必须是未经使用的全新的并符合国家有关质量安全标准的产 品。</w:t>
            </w:r>
          </w:p>
          <w:p w14:paraId="17415C4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3.质保期所更换的零配件必须是原厂全新的零配件 ，满足设备运行要求。</w:t>
            </w:r>
          </w:p>
          <w:p w14:paraId="78DEA07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4.质量保证期承诺优于国家“三包”规定的 ，或优于招标文件规定的，按投标人实际承诺执行。</w:t>
            </w:r>
          </w:p>
          <w:p w14:paraId="386BA9A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2889C634">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71181AB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4B6D23A3">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0E12FF07">
            <w:pPr>
              <w:widowControl w:val="0"/>
              <w:spacing w:before="178" w:line="190" w:lineRule="auto"/>
              <w:ind w:left="125"/>
              <w:jc w:val="center"/>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4"/>
                <w:kern w:val="2"/>
                <w:sz w:val="20"/>
                <w:szCs w:val="20"/>
                <w:lang w:val="en-US" w:eastAsia="zh-CN" w:bidi="ar-SA"/>
              </w:rPr>
              <w:t>售后服务要求</w:t>
            </w:r>
          </w:p>
        </w:tc>
        <w:tc>
          <w:tcPr>
            <w:tcW w:w="4296" w:type="pct"/>
            <w:vAlign w:val="top"/>
          </w:tcPr>
          <w:p w14:paraId="172CF1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提供 7*24 小时售后服务，接到采购人通知后 2 小时内作出实质响应（远程解决或做出预备维护动作），并在 24 小时内恢复设备运行；</w:t>
            </w:r>
          </w:p>
          <w:p w14:paraId="613AD2F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，在无相同型号的同种设备时，则应更换同类设备中较高型号的产品。所产生的的费用，均包含在本次采购报价中，采购人不再承担任何费用。（在大型设备中不适用）</w:t>
            </w:r>
          </w:p>
          <w:p w14:paraId="73C6B2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设备保修期（质保期）内因售后服务（包括但不限于原厂商服务和非原厂商服务，其中硬件的售后服务包括但不限于，硬件维护维修、配件更换、整机更换、硬件升级、提供替代品（大型设备不适用）；应用软件的售后服务包括但不限于应用软件维护升级以及非结构性修改）所产生的的费用 ，均包含在本次采购报价中 ，采购人不再承担任何费用。</w:t>
            </w:r>
          </w:p>
          <w:p w14:paraId="0E5BA4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6.设备保修期内，中标供应商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医疗器械</w:t>
            </w:r>
          </w:p>
          <w:p w14:paraId="73BF498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4"/>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注册证</w:t>
            </w:r>
          </w:p>
        </w:tc>
        <w:tc>
          <w:tcPr>
            <w:tcW w:w="4296" w:type="pct"/>
            <w:vAlign w:val="top"/>
          </w:tcPr>
          <w:p w14:paraId="5D92B06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widowControl w:val="0"/>
              <w:jc w:val="both"/>
              <w:rPr>
                <w:rFonts w:hint="eastAsia" w:ascii="微软雅黑" w:hAnsi="微软雅黑" w:eastAsia="微软雅黑" w:cs="微软雅黑"/>
                <w:spacing w:val="6"/>
                <w:kern w:val="2"/>
                <w:sz w:val="20"/>
                <w:szCs w:val="20"/>
                <w:lang w:val="en-US" w:eastAsia="zh-CN" w:bidi="ar-SA"/>
              </w:rPr>
            </w:pPr>
          </w:p>
          <w:p w14:paraId="697FF60F">
            <w:pPr>
              <w:widowControl w:val="0"/>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履约保证金</w:t>
            </w:r>
          </w:p>
        </w:tc>
        <w:tc>
          <w:tcPr>
            <w:tcW w:w="4296" w:type="pct"/>
            <w:vAlign w:val="top"/>
          </w:tcPr>
          <w:p w14:paraId="6C15FAA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BE5F3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41184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626995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7A463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验收标准、验收方法及方案</w:t>
            </w:r>
          </w:p>
        </w:tc>
        <w:tc>
          <w:tcPr>
            <w:tcW w:w="4296" w:type="pct"/>
            <w:shd w:val="clear" w:color="auto" w:fill="auto"/>
            <w:vAlign w:val="top"/>
          </w:tcPr>
          <w:p w14:paraId="038407C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1.中标人提供不符合公告规定的、采购文件、投标文件承诺的或本合同规定的货物，采购人有权拒绝接受。</w:t>
            </w:r>
          </w:p>
          <w:p w14:paraId="5E9D149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2.中标人应将所提供货物的装箱清单、用户手册、原厂保修卡、随机资料、工具和备品、备件、验收单等交付给采购人 ，如有缺失应在采购人要求的期限内及时补齐 ，否则视为 逾期交货。</w:t>
            </w:r>
          </w:p>
          <w:p w14:paraId="7C3F22A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6.中标供应商提供的货物或服务未达到招标文件规定要求，且对采购人造成损失的，由中标供应商承担一切责任，并赔偿所造成的损失。</w:t>
            </w:r>
          </w:p>
          <w:p w14:paraId="570E38C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7.采购人需要制造商对中标供应商交付的产品或服务（包括质量、参数等）进行确认的，制造商应予以配合并出具书面意见，相关配合事项由中标供应商与制造商协调。</w:t>
            </w:r>
          </w:p>
          <w:p w14:paraId="7B4CC72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4A22CA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1AE6F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AD5FBA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63F8E3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08D5EB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C62621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E134FA3">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其它要求</w:t>
            </w:r>
          </w:p>
        </w:tc>
        <w:tc>
          <w:tcPr>
            <w:tcW w:w="4296" w:type="pct"/>
            <w:shd w:val="clear" w:color="auto" w:fill="auto"/>
            <w:vAlign w:val="top"/>
          </w:tcPr>
          <w:p w14:paraId="36D8F3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1</w:t>
            </w:r>
            <w:r>
              <w:rPr>
                <w:rFonts w:hint="eastAsia" w:ascii="微软雅黑" w:hAnsi="微软雅黑" w:eastAsia="微软雅黑" w:cs="微软雅黑"/>
                <w:spacing w:val="6"/>
                <w:kern w:val="2"/>
                <w:sz w:val="20"/>
                <w:szCs w:val="20"/>
                <w:lang w:val="en-US" w:eastAsia="zh-CN" w:bidi="ar-SA"/>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2</w:t>
            </w:r>
            <w:r>
              <w:rPr>
                <w:rFonts w:hint="eastAsia" w:ascii="微软雅黑" w:hAnsi="微软雅黑" w:eastAsia="微软雅黑" w:cs="微软雅黑"/>
                <w:spacing w:val="6"/>
                <w:kern w:val="2"/>
                <w:sz w:val="20"/>
                <w:szCs w:val="20"/>
                <w:lang w:val="en-US" w:eastAsia="zh-CN" w:bidi="ar-SA"/>
              </w:rPr>
              <w:t>中标人在供货时必须提供所投标产品生产厂家合法授权的厂家代理商出具的授权书 ，原件备查。</w:t>
            </w:r>
          </w:p>
          <w:p w14:paraId="38512CB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3</w:t>
            </w:r>
            <w:r>
              <w:rPr>
                <w:rFonts w:hint="eastAsia" w:ascii="微软雅黑" w:hAnsi="微软雅黑" w:eastAsia="微软雅黑" w:cs="微软雅黑"/>
                <w:spacing w:val="6"/>
                <w:kern w:val="2"/>
                <w:sz w:val="20"/>
                <w:szCs w:val="20"/>
                <w:lang w:val="en-US" w:eastAsia="zh-CN" w:bidi="ar-SA"/>
              </w:rPr>
              <w:t>.中标人逾期交货的，每天向采购人偿付违约货款额0.5‰违约金，超过15天采购人有权解除合同，中标人应按合同总金额的30%向采购人支付违约金，并承担因此给采购人造成经济损失。</w:t>
            </w:r>
          </w:p>
          <w:p w14:paraId="5D33D0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4</w:t>
            </w:r>
            <w:r>
              <w:rPr>
                <w:rFonts w:hint="eastAsia" w:ascii="微软雅黑" w:hAnsi="微软雅黑" w:eastAsia="微软雅黑" w:cs="微软雅黑"/>
                <w:spacing w:val="6"/>
                <w:kern w:val="2"/>
                <w:sz w:val="20"/>
                <w:szCs w:val="20"/>
                <w:lang w:val="en-US" w:eastAsia="zh-CN" w:bidi="ar-SA"/>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如供应商投标的产品为进口产品的，要求原厂商或区域总代理商出具的针对本项目的授权书，否则投标无效。</w:t>
            </w:r>
          </w:p>
          <w:p w14:paraId="209E76D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5</w:t>
            </w:r>
            <w:r>
              <w:rPr>
                <w:rFonts w:hint="eastAsia" w:ascii="微软雅黑" w:hAnsi="微软雅黑" w:eastAsia="微软雅黑" w:cs="微软雅黑"/>
                <w:spacing w:val="6"/>
                <w:kern w:val="2"/>
                <w:sz w:val="20"/>
                <w:szCs w:val="20"/>
                <w:lang w:val="en-US" w:eastAsia="zh-CN" w:bidi="ar-SA"/>
              </w:rPr>
              <w:t>.在安装期间，未按安全文明作业规范要求进行的，尤其是违犯工完场清和禁烟规定的，限期整改不合格的，视情节严重情况扣除合同款费用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 xml:space="preserve">次。 </w:t>
            </w:r>
          </w:p>
          <w:p w14:paraId="0016EFB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6</w:t>
            </w:r>
            <w:r>
              <w:rPr>
                <w:rFonts w:hint="eastAsia" w:ascii="微软雅黑" w:hAnsi="微软雅黑" w:eastAsia="微软雅黑" w:cs="微软雅黑"/>
                <w:spacing w:val="6"/>
                <w:kern w:val="2"/>
                <w:sz w:val="20"/>
                <w:szCs w:val="20"/>
                <w:lang w:val="en-US" w:eastAsia="zh-CN" w:bidi="ar-SA"/>
              </w:rPr>
              <w:t>.发生其他安装和维保不合格情况的，限期整改不合格的，视情节严重情况扣除合同款费用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次。情节特别严重，导致项目无法实施的，采购人免责终止本项目合同。</w:t>
            </w:r>
          </w:p>
          <w:p w14:paraId="4C2126E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tc>
      </w:tr>
    </w:tbl>
    <w:p w14:paraId="7AEE640D">
      <w:pPr>
        <w:pStyle w:val="5"/>
        <w:numPr>
          <w:ilvl w:val="0"/>
          <w:numId w:val="0"/>
        </w:numPr>
        <w:ind w:leftChars="0"/>
        <w:jc w:val="left"/>
        <w:rPr>
          <w:rFonts w:hint="eastAsia"/>
          <w:sz w:val="28"/>
          <w:szCs w:val="28"/>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CF"/>
    <w:rsid w:val="00A66ED3"/>
    <w:rsid w:val="00A67E0B"/>
    <w:rsid w:val="00B85E3D"/>
    <w:rsid w:val="00D3649C"/>
    <w:rsid w:val="00D95D84"/>
    <w:rsid w:val="00DC20CF"/>
    <w:rsid w:val="00F01C07"/>
    <w:rsid w:val="00FF723C"/>
    <w:rsid w:val="02071DD7"/>
    <w:rsid w:val="08392308"/>
    <w:rsid w:val="463B050F"/>
    <w:rsid w:val="4CCD100D"/>
    <w:rsid w:val="4E972A3A"/>
    <w:rsid w:val="534D0939"/>
    <w:rsid w:val="616D20F2"/>
    <w:rsid w:val="6242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Words>
  <Characters>108</Characters>
  <Lines>1</Lines>
  <Paragraphs>1</Paragraphs>
  <TotalTime>0</TotalTime>
  <ScaleCrop>false</ScaleCrop>
  <LinksUpToDate>false</LinksUpToDate>
  <CharactersWithSpaces>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2025-08-22T03:20:00Z</dcterms:created>
  <dc:creator>iv114</dc:creator>
  <cp:lastModifiedBy>福记</cp:lastModifiedBy>
  <dcterms:modified xsi:type="dcterms:W3CDTF">2025-08-29T08:33:28Z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eyJoZGlkIjoiOGUxNzZkMmQ3N2IyYzdlZDQxMzZlOTA3MjhlYmU3MTIiLCJ1c2VySWQiOiI2ODUyMTk1ODMifQ==</vt:lpwstr>
  </property>
  <property fmtid="{D5CDD505-2E9C-101B-9397-08002B2CF9AE}" pid="3" name="KSOProductBuildVer">
    <vt:lpwstr>2052-12.1.0.22529</vt:lpwstr>
  </property>
  <property fmtid="{D5CDD505-2E9C-101B-9397-08002B2CF9AE}" pid="4" name="ICV">
    <vt:lpwstr>C46B7E13EAEB4B70B32404DD645C4516_12</vt:lpwstr>
  </property>
</Properties>
</file>