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1FA57">
      <w:pPr>
        <w:rPr>
          <w:rFonts w:hint="default"/>
          <w:sz w:val="30"/>
          <w:szCs w:val="30"/>
          <w:lang w:val="en-US" w:eastAsia="zh-CN"/>
        </w:rPr>
      </w:pPr>
      <w:r>
        <w:rPr>
          <w:rFonts w:hint="eastAsia"/>
          <w:sz w:val="30"/>
          <w:szCs w:val="30"/>
          <w:lang w:val="en-US" w:eastAsia="zh-CN"/>
        </w:rPr>
        <w:t>全自动加压冷热敷治疗仪需求参数：</w:t>
      </w:r>
    </w:p>
    <w:p w14:paraId="0F71BEB7">
      <w:pPr>
        <w:rPr>
          <w:rFonts w:hint="eastAsia"/>
        </w:rPr>
      </w:pPr>
      <w:r>
        <w:rPr>
          <w:rFonts w:hint="eastAsia" w:ascii="宋体" w:hAnsi="宋体" w:eastAsia="宋体" w:cs="宋体"/>
          <w:lang w:val="en-US" w:eastAsia="zh-CN"/>
        </w:rPr>
        <w:t>▲</w:t>
      </w:r>
      <w:r>
        <w:rPr>
          <w:rFonts w:hint="eastAsia"/>
          <w:lang w:val="en-US" w:eastAsia="zh-CN"/>
        </w:rPr>
        <w:t>1、</w:t>
      </w:r>
      <w:r>
        <w:rPr>
          <w:rFonts w:hint="eastAsia"/>
        </w:rPr>
        <w:t>适用于软组织损伤、骨折术前术后及关节置换术后所引起的局部肿胀、疼痛症状的辅助治疗。</w:t>
      </w:r>
    </w:p>
    <w:p w14:paraId="4F81C80B">
      <w:pPr>
        <w:rPr>
          <w:rFonts w:hint="eastAsia"/>
        </w:rPr>
      </w:pPr>
      <w:r>
        <w:rPr>
          <w:rFonts w:hint="eastAsia"/>
          <w:lang w:val="en-US" w:eastAsia="zh-CN"/>
        </w:rPr>
        <w:t>2、具备</w:t>
      </w:r>
      <w:r>
        <w:rPr>
          <w:rFonts w:hint="eastAsia"/>
        </w:rPr>
        <w:t>温度控制系统</w:t>
      </w:r>
    </w:p>
    <w:p w14:paraId="5CD18CEE">
      <w:pPr>
        <w:rPr>
          <w:rFonts w:hint="eastAsia"/>
        </w:rPr>
      </w:pPr>
      <w:r>
        <w:rPr>
          <w:rFonts w:hint="eastAsia"/>
          <w:lang w:val="en-US" w:eastAsia="zh-CN"/>
        </w:rPr>
        <w:t>2.1具备至少7英寸</w:t>
      </w:r>
      <w:r>
        <w:rPr>
          <w:rFonts w:hint="eastAsia"/>
        </w:rPr>
        <w:t>彩色液晶触摸屏。</w:t>
      </w:r>
    </w:p>
    <w:p w14:paraId="535B0677">
      <w:pPr>
        <w:rPr>
          <w:rFonts w:hint="eastAsia"/>
        </w:rPr>
      </w:pPr>
      <w:r>
        <w:rPr>
          <w:rFonts w:hint="eastAsia" w:ascii="宋体" w:hAnsi="宋体" w:eastAsia="宋体" w:cs="宋体"/>
          <w:lang w:val="en-US" w:eastAsia="zh-CN"/>
        </w:rPr>
        <w:t>▲</w:t>
      </w:r>
      <w:r>
        <w:rPr>
          <w:rFonts w:hint="eastAsia"/>
          <w:lang w:val="en-US" w:eastAsia="zh-CN"/>
        </w:rPr>
        <w:t>2.2</w:t>
      </w:r>
      <w:r>
        <w:rPr>
          <w:rFonts w:hint="eastAsia"/>
        </w:rPr>
        <w:t>温度范围</w:t>
      </w:r>
      <w:r>
        <w:rPr>
          <w:rFonts w:hint="eastAsia"/>
          <w:lang w:val="en-US" w:eastAsia="zh-CN"/>
        </w:rPr>
        <w:t>至少涵盖</w:t>
      </w:r>
      <w:r>
        <w:rPr>
          <w:rFonts w:hint="eastAsia"/>
        </w:rPr>
        <w:t>4.0℃～42.0℃，满足临床对冷敷、热敷需求。</w:t>
      </w:r>
    </w:p>
    <w:p w14:paraId="2D15C5E7">
      <w:pPr>
        <w:rPr>
          <w:rFonts w:hint="eastAsia" w:eastAsiaTheme="minorEastAsia"/>
          <w:lang w:val="en-US" w:eastAsia="zh-CN"/>
        </w:rPr>
      </w:pPr>
      <w:r>
        <w:rPr>
          <w:rFonts w:hint="eastAsia"/>
          <w:lang w:val="en-US" w:eastAsia="zh-CN"/>
        </w:rPr>
        <w:t>2.3</w:t>
      </w:r>
      <w:r>
        <w:rPr>
          <w:rFonts w:hint="eastAsia"/>
        </w:rPr>
        <w:t>采用智能温控保护系统，表面温度不高</w:t>
      </w:r>
      <w:r>
        <w:rPr>
          <w:rFonts w:hint="eastAsia"/>
          <w:lang w:val="en-US" w:eastAsia="zh-CN"/>
        </w:rPr>
        <w:t>于</w:t>
      </w:r>
      <w:r>
        <w:rPr>
          <w:rFonts w:hint="eastAsia"/>
        </w:rPr>
        <w:t>42℃</w:t>
      </w:r>
      <w:r>
        <w:rPr>
          <w:rFonts w:hint="eastAsia"/>
          <w:lang w:eastAsia="zh-CN"/>
        </w:rPr>
        <w:t>。</w:t>
      </w:r>
    </w:p>
    <w:p w14:paraId="23B6C30B">
      <w:pPr>
        <w:rPr>
          <w:rFonts w:hint="eastAsia"/>
        </w:rPr>
      </w:pPr>
      <w:r>
        <w:rPr>
          <w:rFonts w:hint="eastAsia"/>
          <w:lang w:val="en-US" w:eastAsia="zh-CN"/>
        </w:rPr>
        <w:t>3.</w:t>
      </w:r>
      <w:r>
        <w:rPr>
          <w:rFonts w:hint="eastAsia"/>
        </w:rPr>
        <w:t>多模式加压功能</w:t>
      </w:r>
    </w:p>
    <w:p w14:paraId="797E0346">
      <w:pPr>
        <w:rPr>
          <w:rFonts w:hint="eastAsia" w:eastAsiaTheme="minorEastAsia"/>
          <w:lang w:eastAsia="zh-CN"/>
        </w:rPr>
      </w:pPr>
      <w:r>
        <w:rPr>
          <w:rFonts w:hint="eastAsia"/>
        </w:rPr>
        <w:t>▲</w:t>
      </w:r>
      <w:r>
        <w:rPr>
          <w:rFonts w:hint="eastAsia"/>
          <w:lang w:val="en-US" w:eastAsia="zh-CN"/>
        </w:rPr>
        <w:t>3.1至少</w:t>
      </w:r>
      <w:r>
        <w:rPr>
          <w:rFonts w:hint="eastAsia"/>
        </w:rPr>
        <w:t>七种不同加压脉动模式，循环周期不低于15 秒</w:t>
      </w:r>
      <w:r>
        <w:rPr>
          <w:rFonts w:hint="eastAsia"/>
          <w:lang w:eastAsia="zh-CN"/>
        </w:rPr>
        <w:t>。</w:t>
      </w:r>
    </w:p>
    <w:p w14:paraId="390B3005">
      <w:pPr>
        <w:rPr>
          <w:rFonts w:hint="eastAsia"/>
        </w:rPr>
      </w:pPr>
      <w:r>
        <w:rPr>
          <w:rFonts w:hint="eastAsia"/>
          <w:lang w:val="en-US" w:eastAsia="zh-CN"/>
        </w:rPr>
        <w:t>3.2</w:t>
      </w:r>
      <w:r>
        <w:rPr>
          <w:rFonts w:hint="eastAsia"/>
        </w:rPr>
        <w:t xml:space="preserve"> 实时显示监测压力。</w:t>
      </w:r>
    </w:p>
    <w:p w14:paraId="79937E34">
      <w:pPr>
        <w:rPr>
          <w:rFonts w:hint="eastAsia"/>
        </w:rPr>
      </w:pPr>
      <w:r>
        <w:rPr>
          <w:rFonts w:hint="eastAsia"/>
        </w:rPr>
        <w:t>▲</w:t>
      </w:r>
      <w:r>
        <w:rPr>
          <w:rFonts w:hint="eastAsia"/>
          <w:lang w:val="en-US" w:eastAsia="zh-CN"/>
        </w:rPr>
        <w:t>3.3</w:t>
      </w:r>
      <w:r>
        <w:rPr>
          <w:rFonts w:hint="eastAsia"/>
        </w:rPr>
        <w:t>最大脉动加压压力不低于 45kPa。</w:t>
      </w:r>
    </w:p>
    <w:p w14:paraId="1DC97B7D">
      <w:pPr>
        <w:rPr>
          <w:rFonts w:hint="eastAsia" w:eastAsiaTheme="minorEastAsia"/>
          <w:lang w:eastAsia="zh-CN"/>
        </w:rPr>
      </w:pPr>
      <w:r>
        <w:rPr>
          <w:rFonts w:hint="eastAsia"/>
          <w:lang w:val="en-US" w:eastAsia="zh-CN"/>
        </w:rPr>
        <w:t>4.具备</w:t>
      </w:r>
      <w:r>
        <w:rPr>
          <w:rFonts w:hint="eastAsia"/>
        </w:rPr>
        <w:t>堵塞检测报警功能</w:t>
      </w:r>
      <w:r>
        <w:rPr>
          <w:rFonts w:hint="eastAsia"/>
          <w:lang w:eastAsia="zh-CN"/>
        </w:rPr>
        <w:t>，</w:t>
      </w:r>
      <w:r>
        <w:rPr>
          <w:rFonts w:hint="eastAsia"/>
        </w:rPr>
        <w:t>适用于四肢及关节等部位</w:t>
      </w:r>
      <w:r>
        <w:rPr>
          <w:rFonts w:hint="eastAsia"/>
          <w:lang w:eastAsia="zh-CN"/>
        </w:rPr>
        <w:t>。</w:t>
      </w:r>
    </w:p>
    <w:p w14:paraId="22D6914F">
      <w:pPr>
        <w:rPr>
          <w:rFonts w:hint="eastAsia"/>
        </w:rPr>
      </w:pPr>
      <w:r>
        <w:rPr>
          <w:rFonts w:hint="eastAsia"/>
          <w:lang w:val="en-US" w:eastAsia="zh-CN"/>
        </w:rPr>
        <w:t>5</w:t>
      </w:r>
      <w:r>
        <w:rPr>
          <w:rFonts w:hint="eastAsia"/>
        </w:rPr>
        <w:t>.</w:t>
      </w:r>
      <w:r>
        <w:rPr>
          <w:rFonts w:hint="eastAsia"/>
          <w:lang w:val="en-US" w:eastAsia="zh-CN"/>
        </w:rPr>
        <w:t>具备</w:t>
      </w:r>
      <w:r>
        <w:rPr>
          <w:rFonts w:hint="eastAsia"/>
        </w:rPr>
        <w:t>温度监测功能：</w:t>
      </w:r>
    </w:p>
    <w:p w14:paraId="0D827EDD">
      <w:pPr>
        <w:rPr>
          <w:rFonts w:hint="eastAsia"/>
        </w:rPr>
      </w:pPr>
      <w:r>
        <w:rPr>
          <w:rFonts w:hint="eastAsia" w:ascii="宋体" w:hAnsi="宋体" w:eastAsia="宋体" w:cs="宋体"/>
          <w:lang w:val="en-US" w:eastAsia="zh-CN"/>
        </w:rPr>
        <w:t>▲</w:t>
      </w:r>
      <w:r>
        <w:rPr>
          <w:rFonts w:hint="eastAsia"/>
          <w:lang w:val="en-US" w:eastAsia="zh-CN"/>
        </w:rPr>
        <w:t>5</w:t>
      </w:r>
      <w:r>
        <w:rPr>
          <w:rFonts w:hint="eastAsia"/>
        </w:rPr>
        <w:t>.1 体温监测范围</w:t>
      </w:r>
      <w:r>
        <w:rPr>
          <w:rFonts w:hint="eastAsia"/>
          <w:lang w:val="en-US" w:eastAsia="zh-CN"/>
        </w:rPr>
        <w:t>至少</w:t>
      </w:r>
      <w:r>
        <w:rPr>
          <w:rFonts w:hint="eastAsia"/>
        </w:rPr>
        <w:t>为： 30℃-41℃。</w:t>
      </w:r>
    </w:p>
    <w:p w14:paraId="4C0F3EA2">
      <w:pPr>
        <w:rPr>
          <w:rFonts w:hint="eastAsia"/>
        </w:rPr>
      </w:pPr>
      <w:r>
        <w:rPr>
          <w:rFonts w:hint="eastAsia"/>
          <w:lang w:val="en-US" w:eastAsia="zh-CN"/>
        </w:rPr>
        <w:t>5</w:t>
      </w:r>
      <w:r>
        <w:rPr>
          <w:rFonts w:hint="eastAsia"/>
        </w:rPr>
        <w:t>.2 体温探头双槽卡座，防止误插及脱落。</w:t>
      </w:r>
    </w:p>
    <w:p w14:paraId="7585508C">
      <w:pPr>
        <w:rPr>
          <w:rFonts w:hint="eastAsia"/>
        </w:rPr>
      </w:pPr>
      <w:r>
        <w:rPr>
          <w:rFonts w:hint="eastAsia"/>
          <w:lang w:val="en-US" w:eastAsia="zh-CN"/>
        </w:rPr>
        <w:t>6</w:t>
      </w:r>
      <w:r>
        <w:rPr>
          <w:rFonts w:hint="eastAsia"/>
        </w:rPr>
        <w:t>.</w:t>
      </w:r>
      <w:r>
        <w:rPr>
          <w:rFonts w:hint="eastAsia"/>
          <w:lang w:val="en-US" w:eastAsia="zh-CN"/>
        </w:rPr>
        <w:t>具备</w:t>
      </w:r>
      <w:r>
        <w:rPr>
          <w:rFonts w:hint="eastAsia"/>
        </w:rPr>
        <w:t>定时功能</w:t>
      </w:r>
      <w:r>
        <w:rPr>
          <w:rFonts w:hint="eastAsia"/>
          <w:lang w:eastAsia="zh-CN"/>
        </w:rPr>
        <w:t>，</w:t>
      </w:r>
      <w:r>
        <w:rPr>
          <w:rFonts w:hint="eastAsia"/>
        </w:rPr>
        <w:t>定时范围</w:t>
      </w:r>
      <w:r>
        <w:rPr>
          <w:rFonts w:hint="eastAsia"/>
          <w:lang w:val="en-US" w:eastAsia="zh-CN"/>
        </w:rPr>
        <w:t>至少</w:t>
      </w:r>
      <w:r>
        <w:rPr>
          <w:rFonts w:hint="eastAsia"/>
        </w:rPr>
        <w:t>为： 1-</w:t>
      </w:r>
      <w:r>
        <w:rPr>
          <w:rFonts w:hint="eastAsia"/>
          <w:lang w:val="en-US" w:eastAsia="zh-CN"/>
        </w:rPr>
        <w:t>90</w:t>
      </w:r>
      <w:r>
        <w:rPr>
          <w:rFonts w:hint="eastAsia"/>
        </w:rPr>
        <w:t>0min，调整级差为 1min。</w:t>
      </w:r>
    </w:p>
    <w:p w14:paraId="7816D81C">
      <w:pPr>
        <w:rPr>
          <w:rFonts w:hint="eastAsia"/>
        </w:rPr>
      </w:pPr>
      <w:r>
        <w:rPr>
          <w:rFonts w:hint="eastAsia"/>
          <w:lang w:val="en-US" w:eastAsia="zh-CN"/>
        </w:rPr>
        <w:t>7</w:t>
      </w:r>
      <w:r>
        <w:rPr>
          <w:rFonts w:hint="eastAsia"/>
        </w:rPr>
        <w:t>.</w:t>
      </w:r>
      <w:r>
        <w:rPr>
          <w:rFonts w:hint="eastAsia"/>
          <w:lang w:val="en-US" w:eastAsia="zh-CN"/>
        </w:rPr>
        <w:t>具备</w:t>
      </w:r>
      <w:r>
        <w:rPr>
          <w:rFonts w:hint="eastAsia"/>
        </w:rPr>
        <w:t>音乐治疗功能</w:t>
      </w:r>
      <w:r>
        <w:rPr>
          <w:rFonts w:hint="eastAsia"/>
          <w:lang w:eastAsia="zh-CN"/>
        </w:rPr>
        <w:t>，</w:t>
      </w:r>
      <w:r>
        <w:rPr>
          <w:rFonts w:hint="eastAsia"/>
        </w:rPr>
        <w:t>内置</w:t>
      </w:r>
      <w:r>
        <w:rPr>
          <w:rFonts w:hint="eastAsia"/>
          <w:lang w:val="en-US" w:eastAsia="zh-CN"/>
        </w:rPr>
        <w:t>至少</w:t>
      </w:r>
      <w:r>
        <w:rPr>
          <w:rFonts w:hint="eastAsia"/>
        </w:rPr>
        <w:t>1</w:t>
      </w:r>
      <w:r>
        <w:rPr>
          <w:rFonts w:hint="eastAsia"/>
          <w:lang w:val="en-US" w:eastAsia="zh-CN"/>
        </w:rPr>
        <w:t>5</w:t>
      </w:r>
      <w:r>
        <w:rPr>
          <w:rFonts w:hint="eastAsia"/>
        </w:rPr>
        <w:t>首以上辅助康复治疗名曲，循环播放，支持更换和拓展。</w:t>
      </w:r>
    </w:p>
    <w:p w14:paraId="2236EC90">
      <w:pPr>
        <w:rPr>
          <w:rFonts w:hint="eastAsia"/>
          <w:lang w:eastAsia="zh-CN"/>
        </w:rPr>
      </w:pPr>
      <w:r>
        <w:rPr>
          <w:rFonts w:hint="eastAsia" w:ascii="宋体" w:hAnsi="宋体" w:eastAsia="宋体" w:cs="宋体"/>
          <w:lang w:val="en-US" w:eastAsia="zh-CN"/>
        </w:rPr>
        <w:t>▲</w:t>
      </w:r>
      <w:r>
        <w:rPr>
          <w:rFonts w:hint="eastAsia"/>
          <w:lang w:val="en-US" w:eastAsia="zh-CN"/>
        </w:rPr>
        <w:t>8.</w:t>
      </w:r>
      <w:r>
        <w:rPr>
          <w:rFonts w:hint="eastAsia"/>
        </w:rPr>
        <w:t xml:space="preserve"> 噪声：≤55 分贝</w:t>
      </w:r>
      <w:r>
        <w:rPr>
          <w:rFonts w:hint="eastAsia"/>
          <w:lang w:eastAsia="zh-CN"/>
        </w:rPr>
        <w:t>。</w:t>
      </w:r>
    </w:p>
    <w:p w14:paraId="35BBD26D">
      <w:pPr>
        <w:rPr>
          <w:rFonts w:hint="eastAsia"/>
          <w:lang w:val="en-US" w:eastAsia="zh-CN"/>
        </w:rPr>
      </w:pPr>
      <w:r>
        <w:rPr>
          <w:rFonts w:hint="eastAsia"/>
          <w:lang w:val="en-US" w:eastAsia="zh-CN"/>
        </w:rPr>
        <w:t>9、采用航天级半导体制冷技术。</w:t>
      </w:r>
    </w:p>
    <w:p w14:paraId="779E2D51">
      <w:pPr>
        <w:rPr>
          <w:rFonts w:hint="eastAsia"/>
          <w:lang w:val="en-US" w:eastAsia="zh-CN"/>
        </w:rPr>
      </w:pPr>
      <w:r>
        <w:rPr>
          <w:rFonts w:hint="eastAsia"/>
          <w:lang w:val="en-US" w:eastAsia="zh-CN"/>
        </w:rPr>
        <w:t>10、使用年限至少5年。</w:t>
      </w:r>
    </w:p>
    <w:p w14:paraId="579EB0EC">
      <w:pPr>
        <w:rPr>
          <w:rFonts w:hint="eastAsia"/>
          <w:lang w:val="en-US" w:eastAsia="zh-CN"/>
        </w:rPr>
      </w:pPr>
      <w:bookmarkStart w:id="0" w:name="_GoBack"/>
      <w:bookmarkEnd w:id="0"/>
    </w:p>
    <w:p w14:paraId="58801BE7">
      <w:pPr>
        <w:rPr>
          <w:rFonts w:hint="eastAsia"/>
        </w:rPr>
      </w:pPr>
      <w:r>
        <w:rPr>
          <w:rFonts w:hint="eastAsia"/>
        </w:rPr>
        <w:t>配置要求：</w:t>
      </w:r>
    </w:p>
    <w:p w14:paraId="281992D9">
      <w:pPr>
        <w:rPr>
          <w:rFonts w:hint="eastAsia"/>
        </w:rPr>
      </w:pPr>
      <w:r>
        <w:rPr>
          <w:rFonts w:hint="eastAsia"/>
        </w:rPr>
        <w:t xml:space="preserve">1 主机 </w:t>
      </w:r>
      <w:r>
        <w:rPr>
          <w:rFonts w:hint="eastAsia"/>
          <w:lang w:val="en-US" w:eastAsia="zh-CN"/>
        </w:rPr>
        <w:t>1</w:t>
      </w:r>
      <w:r>
        <w:rPr>
          <w:rFonts w:hint="eastAsia"/>
        </w:rPr>
        <w:t xml:space="preserve">台 </w:t>
      </w:r>
    </w:p>
    <w:p w14:paraId="6D93F2D8">
      <w:pPr>
        <w:rPr>
          <w:rFonts w:hint="eastAsia"/>
        </w:rPr>
      </w:pPr>
      <w:r>
        <w:rPr>
          <w:rFonts w:hint="eastAsia"/>
        </w:rPr>
        <w:t xml:space="preserve">2 水路连接管 </w:t>
      </w:r>
      <w:r>
        <w:rPr>
          <w:rFonts w:hint="eastAsia"/>
          <w:lang w:val="en-US" w:eastAsia="zh-CN"/>
        </w:rPr>
        <w:t>1</w:t>
      </w:r>
      <w:r>
        <w:rPr>
          <w:rFonts w:hint="eastAsia"/>
        </w:rPr>
        <w:t xml:space="preserve">根 </w:t>
      </w:r>
    </w:p>
    <w:p w14:paraId="67D14DE5">
      <w:pPr>
        <w:rPr>
          <w:rFonts w:hint="eastAsia"/>
        </w:rPr>
      </w:pPr>
      <w:r>
        <w:rPr>
          <w:rFonts w:hint="eastAsia"/>
        </w:rPr>
        <w:t xml:space="preserve">3 体温传感器 </w:t>
      </w:r>
      <w:r>
        <w:rPr>
          <w:rFonts w:hint="eastAsia"/>
          <w:lang w:val="en-US" w:eastAsia="zh-CN"/>
        </w:rPr>
        <w:t>1</w:t>
      </w:r>
      <w:r>
        <w:rPr>
          <w:rFonts w:hint="eastAsia"/>
        </w:rPr>
        <w:t xml:space="preserve">根 </w:t>
      </w:r>
    </w:p>
    <w:p w14:paraId="5EFDDE64">
      <w:pPr>
        <w:rPr>
          <w:rFonts w:hint="eastAsia"/>
        </w:rPr>
      </w:pPr>
      <w:r>
        <w:rPr>
          <w:rFonts w:hint="eastAsia"/>
        </w:rPr>
        <w:t xml:space="preserve">4 水袋 </w:t>
      </w:r>
      <w:r>
        <w:rPr>
          <w:rFonts w:hint="eastAsia"/>
          <w:lang w:val="en-US" w:eastAsia="zh-CN"/>
        </w:rPr>
        <w:t>4</w:t>
      </w:r>
      <w:r>
        <w:rPr>
          <w:rFonts w:hint="eastAsia"/>
        </w:rPr>
        <w:t xml:space="preserve">个 </w:t>
      </w:r>
    </w:p>
    <w:p w14:paraId="79FCE55D">
      <w:pPr>
        <w:rPr>
          <w:rFonts w:hint="eastAsia"/>
        </w:rPr>
      </w:pPr>
      <w:r>
        <w:rPr>
          <w:rFonts w:hint="eastAsia"/>
        </w:rPr>
        <w:t xml:space="preserve">5 耳机 </w:t>
      </w:r>
      <w:r>
        <w:rPr>
          <w:rFonts w:hint="eastAsia"/>
          <w:lang w:val="en-US" w:eastAsia="zh-CN"/>
        </w:rPr>
        <w:t>1</w:t>
      </w:r>
      <w:r>
        <w:rPr>
          <w:rFonts w:hint="eastAsia"/>
        </w:rPr>
        <w:t xml:space="preserve">副 </w:t>
      </w:r>
    </w:p>
    <w:p w14:paraId="7B5B0B79">
      <w:pPr>
        <w:rPr>
          <w:rFonts w:hint="eastAsia"/>
        </w:rPr>
      </w:pPr>
      <w:r>
        <w:rPr>
          <w:rFonts w:hint="eastAsia"/>
        </w:rPr>
        <w:t xml:space="preserve">6 放水管 </w:t>
      </w:r>
      <w:r>
        <w:rPr>
          <w:rFonts w:hint="eastAsia"/>
          <w:lang w:val="en-US" w:eastAsia="zh-CN"/>
        </w:rPr>
        <w:t>1</w:t>
      </w:r>
      <w:r>
        <w:rPr>
          <w:rFonts w:hint="eastAsia"/>
        </w:rPr>
        <w:t xml:space="preserve">个 </w:t>
      </w:r>
    </w:p>
    <w:p w14:paraId="4064E5A2">
      <w:pPr>
        <w:rPr>
          <w:rFonts w:hint="eastAsia"/>
        </w:rPr>
      </w:pPr>
    </w:p>
    <w:p w14:paraId="7D3D21FD">
      <w:pPr>
        <w:rPr>
          <w:rFonts w:hint="eastAsia"/>
        </w:rPr>
      </w:pPr>
    </w:p>
    <w:p w14:paraId="3F140CFD">
      <w:pPr>
        <w:rPr>
          <w:rFonts w:hint="eastAsia"/>
        </w:rPr>
      </w:pPr>
    </w:p>
    <w:p w14:paraId="26C42D47">
      <w:pPr>
        <w:rPr>
          <w:rFonts w:hint="eastAsia"/>
        </w:rPr>
      </w:pPr>
    </w:p>
    <w:p w14:paraId="1BAAA253">
      <w:pPr>
        <w:rPr>
          <w:rFonts w:hint="eastAsia"/>
        </w:rPr>
      </w:pPr>
    </w:p>
    <w:p w14:paraId="7EF9452E">
      <w:pPr>
        <w:rPr>
          <w:rFonts w:hint="eastAsia"/>
        </w:rPr>
      </w:pPr>
    </w:p>
    <w:p w14:paraId="27A6317D">
      <w:pPr>
        <w:rPr>
          <w:rFonts w:hint="eastAsia"/>
        </w:rPr>
      </w:pPr>
    </w:p>
    <w:p w14:paraId="465FEBFF">
      <w:pPr>
        <w:rPr>
          <w:rFonts w:hint="eastAsia"/>
        </w:rPr>
      </w:pPr>
    </w:p>
    <w:p w14:paraId="57F0A33E">
      <w:pPr>
        <w:rPr>
          <w:rFonts w:hint="eastAsia"/>
        </w:rPr>
      </w:pPr>
    </w:p>
    <w:p w14:paraId="4F4FFD4F">
      <w:pPr>
        <w:rPr>
          <w:rFonts w:hint="eastAsia"/>
        </w:rPr>
      </w:pPr>
    </w:p>
    <w:p w14:paraId="2EBBC9EC">
      <w:pPr>
        <w:rPr>
          <w:rFonts w:hint="eastAsia"/>
        </w:rPr>
      </w:pPr>
    </w:p>
    <w:p w14:paraId="51B8C5C6">
      <w:pPr>
        <w:rPr>
          <w:rFonts w:hint="eastAsia"/>
        </w:rPr>
      </w:pPr>
    </w:p>
    <w:p w14:paraId="7BC050C5">
      <w:pPr>
        <w:rPr>
          <w:rFonts w:hint="eastAsia"/>
        </w:rPr>
      </w:pPr>
    </w:p>
    <w:p w14:paraId="6038EFCF">
      <w:pPr>
        <w:rPr>
          <w:rFonts w:hint="eastAsia"/>
        </w:rPr>
      </w:pPr>
    </w:p>
    <w:p w14:paraId="2F5A0959">
      <w:pPr>
        <w:rPr>
          <w:rFonts w:hint="eastAsia"/>
        </w:rPr>
      </w:pPr>
    </w:p>
    <w:p w14:paraId="1A5FEBE6">
      <w:pPr>
        <w:rPr>
          <w:rFonts w:hint="eastAsia"/>
        </w:rPr>
      </w:pPr>
    </w:p>
    <w:p w14:paraId="61238CF3">
      <w:pPr>
        <w:rPr>
          <w:rFonts w:hint="eastAsia"/>
        </w:rPr>
      </w:pPr>
    </w:p>
    <w:p w14:paraId="3ABE0C2D">
      <w:pPr>
        <w:rPr>
          <w:rFonts w:hint="eastAsia"/>
        </w:rPr>
      </w:pPr>
    </w:p>
    <w:tbl>
      <w:tblPr>
        <w:tblStyle w:val="5"/>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4"/>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0" w:hRule="atLeast"/>
          <w:jc w:val="center"/>
        </w:trPr>
        <w:tc>
          <w:tcPr>
            <w:tcW w:w="703" w:type="pct"/>
            <w:vAlign w:val="center"/>
          </w:tcPr>
          <w:p w14:paraId="32F7A628">
            <w:pPr>
              <w:pStyle w:val="4"/>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4"/>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1884BF80">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4"/>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4"/>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4"/>
              <w:spacing w:before="86" w:line="187" w:lineRule="auto"/>
              <w:rPr>
                <w:spacing w:val="9"/>
              </w:rPr>
            </w:pPr>
          </w:p>
          <w:p w14:paraId="7E7968B4">
            <w:pPr>
              <w:pStyle w:val="4"/>
              <w:spacing w:before="86" w:line="187" w:lineRule="auto"/>
              <w:jc w:val="center"/>
            </w:pPr>
            <w:r>
              <w:rPr>
                <w:spacing w:val="9"/>
              </w:rPr>
              <w:t>质保期</w:t>
            </w:r>
          </w:p>
        </w:tc>
        <w:tc>
          <w:tcPr>
            <w:tcW w:w="4296" w:type="pct"/>
            <w:vAlign w:val="top"/>
          </w:tcPr>
          <w:p w14:paraId="43312103">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3</w:t>
            </w:r>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4"/>
              <w:spacing w:before="176" w:line="190" w:lineRule="auto"/>
              <w:ind w:left="125"/>
              <w:jc w:val="center"/>
              <w:outlineLvl w:val="0"/>
              <w:rPr>
                <w:rFonts w:hint="eastAsia"/>
                <w:spacing w:val="6"/>
                <w:lang w:eastAsia="zh-CN"/>
              </w:rPr>
            </w:pPr>
          </w:p>
          <w:p w14:paraId="2889C634">
            <w:pPr>
              <w:pStyle w:val="4"/>
              <w:spacing w:before="176" w:line="190" w:lineRule="auto"/>
              <w:ind w:left="125"/>
              <w:jc w:val="center"/>
              <w:outlineLvl w:val="0"/>
              <w:rPr>
                <w:rFonts w:hint="eastAsia"/>
                <w:spacing w:val="6"/>
                <w:lang w:eastAsia="zh-CN"/>
              </w:rPr>
            </w:pPr>
          </w:p>
          <w:p w14:paraId="71181ABA">
            <w:pPr>
              <w:pStyle w:val="4"/>
              <w:spacing w:before="176" w:line="190" w:lineRule="auto"/>
              <w:ind w:left="125"/>
              <w:jc w:val="center"/>
              <w:outlineLvl w:val="0"/>
              <w:rPr>
                <w:rFonts w:hint="eastAsia"/>
                <w:spacing w:val="6"/>
                <w:lang w:eastAsia="zh-CN"/>
              </w:rPr>
            </w:pPr>
          </w:p>
          <w:p w14:paraId="4B6D23A3">
            <w:pPr>
              <w:pStyle w:val="4"/>
              <w:spacing w:before="176" w:line="190" w:lineRule="auto"/>
              <w:ind w:left="125"/>
              <w:jc w:val="center"/>
              <w:outlineLvl w:val="0"/>
              <w:rPr>
                <w:rFonts w:hint="eastAsia"/>
                <w:spacing w:val="6"/>
                <w:lang w:eastAsia="zh-CN"/>
              </w:rPr>
            </w:pPr>
          </w:p>
          <w:p w14:paraId="0E12FF07">
            <w:pPr>
              <w:pStyle w:val="4"/>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4"/>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4"/>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4"/>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240" w:lineRule="exact"/>
              <w:ind w:left="0" w:right="0"/>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4"/>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4"/>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4"/>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次。情节特别严重，导致项目无法实施的，采购人免责终止本项目合同。</w:t>
            </w:r>
          </w:p>
          <w:p w14:paraId="4C2126EA">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73EFDCDD">
      <w:pPr>
        <w:rPr>
          <w:rFonts w:hint="eastAsia"/>
        </w:rPr>
      </w:pPr>
    </w:p>
    <w:p w14:paraId="29A40406">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42D45"/>
    <w:rsid w:val="093920B1"/>
    <w:rsid w:val="0E9D4E90"/>
    <w:rsid w:val="14270D58"/>
    <w:rsid w:val="177C13BA"/>
    <w:rsid w:val="178B7795"/>
    <w:rsid w:val="1BEC6B0F"/>
    <w:rsid w:val="267267AA"/>
    <w:rsid w:val="26F61189"/>
    <w:rsid w:val="372F1B4E"/>
    <w:rsid w:val="41BE41FA"/>
    <w:rsid w:val="44A92F3F"/>
    <w:rsid w:val="46845629"/>
    <w:rsid w:val="4E7520E4"/>
    <w:rsid w:val="64C64FF0"/>
    <w:rsid w:val="664B7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2025-08-15T02:49:22Z</dcterms:created>
  <dc:creator>user</dc:creator>
  <cp:lastModifiedBy>福记</cp:lastModifiedBy>
  <dcterms:modified xsi:type="dcterms:W3CDTF">2025-08-15T03:38:40Z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F1B06BBBB5BE46B1A069BA5F25CA5180_12</vt:lpwstr>
  </property>
</Properties>
</file>