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江西德安万年青插袋机升级询价函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一、本项目为江西德安万年青水泥有限公司插袋机系统升级改造项目。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二、改造目标 ：对原有黄石山立插袋机进行升级。以实现设备高效率高环保，减轻员工劳动强度。1、插袋能力 120 吨/小时；2、插袋机准确率 99%，同时具有运行稳定、故障率极低、维护方便等优点。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动跟随模式与原黄石山立包装机进行自动对位，电控、工作台、转弯机为一体式，安装简单。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三、改造内容：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、更换插袋机主机：原插袋机主机主要依靠气缸配合动作插袋，老系列插袋机执行元件采用气缸传动，气缸受气压影响，执行精度受限且气缸易磨损。要求采用伺服控制为主的方式，执行元件采用伺服电机代替气缸，极大增加设备可靠性。插袋机自动跟随包装机转速运转，当调整包装机转速时，插袋机自动跟随包装机转速进行调整，无需手动操作。并且对袋子要求不高，操作及其简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、悬臂及机械手：插袋机是通过悬臂的摆动带动机械手将包装袋套于包装嘴上。悬臂在伺服电机的驱动下转动，实现机械手向包装嘴的移动，机械手在伺服电机的作用下实现夹袋和打开的功能，它们联合动作实现插袋机的精准插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拾袋机构：拾袋机构是将工作台上的包装袋拾起到机械手夹袋位置的机构，由拾袋组件和尾部气缸组成。拾袋组件通过伺服电机驱动，实现将包装袋直立到机械手夹袋位置的动作，并通过联杆机构控制吸袋杆转动方向。尾部气缸同时将包装袋尾部提起，以方便工作台输送后续包装袋。在摆臂转动时尾部气缸将释放包装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4、工作台台面构成及台面袋输送：工作台由铝合金型材通过连接组件组成，台 面上镶嵌了两根传送链条，由伺服电机配1:5速比减速机驱动。传动机构有链条链轮组成。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5、工作台升降机构：工作台升降由一个剪刀叉结构组成，由伺服电缸驱动，剪刀叉下部一端固定在直线滑块上，由电缸控制在滑道上移动实现工作台的升降。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6、插袋机转向机构 插袋机转向机构有伺服驱动装置、升降气缸和托盘组成，用于将袋输送机上的包装袋转移输送到插袋机工作平台上。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7、新一代插袋机采用一体式结构，使现场安装和调试更加简单便捷，监控采用最新物联网技术，通过手机或电脑能对插袋机进行远程的实时监控和诊断。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自动插袋机技术参数</w:t>
      </w:r>
    </w:p>
    <w:p>
      <w:pPr>
        <w:pStyle w:val="10"/>
        <w:rPr>
          <w:lang w:eastAsia="zh-CN"/>
        </w:rPr>
      </w:pPr>
    </w:p>
    <w:tbl>
      <w:tblPr>
        <w:tblStyle w:val="6"/>
        <w:tblW w:w="92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86"/>
        <w:gridCol w:w="900"/>
        <w:gridCol w:w="3142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技术参数名称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数值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套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与原包装机配套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插袋能力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袋/h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2400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插袋准确率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糊底袋</w:t>
            </w:r>
            <w:r>
              <w:rPr>
                <w:rFonts w:ascii="Arial" w:hAnsi="Arial" w:cs="Arial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水泥袋种类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编织袋 （25-50kg）    糊底袋  （25-50kg）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水泥袋规格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工作压力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Mpa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&gt;</w:t>
            </w:r>
            <w:r>
              <w:rPr>
                <w:rFonts w:ascii="宋体" w:hAnsi="宋体"/>
                <w:sz w:val="24"/>
              </w:rPr>
              <w:t>0.4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耗气量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3</w:t>
            </w:r>
            <w:r>
              <w:rPr>
                <w:rFonts w:ascii="宋体" w:hAnsi="宋体"/>
                <w:sz w:val="24"/>
              </w:rPr>
              <w:t>/h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进入调节装置前的气压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Mpa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9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空袋输送机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台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9.1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链轮中心距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mm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4000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9.2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放袋工位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9.3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减速机型号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rPr>
                <w:rFonts w:ascii="宋体" w:hAnsi="宋体" w:eastAsia="宋体"/>
                <w:kern w:val="2"/>
              </w:rPr>
            </w:pPr>
            <w:r>
              <w:rPr>
                <w:rFonts w:ascii="宋体" w:hAnsi="宋体" w:eastAsia="宋体"/>
                <w:kern w:val="2"/>
              </w:rPr>
              <w:t>K67-</w:t>
            </w:r>
            <w:r>
              <w:rPr>
                <w:rFonts w:hint="eastAsia" w:ascii="宋体" w:hAnsi="宋体" w:eastAsia="宋体"/>
                <w:kern w:val="2"/>
              </w:rPr>
              <w:t>76.37</w:t>
            </w:r>
            <w:r>
              <w:rPr>
                <w:rFonts w:ascii="宋体" w:hAnsi="宋体" w:eastAsia="宋体"/>
                <w:kern w:val="2"/>
              </w:rPr>
              <w:t>-1.</w:t>
            </w:r>
            <w:r>
              <w:rPr>
                <w:rFonts w:hint="eastAsia" w:ascii="宋体" w:hAnsi="宋体" w:eastAsia="宋体"/>
                <w:kern w:val="2"/>
              </w:rPr>
              <w:t>5</w:t>
            </w:r>
            <w:r>
              <w:rPr>
                <w:rFonts w:ascii="宋体" w:hAnsi="宋体" w:eastAsia="宋体"/>
                <w:kern w:val="2"/>
              </w:rPr>
              <w:t>KW</w:t>
            </w:r>
            <w:r>
              <w:rPr>
                <w:rFonts w:hint="eastAsia" w:ascii="宋体" w:hAnsi="宋体" w:eastAsia="宋体"/>
                <w:kern w:val="2"/>
              </w:rPr>
              <w:t>/</w:t>
            </w:r>
            <w:r>
              <w:rPr>
                <w:rFonts w:ascii="宋体" w:hAnsi="宋体" w:eastAsia="宋体"/>
                <w:kern w:val="2"/>
              </w:rPr>
              <w:t>4</w:t>
            </w:r>
            <w:r>
              <w:rPr>
                <w:rFonts w:hint="eastAsia" w:ascii="宋体" w:hAnsi="宋体" w:eastAsia="宋体"/>
                <w:kern w:val="2"/>
              </w:rPr>
              <w:t>P</w:t>
            </w:r>
            <w:r>
              <w:rPr>
                <w:rFonts w:ascii="宋体" w:hAnsi="宋体" w:eastAsia="宋体"/>
                <w:kern w:val="2"/>
              </w:rPr>
              <w:t>-M4</w:t>
            </w:r>
            <w:r>
              <w:rPr>
                <w:rFonts w:hint="eastAsia" w:ascii="宋体" w:hAnsi="宋体" w:eastAsia="宋体"/>
                <w:kern w:val="2"/>
              </w:rPr>
              <w:t>-0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10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回转上袋机构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台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10.1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气缸型号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TCM</w:t>
            </w:r>
            <w:r>
              <w:rPr>
                <w:rFonts w:hint="eastAsia" w:ascii="宋体" w:hAnsi="宋体"/>
                <w:sz w:val="24"/>
              </w:rPr>
              <w:t>63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125</w:t>
            </w:r>
            <w:r>
              <w:rPr>
                <w:rFonts w:ascii="宋体" w:hAnsi="宋体"/>
                <w:sz w:val="24"/>
              </w:rPr>
              <w:t>-S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亚德客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10.2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减速机型号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 w:val="0"/>
              <w:rPr>
                <w:rFonts w:ascii="宋体" w:hAnsi="宋体" w:eastAsia="宋体"/>
                <w:kern w:val="2"/>
              </w:rPr>
            </w:pPr>
            <w:r>
              <w:rPr>
                <w:rFonts w:ascii="宋体" w:hAnsi="宋体" w:eastAsia="宋体"/>
              </w:rPr>
              <w:t>KPH120-50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拨袋机构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台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11.1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伺服系统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  <w:r>
              <w:rPr>
                <w:rFonts w:ascii="宋体" w:hAnsi="宋体" w:cs="宋体"/>
                <w:sz w:val="24"/>
              </w:rPr>
              <w:t>S51C1 8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0W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12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拾袋机构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台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12.1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伺服系统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7" w:lineRule="exact"/>
              <w:ind w:left="231" w:right="2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S51C1 400W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信捷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13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机械手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台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13.1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ind w:left="720" w:hanging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伺服系统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62" w:lineRule="exact"/>
              <w:ind w:left="231" w:right="205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 xml:space="preserve">S51C1 </w:t>
            </w:r>
            <w:r>
              <w:rPr>
                <w:rFonts w:hint="eastAsia" w:eastAsia="宋体"/>
                <w:sz w:val="24"/>
                <w:lang w:eastAsia="zh-CN"/>
              </w:rPr>
              <w:t>1800</w:t>
            </w:r>
            <w:r>
              <w:rPr>
                <w:sz w:val="24"/>
              </w:rPr>
              <w:t>W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14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电控柜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14.1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PLC型号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</w:t>
            </w:r>
            <w:r>
              <w:rPr>
                <w:rFonts w:ascii="宋体" w:hAnsi="宋体" w:cs="宋体"/>
                <w:sz w:val="24"/>
              </w:rPr>
              <w:t>DH-60T4-E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14.2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电磁阀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M-05-510-HN-442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  <w:r>
              <w:rPr>
                <w:rFonts w:ascii="宋体" w:hAnsi="宋体" w:cs="宋体"/>
                <w:sz w:val="24"/>
              </w:rPr>
              <w:t>IRTEC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真空泵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3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uppressAutoHyphens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上海与龙</w:t>
            </w:r>
          </w:p>
        </w:tc>
      </w:tr>
    </w:tbl>
    <w:p>
      <w:pPr>
        <w:spacing w:after="160"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after="160" w:line="360" w:lineRule="auto"/>
        <w:jc w:val="both"/>
        <w:rPr>
          <w:rFonts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插袋机对包装袋的要求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A.包装袋的阀口宽度C应该在115±2mm之间，阀口处不应凹陷和粘连。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B.包装袋外形基本尺寸（50㎏）：650（袋长度A）×500（袋宽度B）×110（底宽度C）mm，其基本尺寸可以根据水泥密度（标号）不同，适当调整。但是同一品种（批次）包装袋尺寸偏差不应大于2mm。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C.包装袋阀口长度D=120±10mm，阀口长度过长将影响水泥灌装和推包后的水泥泄露。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.糊底包装袋应该分为：左阀口、右阀口（面向包装袋背面看：阀口在左称为左阀口，反之是右阀口），左阀口用于顺时针旋转的包装机，右阀口用于逆时针旋转的包装机。包装袋正面一般印制水泥生产企业商标和水泥标号，背面印制包装袋生产企业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五、付款方式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1、以上所报单价为到厂价格，含设备货款、包装、运输、指导安装、调试、培训、增值税（13%）等全部费用。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2、付款方式：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（1）预付款：合同签订后付合同金额的30%；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（2）发货款：设备全部到达现场，买卖双方清点无误后十天内，买方再向卖方支付合同金额的30%；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（3）调试款：设备到场安装调试、验收合格试运转三个月后无质量问题再付合同金额的 30%（付款前卖方需提供合同全额13%增值税专用发票）；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（4）质保金：余款合同金额的 10%作为质保金，待质保期满后一次性无息支付。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产品质量及售后服务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1、所有产品的制造和检验均严格按国家现行标准（建材行业标准）执行，以图纸技术要求为依据，保证为用户提供优质的产品和满意的服务。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2、插袋机智能化升级改造须符合国家环保政策及职业健康要求，减少企业对于人员的依赖，有利于提高企业形象和信誉度。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3、所有的出厂技术文件（包括总图、部件装配图、说明书、合格证、文件清单、装 箱单）做到清 晰、正确、完整。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4、对用户的设备操作管理人员进行技术指导和培训。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5、出厂产品在质保期内如出现因制造质量不良引起的损坏，公司技术人员首先进行远视频指导，如若处理不好，公司会在接到用户的信息反馈后 48小时内派专员到用户现场进行处理。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6、产品质保期为一年，对产品质保期内质量实行三包，即包退、包换、包赔。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7、对备配件的供应做到三优，即优质、优惠、优先。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8、对所有使用公司产品提供终生无偿现场技术指导服务。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备注：1.包工包料，施工期间严格执行我公司安全管理制度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2.此工程价格为包干价，请大家到现场实地踏勘确认后进行报价，一旦中标价格不予调整。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3.中标单位的进厂施工人员需购买150万人身意外保险。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spacing w:before="0" w:line="240" w:lineRule="auto"/>
        <w:ind w:left="0" w:leftChars="0" w:right="116" w:firstLine="0" w:firstLineChars="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六、报价单</w:t>
      </w:r>
    </w:p>
    <w:p>
      <w:pPr>
        <w:spacing w:line="360" w:lineRule="auto"/>
        <w:ind w:firstLine="120" w:firstLineChars="50"/>
        <w:jc w:val="both"/>
        <w:outlineLvl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120" w:firstLineChars="50"/>
        <w:jc w:val="both"/>
        <w:outlineLvl w:val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时间：202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年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tbl>
      <w:tblPr>
        <w:tblStyle w:val="6"/>
        <w:tblpPr w:leftFromText="180" w:rightFromText="180" w:vertAnchor="text" w:horzAnchor="page" w:tblpXSpec="center" w:tblpY="323"/>
        <w:tblOverlap w:val="never"/>
        <w:tblW w:w="8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8"/>
        <w:gridCol w:w="1736"/>
        <w:gridCol w:w="667"/>
        <w:gridCol w:w="1320"/>
        <w:gridCol w:w="1364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规格型号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（元）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（元）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Align w:val="center"/>
          </w:tcPr>
          <w:p>
            <w:pPr>
              <w:pStyle w:val="11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插袋机主机</w:t>
            </w:r>
          </w:p>
        </w:tc>
        <w:tc>
          <w:tcPr>
            <w:tcW w:w="1736" w:type="dxa"/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2" w:type="dxa"/>
            <w:gridSpan w:val="7"/>
            <w:vAlign w:val="center"/>
          </w:tcPr>
          <w:p>
            <w:pPr>
              <w:tabs>
                <w:tab w:val="left" w:pos="352"/>
              </w:tabs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492" w:type="dxa"/>
            <w:gridSpan w:val="7"/>
            <w:shd w:val="clear" w:color="auto" w:fill="auto"/>
            <w:vAlign w:val="center"/>
          </w:tcPr>
          <w:p>
            <w:pPr>
              <w:pStyle w:val="11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注：说明：</w:t>
            </w:r>
          </w:p>
          <w:p>
            <w:pPr>
              <w:pStyle w:val="11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1、以上所报单价为到厂价格，含设备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货款、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包装、运输、指导安装、调试、培训、增值税（13%）等全部费用。</w:t>
            </w:r>
          </w:p>
          <w:p>
            <w:pPr>
              <w:pStyle w:val="11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2、付款方式；（1）预付款：合同签订后付合同金额的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%，（2）发货款：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设备全部到达现场，买卖双方清点无误后十天内，买方再向卖方支付合同金额的30%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，（3）调试款：设备到场安装调试验收合格试运转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个月后无质量问题再付合同金额的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%，（4）质保金：余款合同金额的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%作为质保金，待质保期满后一次性无息支付。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New York">
    <w:altName w:val="微软雅黑"/>
    <w:panose1 w:val="02040503060506020304"/>
    <w:charset w:val="00"/>
    <w:family w:val="auto"/>
    <w:pitch w:val="default"/>
    <w:sig w:usb0="00000000" w:usb1="00000000" w:usb2="00000000" w:usb3="00000000" w:csb0="FFFFFF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3D086"/>
    <w:multiLevelType w:val="singleLevel"/>
    <w:tmpl w:val="4F93D086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GEyNTg5ZTNmZWRhYjBmNjVhNzBiZTA5OGQ0YWEifQ=="/>
    <w:docVar w:name="KSO_WPS_MARK_KEY" w:val="fd64aeb4-f59a-40e3-9661-c2927eea17d7"/>
  </w:docVars>
  <w:rsids>
    <w:rsidRoot w:val="39246E85"/>
    <w:rsid w:val="037F0BE0"/>
    <w:rsid w:val="08B9797D"/>
    <w:rsid w:val="0D5079C9"/>
    <w:rsid w:val="1207664C"/>
    <w:rsid w:val="1457366A"/>
    <w:rsid w:val="15AA713E"/>
    <w:rsid w:val="1D6A6F24"/>
    <w:rsid w:val="23D53F3E"/>
    <w:rsid w:val="2894416C"/>
    <w:rsid w:val="2C273564"/>
    <w:rsid w:val="32407191"/>
    <w:rsid w:val="32A80D22"/>
    <w:rsid w:val="32D72576"/>
    <w:rsid w:val="39246E85"/>
    <w:rsid w:val="3E317D4A"/>
    <w:rsid w:val="3F2E1ADA"/>
    <w:rsid w:val="3F613CA5"/>
    <w:rsid w:val="435E5C94"/>
    <w:rsid w:val="4384109A"/>
    <w:rsid w:val="48210086"/>
    <w:rsid w:val="4DDE1EAC"/>
    <w:rsid w:val="51E10E85"/>
    <w:rsid w:val="563350DF"/>
    <w:rsid w:val="590F381E"/>
    <w:rsid w:val="5CC5404D"/>
    <w:rsid w:val="604A63EF"/>
    <w:rsid w:val="613A3445"/>
    <w:rsid w:val="74B55DA6"/>
    <w:rsid w:val="76EB7BDE"/>
    <w:rsid w:val="7DD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2494"/>
      <w:outlineLvl w:val="0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"/>
    <w:basedOn w:val="1"/>
    <w:uiPriority w:val="0"/>
    <w:pPr>
      <w:numPr>
        <w:ilvl w:val="0"/>
        <w:numId w:val="1"/>
      </w:numPr>
    </w:p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pPr>
      <w:spacing w:before="112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无间隔1"/>
    <w:basedOn w:val="11"/>
    <w:autoRedefine/>
    <w:qFormat/>
    <w:uiPriority w:val="1"/>
    <w:pPr>
      <w:spacing w:line="400" w:lineRule="exact"/>
      <w:jc w:val="both"/>
    </w:pPr>
    <w:rPr>
      <w:kern w:val="2"/>
      <w:sz w:val="24"/>
      <w:szCs w:val="24"/>
    </w:rPr>
  </w:style>
  <w:style w:type="paragraph" w:customStyle="1" w:styleId="11">
    <w:name w:val="正文1"/>
    <w:next w:val="12"/>
    <w:autoRedefine/>
    <w:qFormat/>
    <w:uiPriority w:val="99"/>
    <w:pPr>
      <w:widowControl w:val="0"/>
      <w:adjustRightInd w:val="0"/>
      <w:spacing w:line="360" w:lineRule="atLeast"/>
      <w:textAlignment w:val="baseline"/>
    </w:pPr>
    <w:rPr>
      <w:rFonts w:ascii="Tms Rmn" w:hAnsi="Tms Rmn" w:eastAsia="宋体" w:cs="Times New Roman"/>
      <w:lang w:val="en-US" w:eastAsia="zh-CN" w:bidi="ar-SA"/>
    </w:rPr>
  </w:style>
  <w:style w:type="paragraph" w:customStyle="1" w:styleId="12">
    <w:name w:val="页眉1"/>
    <w:basedOn w:val="13"/>
    <w:autoRedefine/>
    <w:qFormat/>
    <w:uiPriority w:val="0"/>
    <w:pPr>
      <w:tabs>
        <w:tab w:val="center" w:pos="4320"/>
        <w:tab w:val="right" w:pos="8640"/>
      </w:tabs>
      <w:spacing w:line="312" w:lineRule="atLeast"/>
      <w:jc w:val="both"/>
    </w:pPr>
  </w:style>
  <w:style w:type="paragraph" w:customStyle="1" w:styleId="13">
    <w:name w:val="正文2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ms Rmn" w:hAnsi="Tms Rmn" w:eastAsia="宋体" w:cs="Times New Roman"/>
      <w:lang w:val="en-US" w:eastAsia="zh-CN" w:bidi="ar-SA"/>
    </w:rPr>
  </w:style>
  <w:style w:type="paragraph" w:customStyle="1" w:styleId="14">
    <w:name w:val="soustitre"/>
    <w:basedOn w:val="1"/>
    <w:autoRedefine/>
    <w:qFormat/>
    <w:uiPriority w:val="0"/>
    <w:pPr>
      <w:widowControl/>
      <w:tabs>
        <w:tab w:val="left" w:pos="525"/>
      </w:tabs>
      <w:autoSpaceDE w:val="0"/>
      <w:autoSpaceDN w:val="0"/>
      <w:jc w:val="center"/>
      <w:textAlignment w:val="baseline"/>
    </w:pPr>
    <w:rPr>
      <w:rFonts w:ascii="New York" w:hAnsi="New York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2294</Words>
  <Characters>2521</Characters>
  <Lines>0</Lines>
  <Paragraphs>0</Paragraphs>
  <TotalTime>15</TotalTime>
  <ScaleCrop>false</ScaleCrop>
  <LinksUpToDate>false</LinksUpToDate>
  <CharactersWithSpaces>2608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2025-03-25T00:51:00Z</dcterms:created>
  <dc:creator>李小平</dc:creator>
  <cp:lastModifiedBy>风再起时</cp:lastModifiedBy>
  <dcterms:modified xsi:type="dcterms:W3CDTF">2025-08-13T02:49:05Z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F2640ABEF7054A63A8B69C006FF01DAF_13</vt:lpwstr>
  </property>
  <property fmtid="{D5CDD505-2E9C-101B-9397-08002B2CF9AE}" pid="4" name="KSOTemplateDocerSaveRecord">
    <vt:lpwstr>eyJoZGlkIjoiMGE3MGNlZGJmNzJiMzc0M2E1YjRiOTI1YTIxNWJlNmQiLCJ1c2VySWQiOiIyMDEzMjQ5NzAifQ==</vt:lpwstr>
  </property>
</Properties>
</file>