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7FFBE">
      <w:pPr>
        <w:spacing w:line="320" w:lineRule="exact"/>
        <w:jc w:val="center"/>
        <w:rPr>
          <w:rFonts w:hint="eastAsia" w:ascii="宋体" w:hAnsi="宋体"/>
          <w:b/>
          <w:sz w:val="32"/>
          <w:szCs w:val="32"/>
        </w:rPr>
      </w:pP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w:t>
      </w:r>
      <w:r>
        <w:rPr>
          <w:rFonts w:hint="eastAsia" w:ascii="宋体" w:hAnsi="宋体"/>
          <w:szCs w:val="21"/>
          <w:lang w:val="en-US" w:eastAsia="zh-CN"/>
        </w:rPr>
        <w:t>或被授权人（</w:t>
      </w:r>
      <w:r>
        <w:rPr>
          <w:rFonts w:hint="eastAsia" w:ascii="宋体" w:hAnsi="宋体"/>
          <w:szCs w:val="21"/>
        </w:rPr>
        <w:t>签字</w:t>
      </w:r>
      <w:r>
        <w:rPr>
          <w:rFonts w:hint="eastAsia" w:ascii="宋体" w:hAnsi="宋体"/>
          <w:szCs w:val="21"/>
          <w:lang w:val="en-US" w:eastAsia="zh-CN"/>
        </w:rPr>
        <w:t>）</w:t>
      </w:r>
      <w:r>
        <w:rPr>
          <w:rFonts w:hint="eastAsia" w:ascii="宋体" w:hAnsi="宋体"/>
          <w:szCs w:val="21"/>
        </w:rPr>
        <w:t>：</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66838D22">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865197A">
      <w:pPr>
        <w:snapToGrid w:val="0"/>
        <w:spacing w:before="156" w:beforeLines="50" w:after="50" w:line="400" w:lineRule="exact"/>
        <w:ind w:right="480" w:firstLine="210" w:firstLineChars="100"/>
        <w:jc w:val="right"/>
        <w:rPr>
          <w:rFonts w:hint="eastAsia" w:ascii="宋体" w:hAnsi="宋体"/>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373333689"/>
            <w:bookmarkStart w:id="1" w:name="_Toc254970588"/>
            <w:bookmarkStart w:id="2" w:name="_Toc383699906"/>
            <w:bookmarkStart w:id="3" w:name="_Toc295404981"/>
            <w:bookmarkStart w:id="4" w:name="_Toc254970729"/>
            <w:bookmarkStart w:id="5" w:name="_Toc173066401"/>
            <w:bookmarkStart w:id="6" w:name="_Toc297193185"/>
            <w:bookmarkStart w:id="7" w:name="_Toc301781611"/>
            <w:bookmarkStart w:id="8" w:name="_Toc173211900"/>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254970730"/>
            <w:bookmarkStart w:id="10" w:name="_Toc301781612"/>
            <w:bookmarkStart w:id="11" w:name="_Toc297193186"/>
            <w:bookmarkStart w:id="12" w:name="_Toc383699907"/>
            <w:bookmarkStart w:id="13" w:name="_Toc173211901"/>
            <w:bookmarkStart w:id="14" w:name="_Toc373333690"/>
            <w:bookmarkStart w:id="15" w:name="_Toc295404982"/>
            <w:bookmarkStart w:id="16" w:name="_Toc173066402"/>
            <w:bookmarkStart w:id="17" w:name="_Toc254970589"/>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254970731"/>
            <w:bookmarkStart w:id="19" w:name="_Toc173211902"/>
            <w:bookmarkStart w:id="20" w:name="_Toc301781613"/>
            <w:bookmarkStart w:id="21" w:name="_Toc254970590"/>
            <w:bookmarkStart w:id="22" w:name="_Toc373333691"/>
            <w:bookmarkStart w:id="23" w:name="_Toc297193187"/>
            <w:bookmarkStart w:id="24" w:name="_Toc383699908"/>
            <w:bookmarkStart w:id="25" w:name="_Toc295404983"/>
            <w:bookmarkStart w:id="26" w:name="_Toc173066403"/>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383699909"/>
            <w:bookmarkStart w:id="28" w:name="_Toc373333692"/>
            <w:bookmarkStart w:id="29" w:name="_Toc301781614"/>
            <w:bookmarkStart w:id="30" w:name="_Toc173211903"/>
            <w:bookmarkStart w:id="31" w:name="_Toc295404984"/>
            <w:bookmarkStart w:id="32" w:name="_Toc254970732"/>
            <w:bookmarkStart w:id="33" w:name="_Toc297193188"/>
            <w:bookmarkStart w:id="34" w:name="_Toc173066404"/>
            <w:bookmarkStart w:id="35" w:name="_Toc254970591"/>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295404985"/>
            <w:bookmarkStart w:id="37" w:name="_Toc173211904"/>
            <w:bookmarkStart w:id="38" w:name="_Toc301781615"/>
            <w:bookmarkStart w:id="39" w:name="_Toc297193189"/>
            <w:bookmarkStart w:id="40" w:name="_Toc373333693"/>
            <w:bookmarkStart w:id="41" w:name="_Toc254970592"/>
            <w:bookmarkStart w:id="42" w:name="_Toc383699910"/>
            <w:bookmarkStart w:id="43" w:name="_Toc254970733"/>
            <w:bookmarkStart w:id="44" w:name="_Toc173066405"/>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373333694"/>
            <w:bookmarkStart w:id="46" w:name="_Toc301781616"/>
            <w:bookmarkStart w:id="47" w:name="_Toc254970734"/>
            <w:bookmarkStart w:id="48" w:name="_Toc173066406"/>
            <w:bookmarkStart w:id="49" w:name="_Toc295404986"/>
            <w:bookmarkStart w:id="50" w:name="_Toc254970593"/>
            <w:bookmarkStart w:id="51" w:name="_Toc173211905"/>
            <w:bookmarkStart w:id="52" w:name="_Toc383699911"/>
            <w:bookmarkStart w:id="53" w:name="_Toc297193190"/>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173066407"/>
            <w:bookmarkStart w:id="55" w:name="_Toc254970735"/>
            <w:bookmarkStart w:id="56" w:name="_Toc295404987"/>
            <w:bookmarkStart w:id="57" w:name="_Toc297193191"/>
            <w:bookmarkStart w:id="58" w:name="_Toc254970594"/>
            <w:bookmarkStart w:id="59" w:name="_Toc173211906"/>
            <w:bookmarkStart w:id="60" w:name="_Toc383699912"/>
            <w:bookmarkStart w:id="61" w:name="_Toc301781617"/>
            <w:bookmarkStart w:id="62" w:name="_Toc373333695"/>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173066408"/>
            <w:bookmarkStart w:id="64" w:name="_Toc373333696"/>
            <w:bookmarkStart w:id="65" w:name="_Toc297193192"/>
            <w:bookmarkStart w:id="66" w:name="_Toc301781618"/>
            <w:bookmarkStart w:id="67" w:name="_Toc173211907"/>
            <w:bookmarkStart w:id="68" w:name="_Toc295404988"/>
            <w:bookmarkStart w:id="69" w:name="_Toc254970595"/>
            <w:bookmarkStart w:id="70" w:name="_Toc254970736"/>
            <w:bookmarkStart w:id="71" w:name="_Toc383699913"/>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254970737"/>
            <w:bookmarkStart w:id="73" w:name="_Toc173211908"/>
            <w:bookmarkStart w:id="74" w:name="_Toc254970596"/>
            <w:bookmarkStart w:id="75" w:name="_Toc295404989"/>
            <w:bookmarkStart w:id="76" w:name="_Toc173066409"/>
            <w:bookmarkStart w:id="77" w:name="_Toc297193193"/>
            <w:bookmarkStart w:id="78" w:name="_Toc301781619"/>
            <w:bookmarkStart w:id="79" w:name="_Toc373333697"/>
            <w:bookmarkStart w:id="80" w:name="_Toc383699914"/>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373333698"/>
            <w:bookmarkStart w:id="82" w:name="_Toc301781620"/>
            <w:bookmarkStart w:id="83" w:name="_Toc295404990"/>
            <w:bookmarkStart w:id="84" w:name="_Toc297193194"/>
            <w:bookmarkStart w:id="85" w:name="_Toc254970597"/>
            <w:bookmarkStart w:id="86" w:name="_Toc254970738"/>
            <w:bookmarkStart w:id="87" w:name="_Toc173211909"/>
            <w:bookmarkStart w:id="88" w:name="_Toc383699915"/>
            <w:bookmarkStart w:id="89" w:name="_Toc173066410"/>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373333699"/>
            <w:bookmarkStart w:id="91" w:name="_Toc297193195"/>
            <w:bookmarkStart w:id="92" w:name="_Toc173211914"/>
            <w:bookmarkStart w:id="93" w:name="_Toc295404991"/>
            <w:bookmarkStart w:id="94" w:name="_Toc383699916"/>
            <w:bookmarkStart w:id="95" w:name="_Toc254970602"/>
            <w:bookmarkStart w:id="96" w:name="_Toc173066415"/>
            <w:bookmarkStart w:id="97" w:name="_Toc254970743"/>
            <w:bookmarkStart w:id="98" w:name="_Toc301781621"/>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28E3E613">
      <w:pPr>
        <w:snapToGrid w:val="0"/>
        <w:spacing w:before="156" w:beforeLines="50" w:after="50"/>
        <w:jc w:val="left"/>
        <w:rPr>
          <w:rFonts w:hint="eastAsia" w:ascii="宋体" w:hAnsi="宋体"/>
          <w:szCs w:val="21"/>
          <w:u w:val="single"/>
        </w:rPr>
      </w:pPr>
      <w:r>
        <w:rPr>
          <w:rFonts w:ascii="宋体" w:hAnsi="宋体"/>
          <w:szCs w:val="21"/>
        </w:rPr>
        <w:br w:type="page"/>
      </w:r>
      <w:r>
        <w:rPr>
          <w:rFonts w:hint="eastAsia" w:ascii="宋体" w:hAnsi="宋体"/>
          <w:b/>
          <w:sz w:val="24"/>
        </w:rPr>
        <w:t>商务响应表格式</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60F6D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796468E6">
            <w:pPr>
              <w:snapToGrid w:val="0"/>
              <w:spacing w:before="156" w:beforeLines="50"/>
              <w:jc w:val="center"/>
              <w:rPr>
                <w:rFonts w:hint="eastAsia" w:ascii="宋体" w:hAnsi="宋体"/>
                <w:sz w:val="24"/>
              </w:rPr>
            </w:pPr>
            <w:bookmarkStart w:id="99" w:name="_GoBack" w:colFirst="0" w:colLast="3"/>
            <w:r>
              <w:rPr>
                <w:rFonts w:hint="eastAsia" w:ascii="宋体" w:hAnsi="宋体"/>
                <w:szCs w:val="21"/>
              </w:rPr>
              <w:t>消防疏散图制作要求</w:t>
            </w:r>
          </w:p>
        </w:tc>
        <w:tc>
          <w:tcPr>
            <w:tcW w:w="2970" w:type="dxa"/>
            <w:tcBorders>
              <w:top w:val="single" w:color="auto" w:sz="4" w:space="0"/>
              <w:left w:val="single" w:color="auto" w:sz="4" w:space="0"/>
              <w:bottom w:val="single" w:color="auto" w:sz="4" w:space="0"/>
              <w:right w:val="single" w:color="auto" w:sz="4" w:space="0"/>
            </w:tcBorders>
          </w:tcPr>
          <w:p w14:paraId="3E7CBD69">
            <w:pPr>
              <w:snapToGrid w:val="0"/>
              <w:spacing w:before="156" w:beforeLines="50"/>
              <w:jc w:val="center"/>
              <w:rPr>
                <w:rFonts w:hint="eastAsia" w:ascii="宋体" w:hAnsi="宋体"/>
                <w:sz w:val="24"/>
              </w:rPr>
            </w:pPr>
            <w:r>
              <w:rPr>
                <w:rFonts w:hint="eastAsia" w:ascii="宋体" w:hAnsi="宋体"/>
                <w:szCs w:val="21"/>
              </w:rPr>
              <w:t>3毫米亚克力雕刻/磨斜边/喷白漆/UV图文，四周倒角磨边，需要按安装位置要求逐层逐个贴墙安装。</w:t>
            </w:r>
          </w:p>
        </w:tc>
        <w:tc>
          <w:tcPr>
            <w:tcW w:w="1510" w:type="dxa"/>
            <w:tcBorders>
              <w:top w:val="single" w:color="auto" w:sz="4" w:space="0"/>
              <w:left w:val="single" w:color="auto" w:sz="4" w:space="0"/>
              <w:bottom w:val="single" w:color="auto" w:sz="4" w:space="0"/>
              <w:right w:val="single" w:color="auto" w:sz="4" w:space="0"/>
            </w:tcBorders>
          </w:tcPr>
          <w:p w14:paraId="2F8D4370">
            <w:pPr>
              <w:snapToGrid w:val="0"/>
              <w:spacing w:before="156" w:beforeLines="50"/>
              <w:jc w:val="center"/>
              <w:rPr>
                <w:rFonts w:hint="eastAsia" w:ascii="宋体" w:hAnsi="宋体"/>
                <w:sz w:val="24"/>
              </w:rPr>
            </w:pPr>
          </w:p>
        </w:tc>
        <w:tc>
          <w:tcPr>
            <w:tcW w:w="2651" w:type="dxa"/>
            <w:tcBorders>
              <w:top w:val="single" w:color="auto" w:sz="4" w:space="0"/>
              <w:left w:val="single" w:color="auto" w:sz="4" w:space="0"/>
              <w:bottom w:val="single" w:color="auto" w:sz="4" w:space="0"/>
              <w:right w:val="single" w:color="auto" w:sz="4" w:space="0"/>
            </w:tcBorders>
          </w:tcPr>
          <w:p w14:paraId="7D3CCD10">
            <w:pPr>
              <w:snapToGrid w:val="0"/>
              <w:spacing w:before="156" w:beforeLines="50"/>
              <w:jc w:val="center"/>
              <w:rPr>
                <w:rFonts w:hint="eastAsia" w:ascii="宋体" w:hAnsi="宋体"/>
                <w:sz w:val="24"/>
              </w:rPr>
            </w:pPr>
          </w:p>
        </w:tc>
      </w:tr>
      <w:bookmarkEnd w:id="99"/>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r>
              <w:rPr>
                <w:rFonts w:hint="eastAsia" w:ascii="宋体" w:hAnsi="宋体"/>
                <w:szCs w:val="21"/>
              </w:rPr>
              <w:t>消防疏散图制作服务要求</w:t>
            </w:r>
          </w:p>
        </w:tc>
        <w:tc>
          <w:tcPr>
            <w:tcW w:w="2970" w:type="dxa"/>
            <w:tcBorders>
              <w:top w:val="single" w:color="auto" w:sz="4" w:space="0"/>
              <w:left w:val="single" w:color="auto" w:sz="4" w:space="0"/>
              <w:bottom w:val="single" w:color="auto" w:sz="4" w:space="0"/>
              <w:right w:val="single" w:color="auto" w:sz="4" w:space="0"/>
            </w:tcBorders>
            <w:vAlign w:val="center"/>
          </w:tcPr>
          <w:p w14:paraId="0A1ABDD3">
            <w:pPr>
              <w:rPr>
                <w:rFonts w:hint="eastAsia" w:ascii="宋体" w:hAnsi="宋体"/>
                <w:szCs w:val="21"/>
              </w:rPr>
            </w:pPr>
            <w:r>
              <w:rPr>
                <w:rFonts w:hint="eastAsia" w:ascii="宋体" w:hAnsi="宋体"/>
                <w:szCs w:val="21"/>
              </w:rPr>
              <w:t>（一）服务期内，供应商应严格按照院方提出的具体标识标牌项目制作需求、数量及时间计划，出具制作效果图，按时、按质、按量完成排版设计、制作与安装、摆放、收纳工作。</w:t>
            </w:r>
          </w:p>
          <w:p w14:paraId="2397F58A">
            <w:pPr>
              <w:rPr>
                <w:rFonts w:hint="eastAsia" w:ascii="宋体" w:hAnsi="宋体"/>
                <w:szCs w:val="21"/>
              </w:rPr>
            </w:pPr>
            <w:r>
              <w:rPr>
                <w:rFonts w:hint="eastAsia" w:ascii="宋体" w:hAnsi="宋体"/>
                <w:szCs w:val="21"/>
              </w:rPr>
              <w:t>（二）供应商制作成品颜色必须符合医院VI色（C78  M10  Y42  K0）要求，色差偏差值在10%的范围内。在正式印刷前，供应商须打印一式两份色样，与院方进行印刷色校对。双方确认色样无误后，方可进入印刷环节。</w:t>
            </w:r>
          </w:p>
          <w:p w14:paraId="42EA59D5">
            <w:pPr>
              <w:rPr>
                <w:rFonts w:hint="eastAsia" w:ascii="宋体" w:hAnsi="宋体"/>
                <w:szCs w:val="21"/>
              </w:rPr>
            </w:pPr>
            <w:r>
              <w:rPr>
                <w:rFonts w:hint="eastAsia" w:ascii="宋体" w:hAnsi="宋体"/>
                <w:szCs w:val="21"/>
              </w:rPr>
              <w:t>（三）供应商需在院方确定制作内容后2小时内响应，明确是否能按时完成制作，并9天内按时按质按量完成相关设计、制作、安装、摆放等工作。</w:t>
            </w:r>
          </w:p>
          <w:p w14:paraId="37F364F7">
            <w:pPr>
              <w:rPr>
                <w:rFonts w:hint="eastAsia" w:ascii="宋体" w:hAnsi="宋体"/>
                <w:szCs w:val="21"/>
              </w:rPr>
            </w:pPr>
            <w:r>
              <w:rPr>
                <w:rFonts w:hint="eastAsia" w:ascii="宋体" w:hAnsi="宋体"/>
                <w:szCs w:val="21"/>
              </w:rPr>
              <w:t xml:space="preserve">（四）标识标牌等广告品制作完成后，供应商需按时运到院方指定地点，并提供实际制作数量清单，待院方指定工作人员现场验收后，进行安装或签收。 </w:t>
            </w:r>
          </w:p>
          <w:p w14:paraId="716D0882">
            <w:pPr>
              <w:rPr>
                <w:rFonts w:hint="eastAsia" w:ascii="宋体" w:hAnsi="宋体"/>
                <w:szCs w:val="21"/>
              </w:rPr>
            </w:pPr>
            <w:r>
              <w:rPr>
                <w:rFonts w:hint="eastAsia" w:ascii="宋体" w:hAnsi="宋体"/>
                <w:szCs w:val="21"/>
              </w:rPr>
              <w:t xml:space="preserve">（五）供应商应对本项目制作的所有内容设置保密措施，不得在未经院方允许的情况下，私自使用、传播院方制作的广告品及其内容。 </w:t>
            </w:r>
          </w:p>
          <w:p w14:paraId="6DFDE844">
            <w:pPr>
              <w:rPr>
                <w:rFonts w:hint="eastAsia" w:ascii="宋体" w:hAnsi="宋体"/>
                <w:szCs w:val="21"/>
              </w:rPr>
            </w:pPr>
            <w:r>
              <w:rPr>
                <w:rFonts w:hint="eastAsia" w:ascii="宋体" w:hAnsi="宋体"/>
                <w:szCs w:val="21"/>
              </w:rPr>
              <w:t>（六）所有设计稿需经院方确认无误后方可进行印刷。</w:t>
            </w:r>
          </w:p>
          <w:p w14:paraId="5C075210">
            <w:pPr>
              <w:rPr>
                <w:rFonts w:hint="eastAsia" w:ascii="宋体" w:hAnsi="宋体"/>
                <w:szCs w:val="21"/>
              </w:rPr>
            </w:pPr>
            <w:r>
              <w:rPr>
                <w:rFonts w:hint="eastAsia" w:ascii="宋体" w:hAnsi="宋体"/>
                <w:szCs w:val="21"/>
              </w:rPr>
              <w:t>（七）定稿后，供应商需把未转曲的设计源稿发回院方。</w:t>
            </w:r>
          </w:p>
          <w:p w14:paraId="09676916">
            <w:pPr>
              <w:rPr>
                <w:rFonts w:hint="eastAsia" w:ascii="宋体" w:hAnsi="宋体"/>
                <w:szCs w:val="21"/>
              </w:rPr>
            </w:pPr>
            <w:r>
              <w:rPr>
                <w:rFonts w:hint="eastAsia" w:ascii="宋体" w:hAnsi="宋体"/>
                <w:szCs w:val="21"/>
              </w:rPr>
              <w:t>（八）为确保制作质量，本项目共3个尺寸，制作前供应商需提供三个尺寸的样版供院方签字确认后方可进行批量制作，未提供样版，擅自大量生产，质量不合格的，院方有权拒绝签收，产生的一切损失由供应商负责。</w:t>
            </w:r>
          </w:p>
          <w:p w14:paraId="23D7BC78">
            <w:pPr>
              <w:rPr>
                <w:rFonts w:hint="eastAsia" w:ascii="宋体" w:hAnsi="宋体"/>
                <w:szCs w:val="21"/>
              </w:rPr>
            </w:pPr>
            <w:r>
              <w:rPr>
                <w:rFonts w:hint="eastAsia" w:ascii="宋体" w:hAnsi="宋体"/>
                <w:szCs w:val="21"/>
              </w:rPr>
              <w:t>（九）未能满足以上服务需求的，院方有权拒绝签收。</w:t>
            </w: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eastAsiaTheme="minorEastAsia"/>
          <w:b/>
          <w:bCs/>
          <w:sz w:val="32"/>
          <w:szCs w:val="32"/>
          <w:lang w:eastAsia="zh-CN"/>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10752651"/>
    <w:rsid w:val="158428DE"/>
    <w:rsid w:val="1B811546"/>
    <w:rsid w:val="23562F57"/>
    <w:rsid w:val="240A4FE9"/>
    <w:rsid w:val="3A9E6DCF"/>
    <w:rsid w:val="5C6B5C2C"/>
    <w:rsid w:val="68045275"/>
    <w:rsid w:val="68506CF6"/>
    <w:rsid w:val="6A2D10EF"/>
    <w:rsid w:val="7A4B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1480</Words>
  <Characters>1503</Characters>
  <Lines>0</Lines>
  <Paragraphs>0</Paragraphs>
  <TotalTime>3</TotalTime>
  <ScaleCrop>false</ScaleCrop>
  <LinksUpToDate>false</LinksUpToDate>
  <CharactersWithSpaces>1653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H3C</cp:lastModifiedBy>
  <dcterms:modified xsi:type="dcterms:W3CDTF">2025-08-11T01:19:58Z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4697569789E34EDD9E9DF7BAA44817C6_13</vt:lpwstr>
  </property>
  <property fmtid="{D5CDD505-2E9C-101B-9397-08002B2CF9AE}" pid="4" name="KSOTemplateDocerSaveRecord">
    <vt:lpwstr>eyJoZGlkIjoiNTY4NGM1MWU2MzBiOWM4MDQ5MzJmNzk2NzIxNWNlMzcifQ==</vt:lpwstr>
  </property>
</Properties>
</file>