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5795C3"/>
    <w:tbl>
      <w:tblPr>
        <w:tblStyle w:val="7"/>
        <w:tblW w:w="5000" w:type="pct"/>
        <w:tblInd w:w="0" w:type="dxa"/>
        <w:tblLayout w:type="autofit"/>
        <w:tblCellMar>
          <w:top w:w="0" w:type="dxa"/>
          <w:left w:w="108" w:type="dxa"/>
          <w:bottom w:w="0" w:type="dxa"/>
          <w:right w:w="108" w:type="dxa"/>
        </w:tblCellMar>
      </w:tblPr>
      <w:tblGrid>
        <w:gridCol w:w="661"/>
        <w:gridCol w:w="7861"/>
      </w:tblGrid>
      <w:tr w14:paraId="58C2CB30">
        <w:tblPrEx>
          <w:tblCellMar>
            <w:top w:w="0" w:type="dxa"/>
            <w:left w:w="108" w:type="dxa"/>
            <w:bottom w:w="0" w:type="dxa"/>
            <w:right w:w="108" w:type="dxa"/>
          </w:tblCellMar>
        </w:tblPrEx>
        <w:trPr>
          <w:trHeight w:val="464" w:hRule="atLeast"/>
        </w:trPr>
        <w:tc>
          <w:tcPr>
            <w:tcW w:w="5000" w:type="pct"/>
            <w:gridSpan w:val="2"/>
            <w:tcBorders>
              <w:top w:val="nil"/>
              <w:left w:val="nil"/>
              <w:bottom w:val="nil"/>
              <w:right w:val="nil"/>
            </w:tcBorders>
            <w:shd w:val="clear" w:color="auto" w:fill="auto"/>
            <w:noWrap/>
            <w:vAlign w:val="center"/>
          </w:tcPr>
          <w:p w14:paraId="4A61EE6A">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rPr>
              <w:t>托管检测与响应服务</w:t>
            </w:r>
          </w:p>
        </w:tc>
      </w:tr>
      <w:tr w14:paraId="56F666B7">
        <w:tblPrEx>
          <w:tblCellMar>
            <w:top w:w="0" w:type="dxa"/>
            <w:left w:w="108" w:type="dxa"/>
            <w:bottom w:w="0" w:type="dxa"/>
            <w:right w:w="108" w:type="dxa"/>
          </w:tblCellMar>
        </w:tblPrEx>
        <w:trPr>
          <w:trHeight w:val="336"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05B5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序号</w:t>
            </w:r>
          </w:p>
        </w:tc>
        <w:tc>
          <w:tcPr>
            <w:tcW w:w="4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F37D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val="en-US" w:eastAsia="zh-CN"/>
              </w:rPr>
              <w:t>参数</w:t>
            </w:r>
            <w:r>
              <w:rPr>
                <w:rFonts w:hint="eastAsia" w:ascii="宋体" w:hAnsi="宋体" w:eastAsia="宋体" w:cs="宋体"/>
                <w:color w:val="000000"/>
                <w:kern w:val="0"/>
                <w:sz w:val="22"/>
                <w:szCs w:val="22"/>
              </w:rPr>
              <w:t>内容</w:t>
            </w:r>
          </w:p>
        </w:tc>
      </w:tr>
      <w:tr w14:paraId="7D65D2BB">
        <w:tblPrEx>
          <w:tblCellMar>
            <w:top w:w="0" w:type="dxa"/>
            <w:left w:w="108" w:type="dxa"/>
            <w:bottom w:w="0" w:type="dxa"/>
            <w:right w:w="108" w:type="dxa"/>
          </w:tblCellMar>
        </w:tblPrEx>
        <w:trPr>
          <w:trHeight w:val="102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3CFE3">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rPr>
              <w:t>1</w:t>
            </w:r>
          </w:p>
        </w:tc>
        <w:tc>
          <w:tcPr>
            <w:tcW w:w="4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D02AD">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针对用户指定的</w:t>
            </w:r>
            <w:r>
              <w:rPr>
                <w:rFonts w:hint="eastAsia" w:ascii="宋体" w:hAnsi="宋体" w:eastAsia="宋体" w:cs="宋体"/>
                <w:color w:val="000000"/>
                <w:kern w:val="0"/>
                <w:sz w:val="22"/>
                <w:szCs w:val="22"/>
                <w:lang w:val="en-US" w:eastAsia="zh-CN"/>
              </w:rPr>
              <w:t>服务</w:t>
            </w:r>
            <w:r>
              <w:rPr>
                <w:rFonts w:hint="eastAsia" w:ascii="宋体" w:hAnsi="宋体" w:eastAsia="宋体" w:cs="宋体"/>
                <w:color w:val="000000"/>
                <w:kern w:val="0"/>
                <w:sz w:val="22"/>
                <w:szCs w:val="22"/>
              </w:rPr>
              <w:t>资产（IP）提供安全专家在服务期内全天候7×24小时持续在线守护，同时要求安全专家主动识别安全风险（弱密码、勒索风险等）并跟进闭环，可以有效预防安全事件的发生，并提供全方面的安全托管能力，包括资产管理、脆弱性管理、威胁管理、事件管理、定期运营汇报等。并</w:t>
            </w:r>
            <w:r>
              <w:rPr>
                <w:rFonts w:ascii="宋体" w:hAnsi="宋体" w:eastAsia="宋体" w:cs="宋体"/>
                <w:color w:val="000000"/>
                <w:kern w:val="0"/>
                <w:sz w:val="22"/>
                <w:szCs w:val="22"/>
              </w:rPr>
              <w:t>依据相关规范，利用漏洞扫描工具扫描网络中的核心服务器、重要的网络设备以及WEB业务系统</w:t>
            </w:r>
            <w:r>
              <w:rPr>
                <w:rFonts w:hint="eastAsia" w:ascii="宋体" w:hAnsi="宋体" w:eastAsia="宋体" w:cs="宋体"/>
                <w:color w:val="000000"/>
                <w:kern w:val="0"/>
                <w:sz w:val="22"/>
                <w:szCs w:val="22"/>
              </w:rPr>
              <w:t>，</w:t>
            </w:r>
            <w:r>
              <w:rPr>
                <w:rFonts w:ascii="宋体" w:hAnsi="宋体" w:eastAsia="宋体" w:cs="宋体"/>
                <w:color w:val="000000"/>
                <w:kern w:val="0"/>
                <w:sz w:val="22"/>
                <w:szCs w:val="22"/>
              </w:rPr>
              <w:t>包括服务器、交换机、防火墙等</w:t>
            </w:r>
            <w:r>
              <w:rPr>
                <w:rFonts w:hint="eastAsia" w:ascii="宋体" w:hAnsi="宋体" w:eastAsia="宋体" w:cs="宋体"/>
                <w:color w:val="000000"/>
                <w:kern w:val="0"/>
                <w:sz w:val="22"/>
                <w:szCs w:val="22"/>
              </w:rPr>
              <w:t>的</w:t>
            </w:r>
            <w:r>
              <w:rPr>
                <w:rFonts w:ascii="宋体" w:hAnsi="宋体" w:eastAsia="宋体" w:cs="宋体"/>
                <w:color w:val="000000"/>
                <w:kern w:val="0"/>
                <w:sz w:val="22"/>
                <w:szCs w:val="22"/>
              </w:rPr>
              <w:t>Web漏洞扫描</w:t>
            </w:r>
            <w:r>
              <w:rPr>
                <w:rFonts w:hint="eastAsia" w:ascii="宋体" w:hAnsi="宋体" w:eastAsia="宋体" w:cs="宋体"/>
                <w:color w:val="000000"/>
                <w:kern w:val="0"/>
                <w:sz w:val="22"/>
                <w:szCs w:val="22"/>
              </w:rPr>
              <w:t>、</w:t>
            </w:r>
            <w:r>
              <w:rPr>
                <w:rFonts w:ascii="宋体" w:hAnsi="宋体" w:eastAsia="宋体" w:cs="宋体"/>
                <w:color w:val="000000"/>
                <w:kern w:val="0"/>
                <w:sz w:val="22"/>
                <w:szCs w:val="22"/>
              </w:rPr>
              <w:t>系统漏洞扫描/数据库漏洞扫描</w:t>
            </w:r>
            <w:r>
              <w:rPr>
                <w:rFonts w:hint="eastAsia" w:ascii="宋体" w:hAnsi="宋体" w:eastAsia="宋体" w:cs="宋体"/>
                <w:color w:val="000000"/>
                <w:kern w:val="0"/>
                <w:sz w:val="22"/>
                <w:szCs w:val="22"/>
              </w:rPr>
              <w:t>、</w:t>
            </w:r>
            <w:r>
              <w:rPr>
                <w:rFonts w:ascii="宋体" w:hAnsi="宋体" w:eastAsia="宋体" w:cs="宋体"/>
                <w:color w:val="000000"/>
                <w:kern w:val="0"/>
                <w:sz w:val="22"/>
                <w:szCs w:val="22"/>
              </w:rPr>
              <w:t>信息泄漏检测</w:t>
            </w:r>
            <w:r>
              <w:rPr>
                <w:rFonts w:hint="eastAsia" w:ascii="宋体" w:hAnsi="宋体" w:eastAsia="宋体" w:cs="宋体"/>
                <w:color w:val="000000"/>
                <w:kern w:val="0"/>
                <w:sz w:val="22"/>
                <w:szCs w:val="22"/>
              </w:rPr>
              <w:t>、</w:t>
            </w:r>
            <w:r>
              <w:rPr>
                <w:rFonts w:ascii="宋体" w:hAnsi="宋体" w:eastAsia="宋体" w:cs="宋体"/>
                <w:color w:val="000000"/>
                <w:kern w:val="0"/>
                <w:sz w:val="22"/>
                <w:szCs w:val="22"/>
              </w:rPr>
              <w:t>弱口令检测。对网络设备进行安全漏洞检测和分析，对识别出的能被入侵者用来非法进入网络或者非法获取信息资产的漏洞，并将这些漏洞信息与业务资产信息通过漏洞管理平台进行统一关联、展示与追踪，使得管理人员可以有效地追踪业务资产漏洞全生命周期，实现漏洞信息全生命周期的可视、可控和可管。</w:t>
            </w:r>
          </w:p>
        </w:tc>
      </w:tr>
      <w:tr w14:paraId="0A8F92A5">
        <w:tblPrEx>
          <w:tblCellMar>
            <w:top w:w="0" w:type="dxa"/>
            <w:left w:w="108" w:type="dxa"/>
            <w:bottom w:w="0" w:type="dxa"/>
            <w:right w:w="108" w:type="dxa"/>
          </w:tblCellMar>
        </w:tblPrEx>
        <w:trPr>
          <w:trHeight w:val="34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34089">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rPr>
              <w:t>2</w:t>
            </w:r>
          </w:p>
        </w:tc>
        <w:tc>
          <w:tcPr>
            <w:tcW w:w="4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45E76">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服务资产数量：不少于30个IP资产；服务频率：12个月7*24小时。</w:t>
            </w:r>
          </w:p>
        </w:tc>
      </w:tr>
      <w:tr w14:paraId="770C40F5">
        <w:tblPrEx>
          <w:tblCellMar>
            <w:top w:w="0" w:type="dxa"/>
            <w:left w:w="108" w:type="dxa"/>
            <w:bottom w:w="0" w:type="dxa"/>
            <w:right w:w="108" w:type="dxa"/>
          </w:tblCellMar>
        </w:tblPrEx>
        <w:trPr>
          <w:trHeight w:val="102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7CB36">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rPr>
              <w:t>3</w:t>
            </w:r>
          </w:p>
        </w:tc>
        <w:tc>
          <w:tcPr>
            <w:tcW w:w="4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D6C7D">
            <w:pPr>
              <w:widowControl/>
              <w:jc w:val="left"/>
              <w:textAlignment w:val="center"/>
            </w:pP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针对服务范围内的资产提供全面梳理（梳理的信息包含支撑业务系统运转的操作系统、数据库、中间件、应用系统的版本，类型，IP地址；应用开放协议和端口；应用系统管理方式、资产的重要性以及网络拓扑），并将信息录入到安全托管平台中进行管理；当资产发生变更时，安全专家对变更信息进行确认与更新。</w:t>
            </w:r>
          </w:p>
        </w:tc>
      </w:tr>
      <w:tr w14:paraId="1EC3A4A4">
        <w:tblPrEx>
          <w:tblCellMar>
            <w:top w:w="0" w:type="dxa"/>
            <w:left w:w="108" w:type="dxa"/>
            <w:bottom w:w="0" w:type="dxa"/>
            <w:right w:w="108" w:type="dxa"/>
          </w:tblCellMar>
        </w:tblPrEx>
        <w:trPr>
          <w:trHeight w:val="102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2331A">
            <w:pPr>
              <w:widowControl/>
              <w:jc w:val="center"/>
              <w:textAlignment w:val="center"/>
              <w:rPr>
                <w:rFonts w:ascii="Calibri" w:hAnsi="Calibri" w:eastAsia="宋体" w:cs="Calibri"/>
                <w:color w:val="000000"/>
                <w:kern w:val="0"/>
                <w:szCs w:val="21"/>
              </w:rPr>
            </w:pPr>
            <w:r>
              <w:rPr>
                <w:rFonts w:hint="eastAsia" w:ascii="Calibri" w:hAnsi="Calibri" w:eastAsia="宋体" w:cs="Calibri"/>
                <w:color w:val="000000"/>
                <w:kern w:val="0"/>
                <w:szCs w:val="21"/>
              </w:rPr>
              <w:t>4</w:t>
            </w:r>
          </w:p>
        </w:tc>
        <w:tc>
          <w:tcPr>
            <w:tcW w:w="4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C3369">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具体服务内容如下：</w:t>
            </w:r>
          </w:p>
          <w:p w14:paraId="321E61BE">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w:t>
            </w:r>
            <w:r>
              <w:rPr>
                <w:rFonts w:ascii="宋体" w:hAnsi="宋体" w:eastAsia="宋体" w:cs="宋体"/>
                <w:color w:val="000000"/>
                <w:kern w:val="0"/>
                <w:sz w:val="22"/>
                <w:szCs w:val="22"/>
              </w:rPr>
              <w:t>.1资产识别与梳理</w:t>
            </w:r>
            <w:r>
              <w:rPr>
                <w:rFonts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4</w:t>
            </w:r>
            <w:r>
              <w:rPr>
                <w:rFonts w:ascii="宋体" w:hAnsi="宋体" w:eastAsia="宋体" w:cs="宋体"/>
                <w:color w:val="000000"/>
                <w:kern w:val="0"/>
                <w:sz w:val="22"/>
                <w:szCs w:val="22"/>
              </w:rPr>
              <w:t xml:space="preserve">.1.1资产发现与识别 </w:t>
            </w:r>
            <w:r>
              <w:rPr>
                <w:rFonts w:ascii="宋体" w:hAnsi="宋体" w:eastAsia="宋体" w:cs="宋体"/>
                <w:color w:val="000000"/>
                <w:kern w:val="0"/>
                <w:sz w:val="22"/>
                <w:szCs w:val="22"/>
              </w:rPr>
              <w:br w:type="textWrapping"/>
            </w:r>
            <w:r>
              <w:rPr>
                <w:rFonts w:ascii="宋体" w:hAnsi="宋体" w:eastAsia="宋体" w:cs="宋体"/>
                <w:color w:val="000000"/>
                <w:kern w:val="0"/>
                <w:sz w:val="22"/>
                <w:szCs w:val="22"/>
              </w:rPr>
              <w:t>借助安全工具对用户资产进行全面发现和深度识别，并在后续服务过程中触发资产变更等相关服务流程，确保安全运营中心中资产信息的准确性和全面性。</w:t>
            </w:r>
            <w:r>
              <w:rPr>
                <w:rFonts w:hint="eastAsia" w:ascii="宋体" w:hAnsi="宋体" w:eastAsia="宋体" w:cs="宋体"/>
                <w:color w:val="000000"/>
                <w:kern w:val="0"/>
                <w:sz w:val="22"/>
                <w:szCs w:val="22"/>
                <w:lang w:val="en-US" w:eastAsia="zh-CN"/>
              </w:rPr>
              <w:t>且</w:t>
            </w:r>
            <w:r>
              <w:rPr>
                <w:rFonts w:ascii="宋体" w:hAnsi="宋体" w:eastAsia="宋体" w:cs="宋体"/>
                <w:i w:val="0"/>
                <w:iCs w:val="0"/>
                <w:color w:val="000000"/>
                <w:kern w:val="0"/>
                <w:sz w:val="24"/>
                <w:szCs w:val="24"/>
                <w:u w:val="none"/>
                <w:lang w:val="en-US" w:eastAsia="zh-CN" w:bidi="ar"/>
              </w:rPr>
              <w:t>为医院提供深度威胁狩猎服务（频率1次/季度）：安全专家可针对内/外网或特定业务系统及特定漏洞，基于客户业务定制检测逻辑，尽可能快地发现漏洞或攻击痕迹，发现潜在的安全隐患和已失陷的主机/被钓鱼成功的员工/账密信息泄露等，最大限度地降低攻击者造成的危害，评估造成的损失等内容，最终帮助客户验证风险并推动发现的问题和隐患进行闭环处理。</w:t>
            </w:r>
            <w:r>
              <w:rPr>
                <w:rFonts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4</w:t>
            </w:r>
            <w:r>
              <w:rPr>
                <w:rFonts w:ascii="宋体" w:hAnsi="宋体" w:eastAsia="宋体" w:cs="宋体"/>
                <w:color w:val="000000"/>
                <w:kern w:val="0"/>
                <w:sz w:val="22"/>
                <w:szCs w:val="22"/>
              </w:rPr>
              <w:t xml:space="preserve">.1.2资产信息梳理与管理 </w:t>
            </w:r>
            <w:r>
              <w:rPr>
                <w:rFonts w:ascii="宋体" w:hAnsi="宋体" w:eastAsia="宋体" w:cs="宋体"/>
                <w:color w:val="000000"/>
                <w:kern w:val="0"/>
                <w:sz w:val="22"/>
                <w:szCs w:val="22"/>
              </w:rPr>
              <w:br w:type="textWrapping"/>
            </w:r>
            <w:r>
              <w:rPr>
                <w:rFonts w:ascii="宋体" w:hAnsi="宋体" w:eastAsia="宋体" w:cs="宋体"/>
                <w:color w:val="000000"/>
                <w:kern w:val="0"/>
                <w:sz w:val="22"/>
                <w:szCs w:val="22"/>
              </w:rPr>
              <w:t>结合安全工具发现的资产信息，首次进行服务范围内资产的全面梳理（梳理的信息包含支撑业务系统运转的操作系统、数据库、中间件、应用系统的版本，类型，IP地址；应用开放协议和端口；应用系统管理方式、资产的重要性以及网络拓扑），并将信息录入到安全运营平台中进行管理；当资产发生变更时，安全专家对变更信息进行确认与更新。</w:t>
            </w:r>
            <w:r>
              <w:rPr>
                <w:rFonts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4</w:t>
            </w:r>
            <w:r>
              <w:rPr>
                <w:rFonts w:ascii="宋体" w:hAnsi="宋体" w:eastAsia="宋体" w:cs="宋体"/>
                <w:color w:val="000000"/>
                <w:kern w:val="0"/>
                <w:sz w:val="22"/>
                <w:szCs w:val="22"/>
              </w:rPr>
              <w:t xml:space="preserve">.1.3脆弱性评估 </w:t>
            </w:r>
            <w:r>
              <w:rPr>
                <w:rFonts w:ascii="宋体" w:hAnsi="宋体" w:eastAsia="宋体" w:cs="宋体"/>
                <w:color w:val="000000"/>
                <w:kern w:val="0"/>
                <w:sz w:val="22"/>
                <w:szCs w:val="22"/>
              </w:rPr>
              <w:br w:type="textWrapping"/>
            </w:r>
            <w:r>
              <w:rPr>
                <w:rFonts w:ascii="宋体" w:hAnsi="宋体" w:eastAsia="宋体" w:cs="宋体"/>
                <w:color w:val="000000"/>
                <w:kern w:val="0"/>
                <w:sz w:val="22"/>
                <w:szCs w:val="22"/>
              </w:rPr>
              <w:t>系统与Web漏洞扫描：对操作系统、数据库、常见应用/协议、Web通用漏洞与常规漏洞进行漏洞扫描。</w:t>
            </w:r>
            <w:r>
              <w:rPr>
                <w:rFonts w:ascii="宋体" w:hAnsi="宋体" w:eastAsia="宋体" w:cs="宋体"/>
                <w:color w:val="000000"/>
                <w:kern w:val="0"/>
                <w:sz w:val="22"/>
                <w:szCs w:val="22"/>
              </w:rPr>
              <w:br w:type="textWrapping"/>
            </w:r>
            <w:r>
              <w:rPr>
                <w:rFonts w:ascii="宋体" w:hAnsi="宋体" w:eastAsia="宋体" w:cs="宋体"/>
                <w:color w:val="000000"/>
                <w:kern w:val="0"/>
                <w:sz w:val="22"/>
                <w:szCs w:val="22"/>
              </w:rPr>
              <w:t>弱口令扫描：实现信息化资产不同应用弱口令猜解检测，如：SMB、Mssql、Mysql、Oracle、smtp、VNC、ftp、telnet、ssh、mysql、tomcat等</w:t>
            </w:r>
            <w:r>
              <w:rPr>
                <w:rFonts w:ascii="宋体" w:hAnsi="宋体" w:eastAsia="宋体" w:cs="宋体"/>
                <w:color w:val="000000"/>
                <w:kern w:val="0"/>
                <w:sz w:val="22"/>
                <w:szCs w:val="22"/>
              </w:rPr>
              <w:br w:type="textWrapping"/>
            </w:r>
            <w:r>
              <w:rPr>
                <w:rFonts w:ascii="宋体" w:hAnsi="宋体" w:eastAsia="宋体" w:cs="宋体"/>
                <w:color w:val="000000"/>
                <w:kern w:val="0"/>
                <w:sz w:val="22"/>
                <w:szCs w:val="22"/>
              </w:rPr>
              <w:t>基线配置核查：检查支撑信息化业务的主机操作系统、数据库、中间件的基线配置情况，确保达到相应的安全防护要求。检查项包含但不限于帐号和口令管理、认证、授权策略、网络与服务、进程和启动、文件系统权限、访问控制等配置情况</w:t>
            </w:r>
            <w:r>
              <w:rPr>
                <w:rFonts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4</w:t>
            </w:r>
            <w:r>
              <w:rPr>
                <w:rFonts w:ascii="宋体" w:hAnsi="宋体" w:eastAsia="宋体" w:cs="宋体"/>
                <w:color w:val="000000"/>
                <w:kern w:val="0"/>
                <w:sz w:val="22"/>
                <w:szCs w:val="22"/>
              </w:rPr>
              <w:t>.1.4病毒类事件评估</w:t>
            </w:r>
            <w:r>
              <w:rPr>
                <w:rFonts w:ascii="宋体" w:hAnsi="宋体" w:eastAsia="宋体" w:cs="宋体"/>
                <w:color w:val="000000"/>
                <w:kern w:val="0"/>
                <w:sz w:val="22"/>
                <w:szCs w:val="22"/>
              </w:rPr>
              <w:br w:type="textWrapping"/>
            </w:r>
            <w:r>
              <w:rPr>
                <w:rFonts w:ascii="宋体" w:hAnsi="宋体" w:eastAsia="宋体" w:cs="宋体"/>
                <w:color w:val="000000"/>
                <w:kern w:val="0"/>
                <w:sz w:val="22"/>
                <w:szCs w:val="22"/>
              </w:rPr>
              <w:t>勒索病毒事件分析：安服专家分析判断主机是否感染了勒索病毒；是否已感染勒索病毒文件；根据已发生的漏洞攻击行为分析判断否存在勒索病毒攻击等。</w:t>
            </w:r>
            <w:r>
              <w:rPr>
                <w:rFonts w:ascii="宋体" w:hAnsi="宋体" w:eastAsia="宋体" w:cs="宋体"/>
                <w:color w:val="000000"/>
                <w:kern w:val="0"/>
                <w:sz w:val="22"/>
                <w:szCs w:val="22"/>
              </w:rPr>
              <w:br w:type="textWrapping"/>
            </w:r>
            <w:r>
              <w:rPr>
                <w:rFonts w:ascii="宋体" w:hAnsi="宋体" w:eastAsia="宋体" w:cs="宋体"/>
                <w:color w:val="000000"/>
                <w:kern w:val="0"/>
                <w:sz w:val="22"/>
                <w:szCs w:val="22"/>
              </w:rPr>
              <w:t>挖矿病毒事件分析：安服专家分析是否感染了挖矿病毒/木马；是否处于挖矿状态；根据已发生的漏洞攻击行为分析判断是否存在以植入挖矿木马为目的的漏洞攻击等</w:t>
            </w:r>
            <w:r>
              <w:rPr>
                <w:rFonts w:ascii="宋体" w:hAnsi="宋体" w:eastAsia="宋体" w:cs="宋体"/>
                <w:color w:val="000000"/>
                <w:kern w:val="0"/>
                <w:sz w:val="22"/>
                <w:szCs w:val="22"/>
              </w:rPr>
              <w:br w:type="textWrapping"/>
            </w:r>
            <w:r>
              <w:rPr>
                <w:rFonts w:ascii="宋体" w:hAnsi="宋体" w:eastAsia="宋体" w:cs="宋体"/>
                <w:color w:val="000000"/>
                <w:kern w:val="0"/>
                <w:sz w:val="22"/>
                <w:szCs w:val="22"/>
              </w:rPr>
              <w:t>蠕虫病毒事件：安服专家确认文件是否被感染，定位失陷的代码并进行修复</w:t>
            </w:r>
            <w:r>
              <w:rPr>
                <w:rFonts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4</w:t>
            </w:r>
            <w:r>
              <w:rPr>
                <w:rFonts w:ascii="宋体" w:hAnsi="宋体" w:eastAsia="宋体" w:cs="宋体"/>
                <w:color w:val="000000"/>
                <w:kern w:val="0"/>
                <w:sz w:val="22"/>
                <w:szCs w:val="22"/>
              </w:rPr>
              <w:t xml:space="preserve">.1.5攻击行为评估 </w:t>
            </w:r>
            <w:r>
              <w:rPr>
                <w:rFonts w:ascii="宋体" w:hAnsi="宋体" w:eastAsia="宋体" w:cs="宋体"/>
                <w:color w:val="000000"/>
                <w:kern w:val="0"/>
                <w:sz w:val="22"/>
                <w:szCs w:val="22"/>
              </w:rPr>
              <w:br w:type="textWrapping"/>
            </w:r>
            <w:r>
              <w:rPr>
                <w:rFonts w:ascii="宋体" w:hAnsi="宋体" w:eastAsia="宋体" w:cs="宋体"/>
                <w:color w:val="000000"/>
                <w:kern w:val="0"/>
                <w:sz w:val="22"/>
                <w:szCs w:val="22"/>
              </w:rPr>
              <w:t>针对漏洞利用攻击行为、Webshell上传行为、Web系统目录遍历攻击行为、SQL注入攻击行为、信息泄露攻击行为、口令暴力破解攻击行为、僵尸网络攻击行为、系统命令注入攻击行为及僵尸网络攻击行为进行分析评估，判断攻击行为是否成功以及业务风险点。</w:t>
            </w:r>
            <w:r>
              <w:rPr>
                <w:rFonts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4</w:t>
            </w:r>
            <w:r>
              <w:rPr>
                <w:rFonts w:ascii="宋体" w:hAnsi="宋体" w:eastAsia="宋体" w:cs="宋体"/>
                <w:color w:val="000000"/>
                <w:kern w:val="0"/>
                <w:sz w:val="22"/>
                <w:szCs w:val="22"/>
              </w:rPr>
              <w:t>.1.6失陷类事件评估</w:t>
            </w:r>
            <w:r>
              <w:rPr>
                <w:rFonts w:ascii="宋体" w:hAnsi="宋体" w:eastAsia="宋体" w:cs="宋体"/>
                <w:color w:val="000000"/>
                <w:kern w:val="0"/>
                <w:sz w:val="22"/>
                <w:szCs w:val="22"/>
              </w:rPr>
              <w:br w:type="textWrapping"/>
            </w:r>
            <w:r>
              <w:rPr>
                <w:rFonts w:ascii="宋体" w:hAnsi="宋体" w:eastAsia="宋体" w:cs="宋体"/>
                <w:color w:val="000000"/>
                <w:kern w:val="0"/>
                <w:sz w:val="22"/>
                <w:szCs w:val="22"/>
              </w:rPr>
              <w:t>失陷主机分析：安全专家对失陷主机进行分析研判（如后门脚本类事件），并给出修复建议。</w:t>
            </w:r>
            <w:r>
              <w:rPr>
                <w:rFonts w:ascii="宋体" w:hAnsi="宋体" w:eastAsia="宋体" w:cs="宋体"/>
                <w:color w:val="000000"/>
                <w:kern w:val="0"/>
                <w:sz w:val="22"/>
                <w:szCs w:val="22"/>
              </w:rPr>
              <w:br w:type="textWrapping"/>
            </w:r>
            <w:r>
              <w:rPr>
                <w:rFonts w:ascii="宋体" w:hAnsi="宋体" w:eastAsia="宋体" w:cs="宋体"/>
                <w:color w:val="000000"/>
                <w:kern w:val="0"/>
                <w:sz w:val="22"/>
                <w:szCs w:val="22"/>
              </w:rPr>
              <w:t>潜伏威胁分析：安全专家分析内网主机的非法外联威胁行为，判断是否存在潜伏威胁，并给出解决建议。含：对外攻击、APT C&amp;C通道、隐藏外联通道等外联威胁行为。</w:t>
            </w:r>
            <w:r>
              <w:rPr>
                <w:rFonts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4</w:t>
            </w:r>
            <w:r>
              <w:rPr>
                <w:rFonts w:ascii="宋体" w:hAnsi="宋体" w:eastAsia="宋体" w:cs="宋体"/>
                <w:color w:val="000000"/>
                <w:kern w:val="0"/>
                <w:sz w:val="22"/>
                <w:szCs w:val="22"/>
              </w:rPr>
              <w:t>.2问题处置</w:t>
            </w:r>
            <w:r>
              <w:rPr>
                <w:rFonts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4</w:t>
            </w:r>
            <w:r>
              <w:rPr>
                <w:rFonts w:ascii="宋体" w:hAnsi="宋体" w:eastAsia="宋体" w:cs="宋体"/>
                <w:color w:val="000000"/>
                <w:kern w:val="0"/>
                <w:sz w:val="22"/>
                <w:szCs w:val="22"/>
              </w:rPr>
              <w:t xml:space="preserve">.2.1脆弱性问题处置 </w:t>
            </w:r>
            <w:r>
              <w:rPr>
                <w:rFonts w:ascii="宋体" w:hAnsi="宋体" w:eastAsia="宋体" w:cs="宋体"/>
                <w:color w:val="000000"/>
                <w:kern w:val="0"/>
                <w:sz w:val="22"/>
                <w:szCs w:val="22"/>
              </w:rPr>
              <w:br w:type="textWrapping"/>
            </w:r>
            <w:r>
              <w:rPr>
                <w:rFonts w:ascii="宋体" w:hAnsi="宋体" w:eastAsia="宋体" w:cs="宋体"/>
                <w:color w:val="000000"/>
                <w:kern w:val="0"/>
                <w:sz w:val="22"/>
                <w:szCs w:val="22"/>
              </w:rPr>
              <w:t>针对内网脆弱性，安全专家分析研判后提供实际佐证材料，并给出修复建议。</w:t>
            </w:r>
            <w:r>
              <w:rPr>
                <w:rFonts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4</w:t>
            </w:r>
            <w:r>
              <w:rPr>
                <w:rFonts w:ascii="宋体" w:hAnsi="宋体" w:eastAsia="宋体" w:cs="宋体"/>
                <w:color w:val="000000"/>
                <w:kern w:val="0"/>
                <w:sz w:val="22"/>
                <w:szCs w:val="22"/>
              </w:rPr>
              <w:t>.2.2病毒类事件处置</w:t>
            </w:r>
            <w:r>
              <w:rPr>
                <w:rFonts w:ascii="宋体" w:hAnsi="宋体" w:eastAsia="宋体" w:cs="宋体"/>
                <w:color w:val="000000"/>
                <w:kern w:val="0"/>
                <w:sz w:val="22"/>
                <w:szCs w:val="22"/>
              </w:rPr>
              <w:br w:type="textWrapping"/>
            </w:r>
            <w:r>
              <w:rPr>
                <w:rFonts w:ascii="宋体" w:hAnsi="宋体" w:eastAsia="宋体" w:cs="宋体"/>
                <w:color w:val="000000"/>
                <w:kern w:val="0"/>
                <w:sz w:val="22"/>
                <w:szCs w:val="22"/>
              </w:rPr>
              <w:t>针对病毒类事件。安全专家提供病毒处置工具并主导查杀10个实例。若超过10个实例，安全专家固化出实际可行的措施，确保用户可进行查杀病毒。</w:t>
            </w:r>
            <w:r>
              <w:rPr>
                <w:rFonts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4</w:t>
            </w:r>
            <w:r>
              <w:rPr>
                <w:rFonts w:ascii="宋体" w:hAnsi="宋体" w:eastAsia="宋体" w:cs="宋体"/>
                <w:color w:val="000000"/>
                <w:kern w:val="0"/>
                <w:sz w:val="22"/>
                <w:szCs w:val="22"/>
              </w:rPr>
              <w:t>.2.3入侵攻击行为处置</w:t>
            </w:r>
            <w:r>
              <w:rPr>
                <w:rFonts w:ascii="宋体" w:hAnsi="宋体" w:eastAsia="宋体" w:cs="宋体"/>
                <w:color w:val="000000"/>
                <w:kern w:val="0"/>
                <w:sz w:val="22"/>
                <w:szCs w:val="22"/>
              </w:rPr>
              <w:br w:type="textWrapping"/>
            </w:r>
            <w:r>
              <w:rPr>
                <w:rFonts w:ascii="宋体" w:hAnsi="宋体" w:eastAsia="宋体" w:cs="宋体"/>
                <w:color w:val="000000"/>
                <w:kern w:val="0"/>
                <w:sz w:val="22"/>
                <w:szCs w:val="22"/>
              </w:rPr>
              <w:t>针对分析研判确认的入侵行为，安全专家给出策略调整建议。如果有AF设备等，在获得授权后，在服务时间内安全专家调整安全策略。</w:t>
            </w:r>
            <w:r>
              <w:rPr>
                <w:rFonts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4</w:t>
            </w:r>
            <w:r>
              <w:rPr>
                <w:rFonts w:ascii="宋体" w:hAnsi="宋体" w:eastAsia="宋体" w:cs="宋体"/>
                <w:color w:val="000000"/>
                <w:kern w:val="0"/>
                <w:sz w:val="22"/>
                <w:szCs w:val="22"/>
              </w:rPr>
              <w:t>.2.4失陷类事件处置</w:t>
            </w:r>
            <w:r>
              <w:rPr>
                <w:rFonts w:ascii="宋体" w:hAnsi="宋体" w:eastAsia="宋体" w:cs="宋体"/>
                <w:color w:val="000000"/>
                <w:kern w:val="0"/>
                <w:sz w:val="22"/>
                <w:szCs w:val="22"/>
              </w:rPr>
              <w:br w:type="textWrapping"/>
            </w:r>
            <w:r>
              <w:rPr>
                <w:rFonts w:ascii="宋体" w:hAnsi="宋体" w:eastAsia="宋体" w:cs="宋体"/>
                <w:color w:val="000000"/>
                <w:kern w:val="0"/>
                <w:sz w:val="22"/>
                <w:szCs w:val="22"/>
              </w:rPr>
              <w:t>针对勒索、挖矿类事件。安全专家主导处置工作，并提供最大程度溯源服务（如涉及到重装业务系统，提供重装指导）；安全专家定位恶意文件路径并提供查杀指导（授权情况下，可由我方直接操作）；并分析有无异常进程与服务，发现异常进行通告（授权情况下，可由我方直接对异常情况进行操作）。</w:t>
            </w:r>
            <w:r>
              <w:rPr>
                <w:rFonts w:ascii="宋体" w:hAnsi="宋体" w:eastAsia="宋体" w:cs="宋体"/>
                <w:color w:val="000000"/>
                <w:kern w:val="0"/>
                <w:sz w:val="22"/>
                <w:szCs w:val="22"/>
              </w:rPr>
              <w:br w:type="textWrapping"/>
            </w:r>
            <w:r>
              <w:rPr>
                <w:rFonts w:ascii="宋体" w:hAnsi="宋体" w:eastAsia="宋体" w:cs="宋体"/>
                <w:color w:val="000000"/>
                <w:kern w:val="0"/>
                <w:sz w:val="22"/>
                <w:szCs w:val="22"/>
              </w:rPr>
              <w:t>针对后门脚本类事件。安全专家主导处置工作，提供专杀工具对感染服务器进行全面后门脚本查杀，并提供最大程度溯源服务。</w:t>
            </w:r>
            <w:r>
              <w:rPr>
                <w:rFonts w:ascii="宋体" w:hAnsi="宋体" w:eastAsia="宋体" w:cs="宋体"/>
                <w:color w:val="000000"/>
                <w:kern w:val="0"/>
                <w:sz w:val="22"/>
                <w:szCs w:val="22"/>
              </w:rPr>
              <w:br w:type="textWrapping"/>
            </w:r>
            <w:r>
              <w:rPr>
                <w:rFonts w:ascii="宋体" w:hAnsi="宋体" w:eastAsia="宋体" w:cs="宋体"/>
                <w:color w:val="000000"/>
                <w:kern w:val="0"/>
                <w:sz w:val="22"/>
                <w:szCs w:val="22"/>
              </w:rPr>
              <w:t>针对隐藏通信通道、可疑外发行为。安全专家提供实际佐证材料，并给出修复建议，提供最大范围的溯源服务。配合定位异常进程以及恶意文件，并提供查杀建议（客户授权情况下，我方开展查杀工作。默认主导查杀10个实例，若超过10个实例，固化出实际可行的措施，确保用户可进行查杀病毒。）</w:t>
            </w:r>
            <w:r>
              <w:rPr>
                <w:rFonts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4</w:t>
            </w:r>
            <w:r>
              <w:rPr>
                <w:rFonts w:ascii="宋体" w:hAnsi="宋体" w:eastAsia="宋体" w:cs="宋体"/>
                <w:color w:val="000000"/>
                <w:kern w:val="0"/>
                <w:sz w:val="22"/>
                <w:szCs w:val="22"/>
              </w:rPr>
              <w:t>.3运营能力评估</w:t>
            </w:r>
            <w:r>
              <w:rPr>
                <w:rFonts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4</w:t>
            </w:r>
            <w:r>
              <w:rPr>
                <w:rFonts w:ascii="宋体" w:hAnsi="宋体" w:eastAsia="宋体" w:cs="宋体"/>
                <w:color w:val="000000"/>
                <w:kern w:val="0"/>
                <w:sz w:val="22"/>
                <w:szCs w:val="22"/>
              </w:rPr>
              <w:t>.3.1安全调查</w:t>
            </w:r>
            <w:r>
              <w:rPr>
                <w:rFonts w:ascii="宋体" w:hAnsi="宋体" w:eastAsia="宋体" w:cs="宋体"/>
                <w:color w:val="000000"/>
                <w:kern w:val="0"/>
                <w:sz w:val="22"/>
                <w:szCs w:val="22"/>
              </w:rPr>
              <w:br w:type="textWrapping"/>
            </w:r>
            <w:r>
              <w:rPr>
                <w:rFonts w:ascii="宋体" w:hAnsi="宋体" w:eastAsia="宋体" w:cs="宋体"/>
                <w:color w:val="000000"/>
                <w:kern w:val="0"/>
                <w:sz w:val="22"/>
                <w:szCs w:val="22"/>
              </w:rPr>
              <w:t>采用线上调查问卷的方式，调研用户是否具备资产管理、漏洞管理、威胁监测技术、风险评估、应急预案等方面的信息安全措施。</w:t>
            </w:r>
            <w:r>
              <w:rPr>
                <w:rFonts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4</w:t>
            </w:r>
            <w:r>
              <w:rPr>
                <w:rFonts w:ascii="宋体" w:hAnsi="宋体" w:eastAsia="宋体" w:cs="宋体"/>
                <w:color w:val="000000"/>
                <w:kern w:val="0"/>
                <w:sz w:val="22"/>
                <w:szCs w:val="22"/>
              </w:rPr>
              <w:t>.3.2安全运营能力成熟度评估</w:t>
            </w:r>
            <w:r>
              <w:rPr>
                <w:rFonts w:ascii="宋体" w:hAnsi="宋体" w:eastAsia="宋体" w:cs="宋体"/>
                <w:color w:val="000000"/>
                <w:kern w:val="0"/>
                <w:sz w:val="22"/>
                <w:szCs w:val="22"/>
              </w:rPr>
              <w:br w:type="textWrapping"/>
            </w:r>
            <w:r>
              <w:rPr>
                <w:rFonts w:ascii="宋体" w:hAnsi="宋体" w:eastAsia="宋体" w:cs="宋体"/>
                <w:color w:val="000000"/>
                <w:kern w:val="0"/>
                <w:sz w:val="22"/>
                <w:szCs w:val="22"/>
              </w:rPr>
              <w:t>采用线下访谈的方式，对用户信息安全措施进行调研评估。内容包含管理策略、资产管理、漏洞管理、威胁监测、威胁情报、风险评估、应急预案管理、安全事件管理。并根据调研的内容输出安全运营能力成熟度。</w:t>
            </w:r>
            <w:r>
              <w:rPr>
                <w:rFonts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4</w:t>
            </w:r>
            <w:r>
              <w:rPr>
                <w:rFonts w:ascii="宋体" w:hAnsi="宋体" w:eastAsia="宋体" w:cs="宋体"/>
                <w:color w:val="000000"/>
                <w:kern w:val="0"/>
                <w:sz w:val="22"/>
                <w:szCs w:val="22"/>
              </w:rPr>
              <w:t>.3.3安全运营能力成熟度解读</w:t>
            </w:r>
            <w:r>
              <w:rPr>
                <w:rFonts w:ascii="宋体" w:hAnsi="宋体" w:eastAsia="宋体" w:cs="宋体"/>
                <w:color w:val="000000"/>
                <w:kern w:val="0"/>
                <w:sz w:val="22"/>
                <w:szCs w:val="22"/>
              </w:rPr>
              <w:br w:type="textWrapping"/>
            </w:r>
            <w:r>
              <w:rPr>
                <w:rFonts w:ascii="宋体" w:hAnsi="宋体" w:eastAsia="宋体" w:cs="宋体"/>
                <w:color w:val="000000"/>
                <w:kern w:val="0"/>
                <w:sz w:val="22"/>
                <w:szCs w:val="22"/>
              </w:rPr>
              <w:t>结合评估出的安全运营能力成熟度以及客户业务，提供安全能力差距分析报告解读。</w:t>
            </w:r>
            <w:r>
              <w:rPr>
                <w:rFonts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4</w:t>
            </w:r>
            <w:r>
              <w:rPr>
                <w:rFonts w:ascii="宋体" w:hAnsi="宋体" w:eastAsia="宋体" w:cs="宋体"/>
                <w:color w:val="000000"/>
                <w:kern w:val="0"/>
                <w:sz w:val="22"/>
                <w:szCs w:val="22"/>
              </w:rPr>
              <w:t>.4漏洞管理</w:t>
            </w:r>
            <w:r>
              <w:rPr>
                <w:rFonts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4</w:t>
            </w:r>
            <w:r>
              <w:rPr>
                <w:rFonts w:ascii="宋体" w:hAnsi="宋体" w:eastAsia="宋体" w:cs="宋体"/>
                <w:color w:val="000000"/>
                <w:kern w:val="0"/>
                <w:sz w:val="22"/>
                <w:szCs w:val="22"/>
              </w:rPr>
              <w:t>.4.1漏洞分析与管理</w:t>
            </w:r>
            <w:r>
              <w:rPr>
                <w:rFonts w:ascii="宋体" w:hAnsi="宋体" w:eastAsia="宋体" w:cs="宋体"/>
                <w:color w:val="000000"/>
                <w:kern w:val="0"/>
                <w:sz w:val="22"/>
                <w:szCs w:val="22"/>
              </w:rPr>
              <w:br w:type="textWrapping"/>
            </w:r>
            <w:r>
              <w:rPr>
                <w:rFonts w:ascii="宋体" w:hAnsi="宋体" w:eastAsia="宋体" w:cs="宋体"/>
                <w:color w:val="000000"/>
                <w:kern w:val="0"/>
                <w:sz w:val="22"/>
                <w:szCs w:val="22"/>
              </w:rPr>
              <w:t>漏洞扫描与验证：每月针对服务范围内的资产的系统漏洞和Web漏洞进行全量扫描，并针对发现的漏洞进行验证，验证漏洞在已有的安全体系发生的风险及分析发生后可造成的危害。</w:t>
            </w:r>
            <w:r>
              <w:rPr>
                <w:rFonts w:ascii="宋体" w:hAnsi="宋体" w:eastAsia="宋体" w:cs="宋体"/>
                <w:color w:val="000000"/>
                <w:kern w:val="0"/>
                <w:sz w:val="22"/>
                <w:szCs w:val="22"/>
              </w:rPr>
              <w:br w:type="textWrapping"/>
            </w:r>
            <w:r>
              <w:rPr>
                <w:rFonts w:ascii="宋体" w:hAnsi="宋体" w:eastAsia="宋体" w:cs="宋体"/>
                <w:color w:val="000000"/>
                <w:kern w:val="0"/>
                <w:sz w:val="22"/>
                <w:szCs w:val="22"/>
              </w:rPr>
              <w:t>每日针对变更的资产执行增量扫描，并针对发现的漏洞进行验证。</w:t>
            </w:r>
            <w:r>
              <w:rPr>
                <w:rFonts w:ascii="宋体" w:hAnsi="宋体" w:eastAsia="宋体" w:cs="宋体"/>
                <w:color w:val="000000"/>
                <w:kern w:val="0"/>
                <w:sz w:val="22"/>
                <w:szCs w:val="22"/>
              </w:rPr>
              <w:br w:type="textWrapping"/>
            </w:r>
            <w:r>
              <w:rPr>
                <w:rFonts w:ascii="宋体" w:hAnsi="宋体" w:eastAsia="宋体" w:cs="宋体"/>
                <w:color w:val="000000"/>
                <w:kern w:val="0"/>
                <w:sz w:val="22"/>
                <w:szCs w:val="22"/>
              </w:rPr>
              <w:t>漏洞修复优先级排序与通告：基于漏洞扫描结果、资产重要性及漏洞的威胁情报，对漏洞进行重要性排序，确定修复的优先级；并将最终结果通告给用户</w:t>
            </w:r>
            <w:r>
              <w:rPr>
                <w:rFonts w:ascii="宋体" w:hAnsi="宋体" w:eastAsia="宋体" w:cs="宋体"/>
                <w:color w:val="000000"/>
                <w:kern w:val="0"/>
                <w:sz w:val="22"/>
                <w:szCs w:val="22"/>
              </w:rPr>
              <w:br w:type="textWrapping"/>
            </w:r>
            <w:r>
              <w:rPr>
                <w:rFonts w:ascii="宋体" w:hAnsi="宋体" w:eastAsia="宋体" w:cs="宋体"/>
                <w:color w:val="000000"/>
                <w:kern w:val="0"/>
                <w:sz w:val="22"/>
                <w:szCs w:val="22"/>
              </w:rPr>
              <w:t>漏洞落地性处置建议：对漏洞进行分类并书写漏洞分类处置方案，并通过工单系统跟踪修复情况。</w:t>
            </w:r>
            <w:r>
              <w:rPr>
                <w:rFonts w:ascii="宋体" w:hAnsi="宋体" w:eastAsia="宋体" w:cs="宋体"/>
                <w:color w:val="000000"/>
                <w:kern w:val="0"/>
                <w:sz w:val="22"/>
                <w:szCs w:val="22"/>
              </w:rPr>
              <w:br w:type="textWrapping"/>
            </w:r>
            <w:r>
              <w:rPr>
                <w:rFonts w:ascii="宋体" w:hAnsi="宋体" w:eastAsia="宋体" w:cs="宋体"/>
                <w:color w:val="000000"/>
                <w:kern w:val="0"/>
                <w:sz w:val="22"/>
                <w:szCs w:val="22"/>
              </w:rPr>
              <w:t>漏洞复测与状态追踪：对修复的漏洞进行复测，关闭正常修复的漏洞的工单。制定漏洞闭环服务报告，并向管理层进行汇报</w:t>
            </w:r>
            <w:r>
              <w:rPr>
                <w:rFonts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4</w:t>
            </w:r>
            <w:r>
              <w:rPr>
                <w:rFonts w:ascii="宋体" w:hAnsi="宋体" w:eastAsia="宋体" w:cs="宋体"/>
                <w:color w:val="000000"/>
                <w:kern w:val="0"/>
                <w:sz w:val="22"/>
                <w:szCs w:val="22"/>
              </w:rPr>
              <w:t xml:space="preserve">.4.2弱口令分析与管理 </w:t>
            </w:r>
            <w:r>
              <w:rPr>
                <w:rFonts w:ascii="宋体" w:hAnsi="宋体" w:eastAsia="宋体" w:cs="宋体"/>
                <w:color w:val="000000"/>
                <w:kern w:val="0"/>
                <w:sz w:val="22"/>
                <w:szCs w:val="22"/>
              </w:rPr>
              <w:br w:type="textWrapping"/>
            </w:r>
            <w:r>
              <w:rPr>
                <w:rFonts w:ascii="宋体" w:hAnsi="宋体" w:eastAsia="宋体" w:cs="宋体"/>
                <w:color w:val="000000"/>
                <w:kern w:val="0"/>
                <w:sz w:val="22"/>
                <w:szCs w:val="22"/>
              </w:rPr>
              <w:t>实现信息化资产不同应用弱口令猜解检测，如：SMB、Mssql、Mysql、Oracle、smtp、VNC、ftp、telnet、ssh、mysql、tomcat等。</w:t>
            </w:r>
            <w:r>
              <w:rPr>
                <w:rFonts w:ascii="宋体" w:hAnsi="宋体" w:eastAsia="宋体" w:cs="宋体"/>
                <w:color w:val="000000"/>
                <w:kern w:val="0"/>
                <w:sz w:val="22"/>
                <w:szCs w:val="22"/>
              </w:rPr>
              <w:br w:type="textWrapping"/>
            </w:r>
            <w:r>
              <w:rPr>
                <w:rFonts w:ascii="宋体" w:hAnsi="宋体" w:eastAsia="宋体" w:cs="宋体"/>
                <w:color w:val="000000"/>
                <w:kern w:val="0"/>
                <w:sz w:val="22"/>
                <w:szCs w:val="22"/>
              </w:rPr>
              <w:t>针对不同行业提供行业密码字典，有针对性的进行内网弱口令检测。</w:t>
            </w:r>
            <w:r>
              <w:rPr>
                <w:rFonts w:ascii="宋体" w:hAnsi="宋体" w:eastAsia="宋体" w:cs="宋体"/>
                <w:color w:val="000000"/>
                <w:kern w:val="0"/>
                <w:sz w:val="22"/>
                <w:szCs w:val="22"/>
              </w:rPr>
              <w:br w:type="textWrapping"/>
            </w:r>
            <w:r>
              <w:rPr>
                <w:rFonts w:ascii="宋体" w:hAnsi="宋体" w:eastAsia="宋体" w:cs="宋体"/>
                <w:color w:val="000000"/>
                <w:kern w:val="0"/>
                <w:sz w:val="22"/>
                <w:szCs w:val="22"/>
              </w:rPr>
              <w:t>并将检测发现的问题通过工单系统跟踪修复状态。</w:t>
            </w:r>
            <w:r>
              <w:rPr>
                <w:rFonts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4</w:t>
            </w:r>
            <w:r>
              <w:rPr>
                <w:rFonts w:ascii="宋体" w:hAnsi="宋体" w:eastAsia="宋体" w:cs="宋体"/>
                <w:color w:val="000000"/>
                <w:kern w:val="0"/>
                <w:sz w:val="22"/>
                <w:szCs w:val="22"/>
              </w:rPr>
              <w:t>.4.3最新漏洞预警与响应</w:t>
            </w:r>
            <w:r>
              <w:rPr>
                <w:rFonts w:ascii="宋体" w:hAnsi="宋体" w:eastAsia="宋体" w:cs="宋体"/>
                <w:color w:val="000000"/>
                <w:kern w:val="0"/>
                <w:sz w:val="22"/>
                <w:szCs w:val="22"/>
              </w:rPr>
              <w:br w:type="textWrapping"/>
            </w:r>
            <w:r>
              <w:rPr>
                <w:rFonts w:ascii="宋体" w:hAnsi="宋体" w:eastAsia="宋体" w:cs="宋体"/>
                <w:color w:val="000000"/>
                <w:kern w:val="0"/>
                <w:sz w:val="22"/>
                <w:szCs w:val="22"/>
              </w:rPr>
              <w:t>资产指纹信息梳理：梳理信息化资产详情（含操作系统、中间件、数据库、应用框架，开发语言等指纹信息）并将梳理的信息录入安全运营平台。</w:t>
            </w:r>
            <w:r>
              <w:rPr>
                <w:rFonts w:ascii="宋体" w:hAnsi="宋体" w:eastAsia="宋体" w:cs="宋体"/>
                <w:color w:val="000000"/>
                <w:kern w:val="0"/>
                <w:sz w:val="22"/>
                <w:szCs w:val="22"/>
              </w:rPr>
              <w:br w:type="textWrapping"/>
            </w:r>
            <w:r>
              <w:rPr>
                <w:rFonts w:ascii="宋体" w:hAnsi="宋体" w:eastAsia="宋体" w:cs="宋体"/>
                <w:color w:val="000000"/>
                <w:kern w:val="0"/>
                <w:sz w:val="22"/>
                <w:szCs w:val="22"/>
              </w:rPr>
              <w:t>最新漏洞预警与排查：实时抓取互联网最新漏洞与详细资产信息进行匹配，对最新漏洞进行预警与排查。预警信息中包含最新漏洞信息、影响资产范围。</w:t>
            </w:r>
            <w:r>
              <w:rPr>
                <w:rFonts w:ascii="宋体" w:hAnsi="宋体" w:eastAsia="宋体" w:cs="宋体"/>
                <w:color w:val="000000"/>
                <w:kern w:val="0"/>
                <w:sz w:val="22"/>
                <w:szCs w:val="22"/>
              </w:rPr>
              <w:br w:type="textWrapping"/>
            </w:r>
            <w:r>
              <w:rPr>
                <w:rFonts w:ascii="宋体" w:hAnsi="宋体" w:eastAsia="宋体" w:cs="宋体"/>
                <w:color w:val="000000"/>
                <w:kern w:val="0"/>
                <w:sz w:val="22"/>
                <w:szCs w:val="22"/>
              </w:rPr>
              <w:t>最新漏洞处置指导：一旦确认漏洞影响范围后，安全专家提供专业的处置建议，处置建议包含两部分，补丁方案以及临时规避措施。</w:t>
            </w:r>
            <w:r>
              <w:rPr>
                <w:rFonts w:ascii="宋体" w:hAnsi="宋体" w:eastAsia="宋体" w:cs="宋体"/>
                <w:color w:val="000000"/>
                <w:kern w:val="0"/>
                <w:sz w:val="22"/>
                <w:szCs w:val="22"/>
              </w:rPr>
              <w:br w:type="textWrapping"/>
            </w:r>
            <w:r>
              <w:rPr>
                <w:rFonts w:ascii="宋体" w:hAnsi="宋体" w:eastAsia="宋体" w:cs="宋体"/>
                <w:color w:val="000000"/>
                <w:kern w:val="0"/>
                <w:sz w:val="22"/>
                <w:szCs w:val="22"/>
              </w:rPr>
              <w:t>最新漏洞复测与状态跟踪：由安全专家对该最新漏洞建立状态追踪机制；跟踪修复状态，遗留情况。</w:t>
            </w:r>
            <w:r>
              <w:rPr>
                <w:rFonts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4</w:t>
            </w:r>
            <w:r>
              <w:rPr>
                <w:rFonts w:ascii="宋体" w:hAnsi="宋体" w:eastAsia="宋体" w:cs="宋体"/>
                <w:color w:val="000000"/>
                <w:kern w:val="0"/>
                <w:sz w:val="22"/>
                <w:szCs w:val="22"/>
              </w:rPr>
              <w:t>.4.4漏洞协助处置</w:t>
            </w:r>
            <w:r>
              <w:rPr>
                <w:rFonts w:ascii="宋体" w:hAnsi="宋体" w:eastAsia="宋体" w:cs="宋体"/>
                <w:color w:val="000000"/>
                <w:kern w:val="0"/>
                <w:sz w:val="22"/>
                <w:szCs w:val="22"/>
              </w:rPr>
              <w:br w:type="textWrapping"/>
            </w:r>
            <w:r>
              <w:rPr>
                <w:rFonts w:ascii="宋体" w:hAnsi="宋体" w:eastAsia="宋体" w:cs="宋体"/>
                <w:color w:val="000000"/>
                <w:kern w:val="0"/>
                <w:sz w:val="22"/>
                <w:szCs w:val="22"/>
              </w:rPr>
              <w:t>制定处置方案：根据用户实际业务场景需求，制定最适合的漏洞处置方案。</w:t>
            </w:r>
            <w:r>
              <w:rPr>
                <w:rFonts w:ascii="宋体" w:hAnsi="宋体" w:eastAsia="宋体" w:cs="宋体"/>
                <w:color w:val="000000"/>
                <w:kern w:val="0"/>
                <w:sz w:val="22"/>
                <w:szCs w:val="22"/>
              </w:rPr>
              <w:br w:type="textWrapping"/>
            </w:r>
            <w:r>
              <w:rPr>
                <w:rFonts w:ascii="宋体" w:hAnsi="宋体" w:eastAsia="宋体" w:cs="宋体"/>
                <w:color w:val="000000"/>
                <w:kern w:val="0"/>
                <w:sz w:val="22"/>
                <w:szCs w:val="22"/>
              </w:rPr>
              <w:t>处置方案验证：根据漏洞处置方案，在用户提供的测试环境中开展漏洞处置方案验证工作，观察处置方案对测试环境产生的影响，并提供最优修复方案建议。</w:t>
            </w:r>
            <w:r>
              <w:rPr>
                <w:rFonts w:ascii="宋体" w:hAnsi="宋体" w:eastAsia="宋体" w:cs="宋体"/>
                <w:color w:val="000000"/>
                <w:kern w:val="0"/>
                <w:sz w:val="22"/>
                <w:szCs w:val="22"/>
              </w:rPr>
              <w:br w:type="textWrapping"/>
            </w:r>
            <w:r>
              <w:rPr>
                <w:rFonts w:ascii="宋体" w:hAnsi="宋体" w:eastAsia="宋体" w:cs="宋体"/>
                <w:color w:val="000000"/>
                <w:kern w:val="0"/>
                <w:sz w:val="22"/>
                <w:szCs w:val="22"/>
              </w:rPr>
              <w:t>漏洞处置实施：在用户授权下，对漏洞进行处置工作，并验证漏洞是否依然存在以及配合验证业务影响面。</w:t>
            </w:r>
            <w:r>
              <w:rPr>
                <w:rFonts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4</w:t>
            </w:r>
            <w:r>
              <w:rPr>
                <w:rFonts w:ascii="宋体" w:hAnsi="宋体" w:eastAsia="宋体" w:cs="宋体"/>
                <w:color w:val="000000"/>
                <w:kern w:val="0"/>
                <w:sz w:val="22"/>
                <w:szCs w:val="22"/>
              </w:rPr>
              <w:t>.5威胁管理</w:t>
            </w:r>
            <w:r>
              <w:rPr>
                <w:rFonts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4</w:t>
            </w:r>
            <w:r>
              <w:rPr>
                <w:rFonts w:ascii="宋体" w:hAnsi="宋体" w:eastAsia="宋体" w:cs="宋体"/>
                <w:color w:val="000000"/>
                <w:kern w:val="0"/>
                <w:sz w:val="22"/>
                <w:szCs w:val="22"/>
              </w:rPr>
              <w:t xml:space="preserve">.5.1威胁分析与通告 </w:t>
            </w:r>
            <w:r>
              <w:rPr>
                <w:rFonts w:ascii="宋体" w:hAnsi="宋体" w:eastAsia="宋体" w:cs="宋体"/>
                <w:color w:val="000000"/>
                <w:kern w:val="0"/>
                <w:sz w:val="22"/>
                <w:szCs w:val="22"/>
              </w:rPr>
              <w:br w:type="textWrapping"/>
            </w:r>
            <w:r>
              <w:rPr>
                <w:rFonts w:ascii="宋体" w:hAnsi="宋体" w:eastAsia="宋体" w:cs="宋体"/>
                <w:color w:val="000000"/>
                <w:kern w:val="0"/>
                <w:sz w:val="22"/>
                <w:szCs w:val="22"/>
              </w:rPr>
              <w:t>结合大数据分析、人工智能、云端专家提供安全事件发现服务：依托于安全防护组件、检测响应组件和安全平台，将海量安全数据脱敏，包括漏洞信息、共享威胁情报、异常流量、攻击日志、病毒日志等数据，经由大数据处理平台结合人工智能和云端安全专家使用多种数据分析算法模型进行数据归因关联分析，实时监测网络安全状态,发现各类安全事件，并自动生成工单</w:t>
            </w:r>
            <w:r>
              <w:rPr>
                <w:rFonts w:ascii="宋体" w:hAnsi="宋体" w:eastAsia="宋体" w:cs="宋体"/>
                <w:color w:val="000000"/>
                <w:kern w:val="0"/>
                <w:sz w:val="22"/>
                <w:szCs w:val="22"/>
              </w:rPr>
              <w:br w:type="textWrapping"/>
            </w:r>
            <w:r>
              <w:rPr>
                <w:rFonts w:ascii="宋体" w:hAnsi="宋体" w:eastAsia="宋体" w:cs="宋体"/>
                <w:color w:val="000000"/>
                <w:kern w:val="0"/>
                <w:sz w:val="22"/>
                <w:szCs w:val="22"/>
              </w:rPr>
              <w:t>实时监测网络安全状态，对攻击事件自动化生成工单,及时进行分析与预警。攻击事件包含境外黑客攻击事件、高级黑客攻击事件、持续攻击事件。</w:t>
            </w:r>
            <w:r>
              <w:rPr>
                <w:rFonts w:ascii="宋体" w:hAnsi="宋体" w:eastAsia="宋体" w:cs="宋体"/>
                <w:color w:val="000000"/>
                <w:kern w:val="0"/>
                <w:sz w:val="22"/>
                <w:szCs w:val="22"/>
              </w:rPr>
              <w:br w:type="textWrapping"/>
            </w:r>
            <w:r>
              <w:rPr>
                <w:rFonts w:ascii="宋体" w:hAnsi="宋体" w:eastAsia="宋体" w:cs="宋体"/>
                <w:color w:val="000000"/>
                <w:kern w:val="0"/>
                <w:sz w:val="22"/>
                <w:szCs w:val="22"/>
              </w:rPr>
              <w:t>实时监测网络安全状态，对病毒事件自动化生成工单,及时进行分析与预警。病毒类型包含勒索型、流行病毒、挖矿型、蠕虫型、外发DOS型、C&amp;C访问型、文件感染型、木马型。</w:t>
            </w:r>
            <w:r>
              <w:rPr>
                <w:rFonts w:ascii="宋体" w:hAnsi="宋体" w:eastAsia="宋体" w:cs="宋体"/>
                <w:color w:val="000000"/>
                <w:kern w:val="0"/>
                <w:sz w:val="22"/>
                <w:szCs w:val="22"/>
              </w:rPr>
              <w:br w:type="textWrapping"/>
            </w:r>
            <w:r>
              <w:rPr>
                <w:rFonts w:ascii="宋体" w:hAnsi="宋体" w:eastAsia="宋体" w:cs="宋体"/>
                <w:color w:val="000000"/>
                <w:kern w:val="0"/>
                <w:sz w:val="22"/>
                <w:szCs w:val="22"/>
              </w:rPr>
              <w:t>安全专家针对每一类威胁，进行深度分析验证，分析判断是否存在其他可疑主机，将深度关联分析的结果通过邮件、微信等方式告知用户</w:t>
            </w:r>
            <w:r>
              <w:rPr>
                <w:rFonts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4</w:t>
            </w:r>
            <w:r>
              <w:rPr>
                <w:rFonts w:ascii="宋体" w:hAnsi="宋体" w:eastAsia="宋体" w:cs="宋体"/>
                <w:color w:val="000000"/>
                <w:kern w:val="0"/>
                <w:sz w:val="22"/>
                <w:szCs w:val="22"/>
              </w:rPr>
              <w:t xml:space="preserve">.5.2流行威胁通告与排查 </w:t>
            </w:r>
            <w:r>
              <w:rPr>
                <w:rFonts w:ascii="宋体" w:hAnsi="宋体" w:eastAsia="宋体" w:cs="宋体"/>
                <w:color w:val="000000"/>
                <w:kern w:val="0"/>
                <w:sz w:val="22"/>
                <w:szCs w:val="22"/>
              </w:rPr>
              <w:br w:type="textWrapping"/>
            </w:r>
            <w:r>
              <w:rPr>
                <w:rFonts w:ascii="宋体" w:hAnsi="宋体" w:eastAsia="宋体" w:cs="宋体"/>
                <w:color w:val="000000"/>
                <w:kern w:val="0"/>
                <w:sz w:val="22"/>
                <w:szCs w:val="22"/>
              </w:rPr>
              <w:t>结合威胁情报，安全专家排查是否对用户资产造成威胁并通知用户，协助及时进行安全加固</w:t>
            </w:r>
            <w:r>
              <w:rPr>
                <w:rFonts w:ascii="宋体" w:hAnsi="宋体" w:eastAsia="宋体" w:cs="宋体"/>
                <w:color w:val="000000"/>
                <w:kern w:val="0"/>
                <w:sz w:val="22"/>
                <w:szCs w:val="22"/>
              </w:rPr>
              <w:br w:type="textWrapping"/>
            </w:r>
            <w:r>
              <w:rPr>
                <w:rFonts w:ascii="宋体" w:hAnsi="宋体" w:eastAsia="宋体" w:cs="宋体"/>
                <w:color w:val="000000"/>
                <w:kern w:val="0"/>
                <w:sz w:val="22"/>
                <w:szCs w:val="22"/>
              </w:rPr>
              <w:t>主动分析与响应 每月主动分析病毒类的安全事件：安全专家提供病毒处置工具，并针对服务范围内的业务资产使用病毒处置工具进行病毒查杀，对于服务范围外的业务资产，安全专家协助用户查杀病毒；</w:t>
            </w:r>
            <w:r>
              <w:rPr>
                <w:rFonts w:ascii="宋体" w:hAnsi="宋体" w:eastAsia="宋体" w:cs="宋体"/>
                <w:color w:val="000000"/>
                <w:kern w:val="0"/>
                <w:sz w:val="22"/>
                <w:szCs w:val="22"/>
              </w:rPr>
              <w:br w:type="textWrapping"/>
            </w:r>
            <w:r>
              <w:rPr>
                <w:rFonts w:ascii="宋体" w:hAnsi="宋体" w:eastAsia="宋体" w:cs="宋体"/>
                <w:color w:val="000000"/>
                <w:kern w:val="0"/>
                <w:sz w:val="22"/>
                <w:szCs w:val="22"/>
              </w:rPr>
              <w:t>每月主动分析攻击类的安全事件：通过攻击日志分析，发现持续性攻击，立即采取行动实时对抗，当用户无防御措施时，提供攻击类安全事件的处置建议。</w:t>
            </w:r>
            <w:r>
              <w:rPr>
                <w:rFonts w:ascii="宋体" w:hAnsi="宋体" w:eastAsia="宋体" w:cs="宋体"/>
                <w:color w:val="000000"/>
                <w:kern w:val="0"/>
                <w:sz w:val="22"/>
                <w:szCs w:val="22"/>
              </w:rPr>
              <w:br w:type="textWrapping"/>
            </w:r>
            <w:r>
              <w:rPr>
                <w:rFonts w:ascii="宋体" w:hAnsi="宋体" w:eastAsia="宋体" w:cs="宋体"/>
                <w:color w:val="000000"/>
                <w:kern w:val="0"/>
                <w:sz w:val="22"/>
                <w:szCs w:val="22"/>
              </w:rPr>
              <w:t>每月主动分析漏洞利用类的安全事件并验证该漏洞是否利用成功，提供工具协助处置；</w:t>
            </w:r>
            <w:r>
              <w:rPr>
                <w:rFonts w:ascii="宋体" w:hAnsi="宋体" w:eastAsia="宋体" w:cs="宋体"/>
                <w:color w:val="000000"/>
                <w:kern w:val="0"/>
                <w:sz w:val="22"/>
                <w:szCs w:val="22"/>
              </w:rPr>
              <w:br w:type="textWrapping"/>
            </w:r>
            <w:r>
              <w:rPr>
                <w:rFonts w:ascii="宋体" w:hAnsi="宋体" w:eastAsia="宋体" w:cs="宋体"/>
                <w:color w:val="000000"/>
                <w:kern w:val="0"/>
                <w:sz w:val="22"/>
                <w:szCs w:val="22"/>
              </w:rPr>
              <w:t>每月主动分析失陷类的安全事件并协助用户处置，并提供溯源服务</w:t>
            </w:r>
            <w:r>
              <w:rPr>
                <w:rFonts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4</w:t>
            </w:r>
            <w:r>
              <w:rPr>
                <w:rFonts w:ascii="宋体" w:hAnsi="宋体" w:eastAsia="宋体" w:cs="宋体"/>
                <w:color w:val="000000"/>
                <w:kern w:val="0"/>
                <w:sz w:val="22"/>
                <w:szCs w:val="22"/>
              </w:rPr>
              <w:t>.5.</w:t>
            </w:r>
            <w:r>
              <w:rPr>
                <w:rFonts w:hint="eastAsia" w:ascii="宋体" w:hAnsi="宋体" w:eastAsia="宋体" w:cs="宋体"/>
                <w:color w:val="000000"/>
                <w:kern w:val="0"/>
                <w:sz w:val="22"/>
                <w:szCs w:val="22"/>
              </w:rPr>
              <w:t>3</w:t>
            </w:r>
            <w:r>
              <w:rPr>
                <w:rFonts w:ascii="宋体" w:hAnsi="宋体" w:eastAsia="宋体" w:cs="宋体"/>
                <w:color w:val="000000"/>
                <w:kern w:val="0"/>
                <w:sz w:val="22"/>
                <w:szCs w:val="22"/>
              </w:rPr>
              <w:t xml:space="preserve">策略管理 </w:t>
            </w:r>
            <w:r>
              <w:rPr>
                <w:rFonts w:ascii="宋体" w:hAnsi="宋体" w:eastAsia="宋体" w:cs="宋体"/>
                <w:color w:val="000000"/>
                <w:kern w:val="0"/>
                <w:sz w:val="22"/>
                <w:szCs w:val="22"/>
              </w:rPr>
              <w:br w:type="textWrapping"/>
            </w:r>
            <w:r>
              <w:rPr>
                <w:rFonts w:ascii="宋体" w:hAnsi="宋体" w:eastAsia="宋体" w:cs="宋体"/>
                <w:color w:val="000000"/>
                <w:kern w:val="0"/>
                <w:sz w:val="22"/>
                <w:szCs w:val="22"/>
              </w:rPr>
              <w:t>策略调配：新增资产、业务变更策略调优服务，业务变更时策略随业务变化而同步更新</w:t>
            </w:r>
            <w:r>
              <w:rPr>
                <w:rFonts w:ascii="宋体" w:hAnsi="宋体" w:eastAsia="宋体" w:cs="宋体"/>
                <w:color w:val="000000"/>
                <w:kern w:val="0"/>
                <w:sz w:val="22"/>
                <w:szCs w:val="22"/>
              </w:rPr>
              <w:br w:type="textWrapping"/>
            </w:r>
            <w:r>
              <w:rPr>
                <w:rFonts w:ascii="宋体" w:hAnsi="宋体" w:eastAsia="宋体" w:cs="宋体"/>
                <w:color w:val="000000"/>
                <w:kern w:val="0"/>
                <w:sz w:val="22"/>
                <w:szCs w:val="22"/>
              </w:rPr>
              <w:t>策略定期管理：安全专家每月对安全组件上的安全策略进行统一管理工作，确保安全组件上的安全策略始终处于最优水平，针对威胁能起到最好的防护效果。</w:t>
            </w:r>
            <w:r>
              <w:rPr>
                <w:rFonts w:ascii="宋体" w:hAnsi="宋体" w:eastAsia="宋体" w:cs="宋体"/>
                <w:color w:val="000000"/>
                <w:kern w:val="0"/>
                <w:sz w:val="22"/>
                <w:szCs w:val="22"/>
              </w:rPr>
              <w:br w:type="textWrapping"/>
            </w:r>
            <w:r>
              <w:rPr>
                <w:rFonts w:ascii="宋体" w:hAnsi="宋体" w:eastAsia="宋体" w:cs="宋体"/>
                <w:color w:val="000000"/>
                <w:kern w:val="0"/>
                <w:sz w:val="22"/>
                <w:szCs w:val="22"/>
              </w:rPr>
              <w:t>策略调整：安全专家根据安全事件分析的结果以及处置方式，按需对安全组件上的安全策略进行调整工作。</w:t>
            </w:r>
            <w:r>
              <w:rPr>
                <w:rFonts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4</w:t>
            </w:r>
            <w:r>
              <w:rPr>
                <w:rFonts w:ascii="宋体" w:hAnsi="宋体" w:eastAsia="宋体" w:cs="宋体"/>
                <w:color w:val="000000"/>
                <w:kern w:val="0"/>
                <w:sz w:val="22"/>
                <w:szCs w:val="22"/>
              </w:rPr>
              <w:t>.5.</w:t>
            </w:r>
            <w:r>
              <w:rPr>
                <w:rFonts w:hint="eastAsia" w:ascii="宋体" w:hAnsi="宋体" w:eastAsia="宋体" w:cs="宋体"/>
                <w:color w:val="000000"/>
                <w:kern w:val="0"/>
                <w:sz w:val="22"/>
                <w:szCs w:val="22"/>
              </w:rPr>
              <w:t>4</w:t>
            </w:r>
            <w:r>
              <w:rPr>
                <w:rFonts w:ascii="宋体" w:hAnsi="宋体" w:eastAsia="宋体" w:cs="宋体"/>
                <w:color w:val="000000"/>
                <w:kern w:val="0"/>
                <w:sz w:val="22"/>
                <w:szCs w:val="22"/>
              </w:rPr>
              <w:t xml:space="preserve">持续攻击对抗 </w:t>
            </w:r>
            <w:r>
              <w:rPr>
                <w:rFonts w:ascii="宋体" w:hAnsi="宋体" w:eastAsia="宋体" w:cs="宋体"/>
                <w:color w:val="000000"/>
                <w:kern w:val="0"/>
                <w:sz w:val="22"/>
                <w:szCs w:val="22"/>
              </w:rPr>
              <w:br w:type="textWrapping"/>
            </w:r>
            <w:r>
              <w:rPr>
                <w:rFonts w:ascii="宋体" w:hAnsi="宋体" w:eastAsia="宋体" w:cs="宋体"/>
                <w:color w:val="000000"/>
                <w:kern w:val="0"/>
                <w:sz w:val="22"/>
                <w:szCs w:val="22"/>
              </w:rPr>
              <w:t>通过攻击日志分析，发现持续性攻击，立即采取行动实时对抗。</w:t>
            </w:r>
            <w:r>
              <w:rPr>
                <w:rFonts w:ascii="宋体" w:hAnsi="宋体" w:eastAsia="宋体" w:cs="宋体"/>
                <w:color w:val="000000"/>
                <w:kern w:val="0"/>
                <w:sz w:val="22"/>
                <w:szCs w:val="22"/>
              </w:rPr>
              <w:br w:type="textWrapping"/>
            </w:r>
            <w:r>
              <w:rPr>
                <w:rFonts w:ascii="宋体" w:hAnsi="宋体" w:eastAsia="宋体" w:cs="宋体"/>
                <w:color w:val="000000"/>
                <w:kern w:val="0"/>
                <w:sz w:val="22"/>
                <w:szCs w:val="22"/>
              </w:rPr>
              <w:t>通过全网大数据分析，发现有境外黑客或高级黑客正在攻击，立即采取行动封锁黑客行为。</w:t>
            </w:r>
            <w:r>
              <w:rPr>
                <w:rFonts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4</w:t>
            </w:r>
            <w:r>
              <w:rPr>
                <w:rFonts w:ascii="宋体" w:hAnsi="宋体" w:eastAsia="宋体" w:cs="宋体"/>
                <w:color w:val="000000"/>
                <w:kern w:val="0"/>
                <w:sz w:val="22"/>
                <w:szCs w:val="22"/>
              </w:rPr>
              <w:t>.6事件管理</w:t>
            </w:r>
            <w:r>
              <w:rPr>
                <w:rFonts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4</w:t>
            </w:r>
            <w:r>
              <w:rPr>
                <w:rFonts w:ascii="宋体" w:hAnsi="宋体" w:eastAsia="宋体" w:cs="宋体"/>
                <w:color w:val="000000"/>
                <w:kern w:val="0"/>
                <w:sz w:val="22"/>
                <w:szCs w:val="22"/>
              </w:rPr>
              <w:t xml:space="preserve">.6.1事件分析与处置 </w:t>
            </w:r>
            <w:r>
              <w:rPr>
                <w:rFonts w:ascii="宋体" w:hAnsi="宋体" w:eastAsia="宋体" w:cs="宋体"/>
                <w:color w:val="000000"/>
                <w:kern w:val="0"/>
                <w:sz w:val="22"/>
                <w:szCs w:val="22"/>
              </w:rPr>
              <w:br w:type="textWrapping"/>
            </w:r>
            <w:r>
              <w:rPr>
                <w:rFonts w:ascii="宋体" w:hAnsi="宋体" w:eastAsia="宋体" w:cs="宋体"/>
                <w:color w:val="000000"/>
                <w:kern w:val="0"/>
                <w:sz w:val="22"/>
                <w:szCs w:val="22"/>
              </w:rPr>
              <w:t>对用户上报的安全事件进行及时响应。</w:t>
            </w:r>
            <w:r>
              <w:rPr>
                <w:rFonts w:ascii="宋体" w:hAnsi="宋体" w:eastAsia="宋体" w:cs="宋体"/>
                <w:color w:val="000000"/>
                <w:kern w:val="0"/>
                <w:sz w:val="22"/>
                <w:szCs w:val="22"/>
              </w:rPr>
              <w:br w:type="textWrapping"/>
            </w:r>
            <w:r>
              <w:rPr>
                <w:rFonts w:ascii="宋体" w:hAnsi="宋体" w:eastAsia="宋体" w:cs="宋体"/>
                <w:color w:val="000000"/>
                <w:kern w:val="0"/>
                <w:sz w:val="22"/>
                <w:szCs w:val="22"/>
              </w:rPr>
              <w:t>实时针对异常流量分析、攻击日志和病毒日志分析，经过海量数据脱敏、聚合发现安全事件。</w:t>
            </w:r>
            <w:r>
              <w:rPr>
                <w:rFonts w:ascii="宋体" w:hAnsi="宋体" w:eastAsia="宋体" w:cs="宋体"/>
                <w:color w:val="000000"/>
                <w:kern w:val="0"/>
                <w:sz w:val="22"/>
                <w:szCs w:val="22"/>
              </w:rPr>
              <w:br w:type="textWrapping"/>
            </w:r>
            <w:r>
              <w:rPr>
                <w:rFonts w:ascii="宋体" w:hAnsi="宋体" w:eastAsia="宋体" w:cs="宋体"/>
                <w:color w:val="000000"/>
                <w:kern w:val="0"/>
                <w:sz w:val="22"/>
                <w:szCs w:val="22"/>
              </w:rPr>
              <w:t>针对分析得到的勒索病毒、挖矿病毒、篡改事件、webshell、僵尸网络等安全事件，通过工具和方法对恶意文件、代码进行根除，帮助客户快速恢复业务，消除或减轻影响。</w:t>
            </w:r>
            <w:r>
              <w:rPr>
                <w:rFonts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4</w:t>
            </w:r>
            <w:r>
              <w:rPr>
                <w:rFonts w:ascii="宋体" w:hAnsi="宋体" w:eastAsia="宋体" w:cs="宋体"/>
                <w:color w:val="000000"/>
                <w:kern w:val="0"/>
                <w:sz w:val="22"/>
                <w:szCs w:val="22"/>
              </w:rPr>
              <w:t xml:space="preserve">.6.2应急响应 </w:t>
            </w:r>
            <w:r>
              <w:rPr>
                <w:rFonts w:ascii="宋体" w:hAnsi="宋体" w:eastAsia="宋体" w:cs="宋体"/>
                <w:color w:val="000000"/>
                <w:kern w:val="0"/>
                <w:sz w:val="22"/>
                <w:szCs w:val="22"/>
              </w:rPr>
              <w:br w:type="textWrapping"/>
            </w:r>
            <w:r>
              <w:rPr>
                <w:rFonts w:ascii="宋体" w:hAnsi="宋体" w:eastAsia="宋体" w:cs="宋体"/>
                <w:color w:val="000000"/>
                <w:kern w:val="0"/>
                <w:sz w:val="22"/>
                <w:szCs w:val="22"/>
              </w:rPr>
              <w:t>入侵影响抑制：通过事件检测分析，提供抑制手段，降低入侵影响，协助快速恢复业务。</w:t>
            </w:r>
            <w:r>
              <w:rPr>
                <w:rFonts w:ascii="宋体" w:hAnsi="宋体" w:eastAsia="宋体" w:cs="宋体"/>
                <w:color w:val="000000"/>
                <w:kern w:val="0"/>
                <w:sz w:val="22"/>
                <w:szCs w:val="22"/>
              </w:rPr>
              <w:br w:type="textWrapping"/>
            </w:r>
            <w:r>
              <w:rPr>
                <w:rFonts w:ascii="宋体" w:hAnsi="宋体" w:eastAsia="宋体" w:cs="宋体"/>
                <w:color w:val="000000"/>
                <w:kern w:val="0"/>
                <w:sz w:val="22"/>
                <w:szCs w:val="22"/>
              </w:rPr>
              <w:t>入侵威胁清除：排查攻击路径，恶意文件清除。</w:t>
            </w:r>
            <w:r>
              <w:rPr>
                <w:rFonts w:ascii="宋体" w:hAnsi="宋体" w:eastAsia="宋体" w:cs="宋体"/>
                <w:color w:val="000000"/>
                <w:kern w:val="0"/>
                <w:sz w:val="22"/>
                <w:szCs w:val="22"/>
              </w:rPr>
              <w:br w:type="textWrapping"/>
            </w:r>
            <w:r>
              <w:rPr>
                <w:rFonts w:ascii="宋体" w:hAnsi="宋体" w:eastAsia="宋体" w:cs="宋体"/>
                <w:color w:val="000000"/>
                <w:kern w:val="0"/>
                <w:sz w:val="22"/>
                <w:szCs w:val="22"/>
              </w:rPr>
              <w:t>入侵原因分析：还原攻击路径，分析入侵事件原因。</w:t>
            </w:r>
            <w:r>
              <w:rPr>
                <w:rFonts w:ascii="宋体" w:hAnsi="宋体" w:eastAsia="宋体" w:cs="宋体"/>
                <w:color w:val="000000"/>
                <w:kern w:val="0"/>
                <w:sz w:val="22"/>
                <w:szCs w:val="22"/>
              </w:rPr>
              <w:br w:type="textWrapping"/>
            </w:r>
            <w:r>
              <w:rPr>
                <w:rFonts w:ascii="宋体" w:hAnsi="宋体" w:eastAsia="宋体" w:cs="宋体"/>
                <w:color w:val="000000"/>
                <w:kern w:val="0"/>
                <w:sz w:val="22"/>
                <w:szCs w:val="22"/>
              </w:rPr>
              <w:t>加固建议指导：结合现有安全防御体系，指导用户进行安全加固、提供整改建议、防止再次入侵。</w:t>
            </w:r>
            <w:r>
              <w:rPr>
                <w:rFonts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4</w:t>
            </w:r>
            <w:r>
              <w:rPr>
                <w:rFonts w:ascii="宋体" w:hAnsi="宋体" w:eastAsia="宋体" w:cs="宋体"/>
                <w:color w:val="000000"/>
                <w:kern w:val="0"/>
                <w:sz w:val="22"/>
                <w:szCs w:val="22"/>
              </w:rPr>
              <w:t>.7运营可视</w:t>
            </w:r>
            <w:r>
              <w:rPr>
                <w:rFonts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4</w:t>
            </w:r>
            <w:r>
              <w:rPr>
                <w:rFonts w:ascii="宋体" w:hAnsi="宋体" w:eastAsia="宋体" w:cs="宋体"/>
                <w:color w:val="000000"/>
                <w:kern w:val="0"/>
                <w:sz w:val="22"/>
                <w:szCs w:val="22"/>
              </w:rPr>
              <w:t xml:space="preserve">.7.1安全运营可视化 </w:t>
            </w:r>
            <w:r>
              <w:rPr>
                <w:rFonts w:ascii="宋体" w:hAnsi="宋体" w:eastAsia="宋体" w:cs="宋体"/>
                <w:color w:val="000000"/>
                <w:kern w:val="0"/>
                <w:sz w:val="22"/>
                <w:szCs w:val="22"/>
              </w:rPr>
              <w:br w:type="textWrapping"/>
            </w:r>
            <w:r>
              <w:rPr>
                <w:rFonts w:ascii="宋体" w:hAnsi="宋体" w:eastAsia="宋体" w:cs="宋体"/>
                <w:color w:val="000000"/>
                <w:kern w:val="0"/>
                <w:sz w:val="22"/>
                <w:szCs w:val="22"/>
              </w:rPr>
              <w:t>通过安全运营平台，随时查看业务资产安全状态。</w:t>
            </w:r>
            <w:r>
              <w:rPr>
                <w:rFonts w:ascii="宋体" w:hAnsi="宋体" w:eastAsia="宋体" w:cs="宋体"/>
                <w:color w:val="000000"/>
                <w:kern w:val="0"/>
                <w:sz w:val="22"/>
                <w:szCs w:val="22"/>
              </w:rPr>
              <w:br w:type="textWrapping"/>
            </w:r>
            <w:r>
              <w:rPr>
                <w:rFonts w:ascii="宋体" w:hAnsi="宋体" w:eastAsia="宋体" w:cs="宋体"/>
                <w:color w:val="000000"/>
                <w:kern w:val="0"/>
                <w:sz w:val="22"/>
                <w:szCs w:val="22"/>
              </w:rPr>
              <w:t>在线展示所有事件监测结果、防御过程和防御结果。</w:t>
            </w:r>
            <w:r>
              <w:rPr>
                <w:rFonts w:ascii="宋体" w:hAnsi="宋体" w:eastAsia="宋体" w:cs="宋体"/>
                <w:color w:val="000000"/>
                <w:kern w:val="0"/>
                <w:sz w:val="22"/>
                <w:szCs w:val="22"/>
              </w:rPr>
              <w:br w:type="textWrapping"/>
            </w:r>
            <w:r>
              <w:rPr>
                <w:rFonts w:ascii="宋体" w:hAnsi="宋体" w:eastAsia="宋体" w:cs="宋体"/>
                <w:color w:val="000000"/>
                <w:kern w:val="0"/>
                <w:sz w:val="22"/>
                <w:szCs w:val="22"/>
              </w:rPr>
              <w:t>在线展示所有服务内容、流程和事件处理进展。</w:t>
            </w:r>
            <w:r>
              <w:rPr>
                <w:rFonts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4</w:t>
            </w:r>
            <w:r>
              <w:rPr>
                <w:rFonts w:ascii="宋体" w:hAnsi="宋体" w:eastAsia="宋体" w:cs="宋体"/>
                <w:color w:val="000000"/>
                <w:kern w:val="0"/>
                <w:sz w:val="22"/>
                <w:szCs w:val="22"/>
              </w:rPr>
              <w:t xml:space="preserve">.7.2定期安全运营汇报 </w:t>
            </w:r>
            <w:r>
              <w:rPr>
                <w:rFonts w:ascii="宋体" w:hAnsi="宋体" w:eastAsia="宋体" w:cs="宋体"/>
                <w:color w:val="000000"/>
                <w:kern w:val="0"/>
                <w:sz w:val="22"/>
                <w:szCs w:val="22"/>
              </w:rPr>
              <w:br w:type="textWrapping"/>
            </w:r>
            <w:r>
              <w:rPr>
                <w:rFonts w:ascii="宋体" w:hAnsi="宋体" w:eastAsia="宋体" w:cs="宋体"/>
                <w:color w:val="000000"/>
                <w:kern w:val="0"/>
                <w:sz w:val="22"/>
                <w:szCs w:val="22"/>
              </w:rPr>
              <w:t>定期总结阶段性安全运营情况发送给用户，并向用户总结汇报。</w:t>
            </w:r>
          </w:p>
        </w:tc>
      </w:tr>
      <w:tr w14:paraId="35EB54AD">
        <w:tblPrEx>
          <w:tblCellMar>
            <w:top w:w="0" w:type="dxa"/>
            <w:left w:w="108" w:type="dxa"/>
            <w:bottom w:w="0" w:type="dxa"/>
            <w:right w:w="108" w:type="dxa"/>
          </w:tblCellMar>
        </w:tblPrEx>
        <w:trPr>
          <w:trHeight w:val="68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603F1">
            <w:pPr>
              <w:widowControl/>
              <w:jc w:val="center"/>
              <w:textAlignment w:val="center"/>
              <w:rPr>
                <w:rFonts w:ascii="Calibri" w:hAnsi="Calibri" w:eastAsia="宋体" w:cs="Calibri"/>
                <w:color w:val="000000"/>
                <w:szCs w:val="21"/>
              </w:rPr>
            </w:pPr>
            <w:r>
              <w:rPr>
                <w:rFonts w:hint="eastAsia" w:ascii="Calibri" w:hAnsi="Calibri" w:eastAsia="宋体" w:cs="Calibri"/>
                <w:color w:val="000000"/>
                <w:kern w:val="0"/>
                <w:szCs w:val="21"/>
              </w:rPr>
              <w:t>5</w:t>
            </w:r>
          </w:p>
        </w:tc>
        <w:tc>
          <w:tcPr>
            <w:tcW w:w="4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084FE">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暴露面梳理：使用安全工具对服务资产开展互联网暴露面探测，以梳理资产面向互联网的开放情况，快速发现违规暴露在互联网中的资产及存在的风险并进行处置，实现对暴露面资产可管可控，降低暴露面资产的风险。</w:t>
            </w:r>
          </w:p>
        </w:tc>
      </w:tr>
      <w:tr w14:paraId="01F32311">
        <w:tblPrEx>
          <w:tblCellMar>
            <w:top w:w="0" w:type="dxa"/>
            <w:left w:w="108" w:type="dxa"/>
            <w:bottom w:w="0" w:type="dxa"/>
            <w:right w:w="108" w:type="dxa"/>
          </w:tblCellMar>
        </w:tblPrEx>
        <w:trPr>
          <w:trHeight w:val="34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85A6D">
            <w:pPr>
              <w:widowControl/>
              <w:jc w:val="center"/>
              <w:textAlignment w:val="center"/>
              <w:rPr>
                <w:rFonts w:ascii="Calibri" w:hAnsi="Calibri" w:eastAsia="宋体" w:cs="Calibri"/>
                <w:color w:val="000000"/>
                <w:szCs w:val="21"/>
              </w:rPr>
            </w:pPr>
            <w:r>
              <w:rPr>
                <w:rFonts w:hint="eastAsia" w:ascii="Calibri" w:hAnsi="Calibri" w:eastAsia="宋体" w:cs="Calibri"/>
                <w:color w:val="000000"/>
                <w:kern w:val="0"/>
                <w:szCs w:val="21"/>
              </w:rPr>
              <w:t>6</w:t>
            </w:r>
          </w:p>
        </w:tc>
        <w:tc>
          <w:tcPr>
            <w:tcW w:w="4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63076">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服务催单：针对服务平台生成的工单，用户可按需催单，服务平台采用短信等方式通知安全专家，督促投标方第一时间处理。</w:t>
            </w:r>
          </w:p>
        </w:tc>
      </w:tr>
      <w:tr w14:paraId="60CF2026">
        <w:tblPrEx>
          <w:tblCellMar>
            <w:top w:w="0" w:type="dxa"/>
            <w:left w:w="108" w:type="dxa"/>
            <w:bottom w:w="0" w:type="dxa"/>
            <w:right w:w="108" w:type="dxa"/>
          </w:tblCellMar>
        </w:tblPrEx>
        <w:trPr>
          <w:trHeight w:val="68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6B17C">
            <w:pPr>
              <w:widowControl/>
              <w:jc w:val="center"/>
              <w:textAlignment w:val="center"/>
              <w:rPr>
                <w:rFonts w:ascii="Calibri" w:hAnsi="Calibri" w:eastAsia="宋体" w:cs="Calibri"/>
                <w:color w:val="000000"/>
                <w:szCs w:val="21"/>
              </w:rPr>
            </w:pPr>
            <w:r>
              <w:rPr>
                <w:rFonts w:hint="eastAsia" w:ascii="Calibri" w:hAnsi="Calibri" w:eastAsia="宋体" w:cs="Calibri"/>
                <w:color w:val="000000"/>
                <w:kern w:val="0"/>
                <w:szCs w:val="21"/>
              </w:rPr>
              <w:t>7</w:t>
            </w:r>
          </w:p>
        </w:tc>
        <w:tc>
          <w:tcPr>
            <w:tcW w:w="4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14171">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实时监测网络安全状态，对攻击事件自动化生成工单，及时进行分析与预警。攻击事件包含境外黑客攻击事件、暴力破解攻击事件、持续攻击事件。</w:t>
            </w:r>
          </w:p>
        </w:tc>
      </w:tr>
      <w:tr w14:paraId="73DC6B59">
        <w:tblPrEx>
          <w:tblCellMar>
            <w:top w:w="0" w:type="dxa"/>
            <w:left w:w="108" w:type="dxa"/>
            <w:bottom w:w="0" w:type="dxa"/>
            <w:right w:w="108" w:type="dxa"/>
          </w:tblCellMar>
        </w:tblPrEx>
        <w:trPr>
          <w:trHeight w:val="102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9847C">
            <w:pPr>
              <w:widowControl/>
              <w:jc w:val="center"/>
              <w:textAlignment w:val="center"/>
              <w:rPr>
                <w:rFonts w:ascii="Calibri" w:hAnsi="Calibri" w:eastAsia="宋体" w:cs="Calibri"/>
                <w:color w:val="000000"/>
                <w:szCs w:val="21"/>
              </w:rPr>
            </w:pPr>
            <w:r>
              <w:rPr>
                <w:rFonts w:hint="eastAsia" w:ascii="Calibri" w:hAnsi="Calibri" w:eastAsia="宋体" w:cs="Calibri"/>
                <w:color w:val="000000"/>
                <w:kern w:val="0"/>
                <w:szCs w:val="21"/>
              </w:rPr>
              <w:t>8</w:t>
            </w:r>
          </w:p>
        </w:tc>
        <w:tc>
          <w:tcPr>
            <w:tcW w:w="4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36019">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策略定期管理：安全专家每月对招标方的安全设备的防护策略进行检查，确保安全设备上的安全策略始终处于最优水平，针对威胁能起到最好的防护效果。投标方云端服务平台应当具备丰富的策略检查工具（要求不少于40种策略检查的工具），支持排查安全设备防护策略配置的合理性。</w:t>
            </w:r>
          </w:p>
        </w:tc>
      </w:tr>
      <w:tr w14:paraId="1D12505D">
        <w:tblPrEx>
          <w:tblCellMar>
            <w:top w:w="0" w:type="dxa"/>
            <w:left w:w="108" w:type="dxa"/>
            <w:bottom w:w="0" w:type="dxa"/>
            <w:right w:w="108" w:type="dxa"/>
          </w:tblCellMar>
        </w:tblPrEx>
        <w:trPr>
          <w:trHeight w:val="68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6CBE7">
            <w:pPr>
              <w:widowControl/>
              <w:jc w:val="center"/>
              <w:textAlignment w:val="center"/>
              <w:rPr>
                <w:rFonts w:ascii="Calibri" w:hAnsi="Calibri" w:eastAsia="宋体" w:cs="Calibri"/>
                <w:color w:val="000000"/>
                <w:szCs w:val="21"/>
              </w:rPr>
            </w:pPr>
            <w:r>
              <w:rPr>
                <w:rFonts w:hint="eastAsia" w:ascii="Calibri" w:hAnsi="Calibri" w:eastAsia="宋体" w:cs="Calibri"/>
                <w:color w:val="000000"/>
                <w:kern w:val="0"/>
                <w:szCs w:val="21"/>
              </w:rPr>
              <w:t>9</w:t>
            </w:r>
          </w:p>
        </w:tc>
        <w:tc>
          <w:tcPr>
            <w:tcW w:w="4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93045">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基于主动响应和被动响应流程，对页面篡改、通报、断网、webshell、黑链等各类严重安全事件客户可以在平台上直接发起服务咨询，云端进行紧急响应和处置。</w:t>
            </w:r>
          </w:p>
        </w:tc>
      </w:tr>
      <w:tr w14:paraId="742941A4">
        <w:tblPrEx>
          <w:tblCellMar>
            <w:top w:w="0" w:type="dxa"/>
            <w:left w:w="108" w:type="dxa"/>
            <w:bottom w:w="0" w:type="dxa"/>
            <w:right w:w="108" w:type="dxa"/>
          </w:tblCellMar>
        </w:tblPrEx>
        <w:trPr>
          <w:trHeight w:val="102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E13AC">
            <w:pPr>
              <w:widowControl/>
              <w:jc w:val="center"/>
              <w:textAlignment w:val="center"/>
              <w:rPr>
                <w:rFonts w:ascii="Calibri" w:hAnsi="Calibri" w:eastAsia="宋体" w:cs="Calibri"/>
                <w:color w:val="000000"/>
                <w:szCs w:val="21"/>
              </w:rPr>
            </w:pPr>
            <w:r>
              <w:rPr>
                <w:rFonts w:hint="eastAsia" w:ascii="Calibri" w:hAnsi="Calibri" w:eastAsia="宋体" w:cs="Calibri"/>
                <w:color w:val="000000"/>
                <w:kern w:val="0"/>
                <w:szCs w:val="21"/>
              </w:rPr>
              <w:t>10</w:t>
            </w:r>
          </w:p>
        </w:tc>
        <w:tc>
          <w:tcPr>
            <w:tcW w:w="4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B938F">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提供服务监控门户，在门户中用户可查看业务安全状态，处置中的失陷事件以及针对这些事件的处置进度，处置责任人、联系方式等信息，方便用户时刻了解服务供应商的服务效果；平台支持的安全检测规则应超过1000个，且覆盖内网脆弱性问题，病毒类事件，入侵行为，勒索、挖矿类事件等。</w:t>
            </w:r>
          </w:p>
        </w:tc>
      </w:tr>
      <w:tr w14:paraId="57E1FC4A">
        <w:tblPrEx>
          <w:tblCellMar>
            <w:top w:w="0" w:type="dxa"/>
            <w:left w:w="108" w:type="dxa"/>
            <w:bottom w:w="0" w:type="dxa"/>
            <w:right w:w="108" w:type="dxa"/>
          </w:tblCellMar>
        </w:tblPrEx>
        <w:trPr>
          <w:trHeight w:val="68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E5DD7">
            <w:pPr>
              <w:widowControl/>
              <w:jc w:val="center"/>
              <w:textAlignment w:val="center"/>
              <w:rPr>
                <w:rFonts w:ascii="Calibri" w:hAnsi="Calibri" w:eastAsia="宋体" w:cs="Calibri"/>
                <w:color w:val="000000"/>
                <w:szCs w:val="21"/>
              </w:rPr>
            </w:pPr>
            <w:r>
              <w:rPr>
                <w:rFonts w:hint="eastAsia" w:ascii="Calibri" w:hAnsi="Calibri" w:eastAsia="宋体" w:cs="Calibri"/>
                <w:color w:val="000000"/>
                <w:kern w:val="0"/>
                <w:szCs w:val="21"/>
              </w:rPr>
              <w:t>11</w:t>
            </w:r>
          </w:p>
        </w:tc>
        <w:tc>
          <w:tcPr>
            <w:tcW w:w="4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64BED">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支持展示出当前工单数量和工单处置状态，使得招标方能详细查看服务处置过程，查看安全事件闭环效果，掌握当前专家服务进度，监督服务质量。</w:t>
            </w:r>
          </w:p>
        </w:tc>
      </w:tr>
      <w:tr w14:paraId="49F57EB2">
        <w:tblPrEx>
          <w:tblCellMar>
            <w:top w:w="0" w:type="dxa"/>
            <w:left w:w="108" w:type="dxa"/>
            <w:bottom w:w="0" w:type="dxa"/>
            <w:right w:w="108" w:type="dxa"/>
          </w:tblCellMar>
        </w:tblPrEx>
        <w:trPr>
          <w:trHeight w:val="68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0F163">
            <w:pPr>
              <w:widowControl/>
              <w:jc w:val="center"/>
              <w:textAlignment w:val="center"/>
              <w:rPr>
                <w:rFonts w:ascii="Calibri" w:hAnsi="Calibri" w:eastAsia="宋体" w:cs="Calibri"/>
                <w:color w:val="000000"/>
                <w:szCs w:val="21"/>
              </w:rPr>
            </w:pPr>
            <w:r>
              <w:rPr>
                <w:rFonts w:hint="eastAsia" w:ascii="Calibri" w:hAnsi="Calibri" w:eastAsia="宋体" w:cs="Calibri"/>
                <w:color w:val="000000"/>
                <w:kern w:val="0"/>
                <w:szCs w:val="21"/>
              </w:rPr>
              <w:t>12</w:t>
            </w:r>
          </w:p>
        </w:tc>
        <w:tc>
          <w:tcPr>
            <w:tcW w:w="4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112F9">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支持展示出当前需要招标方审批的工单及其具体情况，使得招标方能完成与服务人员的协同处置，共同确保安全威胁和事件得到准确处置。</w:t>
            </w:r>
          </w:p>
        </w:tc>
      </w:tr>
      <w:tr w14:paraId="4BA24317">
        <w:tblPrEx>
          <w:tblCellMar>
            <w:top w:w="0" w:type="dxa"/>
            <w:left w:w="108" w:type="dxa"/>
            <w:bottom w:w="0" w:type="dxa"/>
            <w:right w:w="108" w:type="dxa"/>
          </w:tblCellMar>
        </w:tblPrEx>
        <w:trPr>
          <w:trHeight w:val="68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E6027">
            <w:pPr>
              <w:widowControl/>
              <w:jc w:val="center"/>
              <w:textAlignment w:val="center"/>
              <w:rPr>
                <w:rFonts w:ascii="Calibri" w:hAnsi="Calibri" w:eastAsia="宋体" w:cs="Calibri"/>
                <w:color w:val="000000"/>
                <w:szCs w:val="21"/>
              </w:rPr>
            </w:pPr>
            <w:r>
              <w:rPr>
                <w:rFonts w:hint="eastAsia" w:ascii="Calibri" w:hAnsi="Calibri" w:eastAsia="宋体" w:cs="Calibri"/>
                <w:color w:val="000000"/>
                <w:kern w:val="0"/>
                <w:szCs w:val="21"/>
              </w:rPr>
              <w:t>13</w:t>
            </w:r>
          </w:p>
        </w:tc>
        <w:tc>
          <w:tcPr>
            <w:tcW w:w="4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FA8AB">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支持安全态势展示，展示出当前遭受的威胁事件信息以及脆弱性信息统计，并支持服务专家按照资产类别、威胁类型进行定制化筛选查看，能直观感受到招标方当前的风险态势情况。</w:t>
            </w:r>
          </w:p>
        </w:tc>
      </w:tr>
      <w:tr w14:paraId="53B78377">
        <w:tblPrEx>
          <w:tblCellMar>
            <w:top w:w="0" w:type="dxa"/>
            <w:left w:w="108" w:type="dxa"/>
            <w:bottom w:w="0" w:type="dxa"/>
            <w:right w:w="108" w:type="dxa"/>
          </w:tblCellMar>
        </w:tblPrEx>
        <w:trPr>
          <w:trHeight w:val="68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97549">
            <w:pPr>
              <w:widowControl/>
              <w:jc w:val="center"/>
              <w:textAlignment w:val="center"/>
              <w:rPr>
                <w:rFonts w:ascii="Calibri" w:hAnsi="Calibri" w:eastAsia="宋体" w:cs="Calibri"/>
                <w:color w:val="000000"/>
                <w:szCs w:val="21"/>
              </w:rPr>
            </w:pPr>
            <w:r>
              <w:rPr>
                <w:rFonts w:hint="eastAsia" w:ascii="Calibri" w:hAnsi="Calibri" w:eastAsia="宋体" w:cs="Calibri"/>
                <w:color w:val="000000"/>
                <w:kern w:val="0"/>
                <w:szCs w:val="21"/>
              </w:rPr>
              <w:t>14</w:t>
            </w:r>
          </w:p>
        </w:tc>
        <w:tc>
          <w:tcPr>
            <w:tcW w:w="4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6FFD6">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本项目使用服务工具支持将收集的安全日志上传到本院现有的安全服务平台上，并支持在该平台上对服务工具进行管理（提供相关功能界面截图证明，加盖投标人公章）。</w:t>
            </w:r>
            <w:r>
              <w:rPr>
                <w:rFonts w:ascii="宋体" w:hAnsi="宋体" w:eastAsia="宋体" w:cs="宋体"/>
                <w:color w:val="000000"/>
                <w:kern w:val="0"/>
                <w:sz w:val="22"/>
                <w:szCs w:val="22"/>
              </w:rPr>
              <w:t>若</w:t>
            </w:r>
            <w:r>
              <w:rPr>
                <w:rFonts w:hint="eastAsia" w:ascii="宋体" w:hAnsi="宋体" w:eastAsia="宋体" w:cs="宋体"/>
                <w:color w:val="000000"/>
                <w:kern w:val="0"/>
                <w:sz w:val="22"/>
                <w:szCs w:val="22"/>
              </w:rPr>
              <w:t>本项目使用服务工具</w:t>
            </w:r>
            <w:r>
              <w:rPr>
                <w:rFonts w:ascii="宋体" w:hAnsi="宋体" w:eastAsia="宋体" w:cs="宋体"/>
                <w:color w:val="000000"/>
                <w:kern w:val="0"/>
                <w:sz w:val="22"/>
                <w:szCs w:val="22"/>
              </w:rPr>
              <w:t>无法与现有</w:t>
            </w:r>
            <w:r>
              <w:rPr>
                <w:rFonts w:hint="eastAsia" w:ascii="宋体" w:hAnsi="宋体" w:eastAsia="宋体" w:cs="宋体"/>
                <w:color w:val="000000"/>
                <w:kern w:val="0"/>
                <w:sz w:val="22"/>
                <w:szCs w:val="22"/>
              </w:rPr>
              <w:t>医院安全平台</w:t>
            </w:r>
            <w:r>
              <w:rPr>
                <w:rFonts w:ascii="宋体" w:hAnsi="宋体" w:eastAsia="宋体" w:cs="宋体"/>
                <w:color w:val="000000"/>
                <w:kern w:val="0"/>
                <w:sz w:val="22"/>
                <w:szCs w:val="22"/>
              </w:rPr>
              <w:t>兼容并</w:t>
            </w:r>
            <w:r>
              <w:rPr>
                <w:rFonts w:hint="eastAsia" w:ascii="宋体" w:hAnsi="宋体" w:eastAsia="宋体" w:cs="宋体"/>
                <w:color w:val="000000"/>
                <w:kern w:val="0"/>
                <w:sz w:val="22"/>
                <w:szCs w:val="22"/>
              </w:rPr>
              <w:t>无法统一</w:t>
            </w:r>
            <w:r>
              <w:rPr>
                <w:rFonts w:ascii="宋体" w:hAnsi="宋体" w:eastAsia="宋体" w:cs="宋体"/>
                <w:color w:val="000000"/>
                <w:kern w:val="0"/>
                <w:sz w:val="22"/>
                <w:szCs w:val="22"/>
              </w:rPr>
              <w:t>控制管理</w:t>
            </w:r>
            <w:r>
              <w:rPr>
                <w:rFonts w:hint="eastAsia" w:ascii="宋体" w:hAnsi="宋体" w:eastAsia="宋体" w:cs="宋体"/>
                <w:color w:val="000000"/>
                <w:kern w:val="0"/>
                <w:sz w:val="22"/>
                <w:szCs w:val="22"/>
              </w:rPr>
              <w:t>正常运行</w:t>
            </w:r>
            <w:r>
              <w:rPr>
                <w:rFonts w:ascii="宋体" w:hAnsi="宋体" w:eastAsia="宋体" w:cs="宋体"/>
                <w:color w:val="000000"/>
                <w:kern w:val="0"/>
                <w:sz w:val="22"/>
                <w:szCs w:val="22"/>
              </w:rPr>
              <w:t>，</w:t>
            </w:r>
            <w:r>
              <w:rPr>
                <w:rFonts w:hint="eastAsia" w:ascii="宋体" w:hAnsi="宋体" w:eastAsia="宋体" w:cs="宋体"/>
                <w:color w:val="000000"/>
                <w:kern w:val="0"/>
                <w:sz w:val="22"/>
                <w:szCs w:val="22"/>
              </w:rPr>
              <w:t>医院不再另外采购配套设备，</w:t>
            </w:r>
            <w:r>
              <w:rPr>
                <w:rFonts w:ascii="宋体" w:hAnsi="宋体" w:eastAsia="宋体" w:cs="宋体"/>
                <w:color w:val="000000"/>
                <w:kern w:val="0"/>
                <w:sz w:val="22"/>
                <w:szCs w:val="22"/>
              </w:rPr>
              <w:t>中标供</w:t>
            </w:r>
            <w:r>
              <w:rPr>
                <w:rFonts w:hint="eastAsia" w:ascii="宋体" w:hAnsi="宋体" w:eastAsia="宋体" w:cs="宋体"/>
                <w:color w:val="000000"/>
                <w:kern w:val="0"/>
                <w:sz w:val="22"/>
                <w:szCs w:val="22"/>
              </w:rPr>
              <w:t>应</w:t>
            </w:r>
            <w:r>
              <w:rPr>
                <w:rFonts w:ascii="宋体" w:hAnsi="宋体" w:eastAsia="宋体" w:cs="宋体"/>
                <w:color w:val="000000"/>
                <w:kern w:val="0"/>
                <w:sz w:val="22"/>
                <w:szCs w:val="22"/>
              </w:rPr>
              <w:t>商须按照采购人的实际使用需求</w:t>
            </w:r>
            <w:r>
              <w:rPr>
                <w:rFonts w:hint="eastAsia" w:ascii="宋体" w:hAnsi="宋体" w:eastAsia="宋体" w:cs="宋体"/>
                <w:color w:val="000000"/>
                <w:kern w:val="0"/>
                <w:sz w:val="22"/>
                <w:szCs w:val="22"/>
              </w:rPr>
              <w:t>提</w:t>
            </w:r>
            <w:r>
              <w:rPr>
                <w:rFonts w:ascii="宋体" w:hAnsi="宋体" w:eastAsia="宋体" w:cs="宋体"/>
                <w:color w:val="000000"/>
                <w:kern w:val="0"/>
                <w:sz w:val="22"/>
                <w:szCs w:val="22"/>
              </w:rPr>
              <w:t>供整套同等性能配置的设备以替换，提供的设备的硬件资源和性能配置须等于或更优于医院现有的</w:t>
            </w:r>
            <w:r>
              <w:rPr>
                <w:rFonts w:hint="eastAsia" w:ascii="宋体" w:hAnsi="宋体" w:eastAsia="宋体" w:cs="宋体"/>
                <w:color w:val="000000"/>
                <w:kern w:val="0"/>
                <w:sz w:val="22"/>
                <w:szCs w:val="22"/>
              </w:rPr>
              <w:t>设备</w:t>
            </w:r>
            <w:r>
              <w:rPr>
                <w:rFonts w:ascii="宋体" w:hAnsi="宋体" w:eastAsia="宋体" w:cs="宋体"/>
                <w:color w:val="000000"/>
                <w:kern w:val="0"/>
                <w:sz w:val="22"/>
                <w:szCs w:val="22"/>
              </w:rPr>
              <w:t>资源、性能配置的总和。</w:t>
            </w:r>
            <w:r>
              <w:rPr>
                <w:rFonts w:hint="eastAsia" w:ascii="宋体" w:hAnsi="宋体" w:eastAsia="宋体" w:cs="宋体"/>
                <w:color w:val="000000"/>
                <w:kern w:val="0"/>
                <w:sz w:val="22"/>
                <w:szCs w:val="22"/>
              </w:rPr>
              <w:t>且服务期满后，安全服务工具的产权归用户单位所有。</w:t>
            </w:r>
          </w:p>
        </w:tc>
      </w:tr>
      <w:tr w14:paraId="701620E5">
        <w:tblPrEx>
          <w:tblCellMar>
            <w:top w:w="0" w:type="dxa"/>
            <w:left w:w="108" w:type="dxa"/>
            <w:bottom w:w="0" w:type="dxa"/>
            <w:right w:w="108" w:type="dxa"/>
          </w:tblCellMar>
        </w:tblPrEx>
        <w:trPr>
          <w:trHeight w:val="34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A6554">
            <w:pPr>
              <w:widowControl/>
              <w:jc w:val="center"/>
              <w:textAlignment w:val="center"/>
              <w:rPr>
                <w:rFonts w:ascii="Calibri" w:hAnsi="Calibri" w:eastAsia="宋体" w:cs="Calibri"/>
                <w:color w:val="000000"/>
                <w:szCs w:val="21"/>
              </w:rPr>
            </w:pPr>
            <w:r>
              <w:rPr>
                <w:rFonts w:hint="eastAsia" w:ascii="Calibri" w:hAnsi="Calibri" w:eastAsia="宋体" w:cs="Calibri"/>
                <w:color w:val="000000"/>
                <w:kern w:val="0"/>
                <w:szCs w:val="21"/>
              </w:rPr>
              <w:t>15</w:t>
            </w:r>
          </w:p>
        </w:tc>
        <w:tc>
          <w:tcPr>
            <w:tcW w:w="4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9757D">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为了保证安全监测的效果，需要安全服务平台具备检测规则的自定义功能，以满足日益复杂的安全趋势所带来的安全需求。</w:t>
            </w:r>
          </w:p>
        </w:tc>
      </w:tr>
      <w:tr w14:paraId="3DEA56D3">
        <w:tblPrEx>
          <w:tblCellMar>
            <w:top w:w="0" w:type="dxa"/>
            <w:left w:w="108" w:type="dxa"/>
            <w:bottom w:w="0" w:type="dxa"/>
            <w:right w:w="108" w:type="dxa"/>
          </w:tblCellMar>
        </w:tblPrEx>
        <w:trPr>
          <w:trHeight w:val="17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16B60">
            <w:pPr>
              <w:widowControl/>
              <w:jc w:val="center"/>
              <w:textAlignment w:val="center"/>
              <w:rPr>
                <w:rFonts w:ascii="Calibri" w:hAnsi="Calibri" w:eastAsia="宋体" w:cs="Calibri"/>
                <w:color w:val="000000"/>
                <w:szCs w:val="21"/>
              </w:rPr>
            </w:pPr>
            <w:r>
              <w:rPr>
                <w:rFonts w:hint="eastAsia" w:ascii="Calibri" w:hAnsi="Calibri" w:eastAsia="宋体" w:cs="Calibri"/>
                <w:color w:val="000000"/>
                <w:kern w:val="0"/>
                <w:szCs w:val="21"/>
              </w:rPr>
              <w:t>16</w:t>
            </w:r>
          </w:p>
        </w:tc>
        <w:tc>
          <w:tcPr>
            <w:tcW w:w="4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F51FA">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中标方需</w:t>
            </w:r>
            <w:r>
              <w:rPr>
                <w:rFonts w:ascii="宋体" w:hAnsi="宋体" w:eastAsia="宋体" w:cs="宋体"/>
                <w:color w:val="000000"/>
                <w:kern w:val="0"/>
                <w:sz w:val="22"/>
                <w:szCs w:val="22"/>
              </w:rPr>
              <w:t>阶段性</w:t>
            </w:r>
            <w:r>
              <w:rPr>
                <w:rFonts w:hint="eastAsia" w:ascii="宋体" w:hAnsi="宋体" w:eastAsia="宋体" w:cs="宋体"/>
                <w:color w:val="000000"/>
                <w:kern w:val="0"/>
                <w:sz w:val="22"/>
                <w:szCs w:val="22"/>
              </w:rPr>
              <w:t>将</w:t>
            </w:r>
            <w:r>
              <w:rPr>
                <w:rFonts w:ascii="宋体" w:hAnsi="宋体" w:eastAsia="宋体" w:cs="宋体"/>
                <w:color w:val="000000"/>
                <w:kern w:val="0"/>
                <w:sz w:val="22"/>
                <w:szCs w:val="22"/>
              </w:rPr>
              <w:t>安全运营情况发送给用户，并向用户总结汇报。</w:t>
            </w:r>
            <w:r>
              <w:rPr>
                <w:rFonts w:hint="eastAsia" w:ascii="宋体" w:hAnsi="宋体" w:eastAsia="宋体" w:cs="宋体"/>
                <w:color w:val="000000"/>
                <w:kern w:val="0"/>
                <w:sz w:val="22"/>
                <w:szCs w:val="22"/>
              </w:rPr>
              <w:t>交付物名称</w:t>
            </w:r>
            <w:r>
              <w:rPr>
                <w:rFonts w:hint="eastAsia" w:ascii="宋体" w:hAnsi="宋体" w:eastAsia="宋体" w:cs="宋体"/>
                <w:color w:val="000000"/>
                <w:kern w:val="0"/>
                <w:sz w:val="22"/>
                <w:szCs w:val="22"/>
                <w:lang w:val="en-US" w:eastAsia="zh-CN"/>
              </w:rPr>
              <w:t>包含不限于</w:t>
            </w:r>
            <w:r>
              <w:rPr>
                <w:rFonts w:hint="eastAsia" w:ascii="宋体" w:hAnsi="宋体" w:eastAsia="宋体" w:cs="宋体"/>
                <w:color w:val="000000"/>
                <w:kern w:val="0"/>
                <w:sz w:val="22"/>
                <w:szCs w:val="22"/>
              </w:rPr>
              <w:t>：《事件调查报告》、《事件处置报告》、《应急响应报告》、《威胁狩猎服务报告》、</w:t>
            </w:r>
            <w:r>
              <w:rPr>
                <w:rFonts w:ascii="宋体" w:hAnsi="宋体" w:eastAsia="宋体" w:cs="宋体"/>
                <w:color w:val="000000"/>
                <w:kern w:val="0"/>
                <w:sz w:val="22"/>
                <w:szCs w:val="22"/>
              </w:rPr>
              <w:t>《安全服务值守日报》（每日）、《安全运营报告》（周报）、《首次分析与处置报告》（首次交付）、《事件分析与处置报告》（周报）、《未公开威胁报告》（周报）、《综合分析报告》（月报）</w:t>
            </w:r>
            <w:r>
              <w:rPr>
                <w:rFonts w:hint="eastAsia" w:ascii="宋体" w:hAnsi="宋体" w:eastAsia="宋体" w:cs="宋体"/>
                <w:color w:val="000000"/>
                <w:kern w:val="0"/>
                <w:sz w:val="22"/>
                <w:szCs w:val="22"/>
              </w:rPr>
              <w:t>、</w:t>
            </w:r>
            <w:r>
              <w:rPr>
                <w:rFonts w:ascii="宋体" w:hAnsi="宋体" w:eastAsia="宋体" w:cs="宋体"/>
                <w:color w:val="000000"/>
                <w:kern w:val="0"/>
                <w:sz w:val="22"/>
                <w:szCs w:val="22"/>
              </w:rPr>
              <w:t>《漏洞分析与管理服务报告》（周报）</w:t>
            </w:r>
            <w:r>
              <w:rPr>
                <w:rFonts w:hint="eastAsia" w:ascii="宋体" w:hAnsi="宋体" w:eastAsia="宋体" w:cs="宋体"/>
                <w:color w:val="000000"/>
                <w:kern w:val="0"/>
                <w:sz w:val="22"/>
                <w:szCs w:val="22"/>
              </w:rPr>
              <w:t>、《月报总结快报》、《半年度总结报告》、《年度总结报告》等;</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中标后采购人有权要求中标方严格按照上述频率要求提供服务交付物，确保满足采购人安全需求。如中标方未能按时提供，采购人有权终止服务合同，中间产生任何费用由中标方自行承担。</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中标后服务购买方有权要求中标方提供演示平台对服务平台进行功能演示，确保满足采购人安全需求。发现虚假应标的行为将予以废标处理并保留对该厂商追究相关责任的权利。</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为了保证本次安全服务实效性，对安全事件做到快速监测、发现、阻断、溯源、总结报告，需要对现场的态势感知平台进行联动响应，支持实时接收安全设备检测到的安全事件信息、安全日志数据提供7*24小时的安全托管服务；（提供产品界面截图并加盖投标人公章）</w:t>
            </w:r>
          </w:p>
        </w:tc>
      </w:tr>
    </w:tbl>
    <w:p w14:paraId="597F98CA"/>
    <w:tbl>
      <w:tblPr>
        <w:tblStyle w:val="7"/>
        <w:tblW w:w="919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10"/>
        <w:gridCol w:w="6781"/>
      </w:tblGrid>
      <w:tr w14:paraId="3144E3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91" w:type="dxa"/>
            <w:gridSpan w:val="2"/>
            <w:tcBorders>
              <w:top w:val="single" w:color="000000" w:sz="4" w:space="0"/>
              <w:left w:val="single" w:color="000000" w:sz="4" w:space="0"/>
              <w:bottom w:val="single" w:color="000000" w:sz="4" w:space="0"/>
              <w:right w:val="single" w:color="000000" w:sz="4" w:space="0"/>
            </w:tcBorders>
          </w:tcPr>
          <w:p w14:paraId="20D8E1D1">
            <w:pPr>
              <w:widowControl/>
              <w:jc w:val="left"/>
              <w:rPr>
                <w:rFonts w:hint="eastAsia" w:ascii="宋体" w:hAnsi="宋体"/>
                <w:szCs w:val="21"/>
              </w:rPr>
            </w:pPr>
            <w:r>
              <w:rPr>
                <w:rFonts w:hint="eastAsia" w:ascii="宋体" w:hAnsi="宋体"/>
                <w:szCs w:val="21"/>
              </w:rPr>
              <w:t xml:space="preserve">▲商务要求 </w:t>
            </w:r>
          </w:p>
        </w:tc>
      </w:tr>
      <w:tr w14:paraId="280C23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tcBorders>
              <w:top w:val="single" w:color="000000" w:sz="4" w:space="0"/>
              <w:left w:val="single" w:color="000000" w:sz="4" w:space="0"/>
              <w:bottom w:val="single" w:color="000000" w:sz="4" w:space="0"/>
              <w:right w:val="single" w:color="000000" w:sz="4" w:space="0"/>
            </w:tcBorders>
          </w:tcPr>
          <w:p w14:paraId="5F0B7F10">
            <w:pPr>
              <w:spacing w:line="480" w:lineRule="auto"/>
              <w:jc w:val="center"/>
              <w:rPr>
                <w:rFonts w:hint="eastAsia" w:ascii="等线" w:hAnsi="等线" w:eastAsia="等线" w:cs="等线"/>
                <w:szCs w:val="21"/>
              </w:rPr>
            </w:pPr>
            <w:r>
              <w:rPr>
                <w:rFonts w:hint="eastAsia" w:ascii="宋体" w:hAnsi="宋体" w:cs="宋体"/>
                <w:szCs w:val="21"/>
              </w:rPr>
              <w:t>合同签订期</w:t>
            </w:r>
          </w:p>
        </w:tc>
        <w:tc>
          <w:tcPr>
            <w:tcW w:w="6781" w:type="dxa"/>
            <w:tcBorders>
              <w:top w:val="single" w:color="000000" w:sz="4" w:space="0"/>
              <w:left w:val="single" w:color="000000" w:sz="4" w:space="0"/>
              <w:bottom w:val="single" w:color="000000" w:sz="4" w:space="0"/>
              <w:right w:val="single" w:color="000000" w:sz="4" w:space="0"/>
            </w:tcBorders>
          </w:tcPr>
          <w:p w14:paraId="089260D6">
            <w:pPr>
              <w:jc w:val="left"/>
              <w:rPr>
                <w:rFonts w:hint="eastAsia" w:ascii="等线" w:hAnsi="等线" w:eastAsia="等线" w:cs="等线"/>
                <w:szCs w:val="21"/>
              </w:rPr>
            </w:pPr>
            <w:r>
              <w:rPr>
                <w:rFonts w:hint="eastAsia" w:ascii="宋体" w:hAnsi="宋体" w:cs="Arial"/>
                <w:bCs/>
                <w:kern w:val="0"/>
                <w:szCs w:val="21"/>
              </w:rPr>
              <w:t>自成交通知书发出之日起</w:t>
            </w:r>
            <w:r>
              <w:rPr>
                <w:rFonts w:hint="eastAsia" w:ascii="宋体" w:hAnsi="宋体" w:cs="Arial"/>
                <w:bCs/>
                <w:kern w:val="0"/>
                <w:szCs w:val="21"/>
                <w:lang w:val="en-US" w:eastAsia="zh-CN"/>
              </w:rPr>
              <w:t>7</w:t>
            </w:r>
            <w:r>
              <w:rPr>
                <w:rFonts w:hint="eastAsia" w:ascii="宋体" w:hAnsi="宋体" w:cs="Arial"/>
                <w:bCs/>
                <w:kern w:val="0"/>
                <w:szCs w:val="21"/>
              </w:rPr>
              <w:t>日内。</w:t>
            </w:r>
          </w:p>
        </w:tc>
      </w:tr>
      <w:tr w14:paraId="26A432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tcBorders>
              <w:top w:val="single" w:color="000000" w:sz="4" w:space="0"/>
              <w:left w:val="single" w:color="000000" w:sz="4" w:space="0"/>
              <w:bottom w:val="single" w:color="000000" w:sz="4" w:space="0"/>
              <w:right w:val="single" w:color="000000" w:sz="4" w:space="0"/>
            </w:tcBorders>
            <w:vAlign w:val="center"/>
          </w:tcPr>
          <w:p w14:paraId="169BC415">
            <w:pPr>
              <w:snapToGrid w:val="0"/>
              <w:spacing w:line="400" w:lineRule="exact"/>
              <w:jc w:val="center"/>
              <w:rPr>
                <w:rFonts w:hint="eastAsia" w:ascii="宋体" w:hAnsi="宋体"/>
                <w:szCs w:val="21"/>
              </w:rPr>
            </w:pPr>
            <w:r>
              <w:rPr>
                <w:rFonts w:hint="eastAsia" w:ascii="宋体" w:hAnsi="宋体"/>
                <w:szCs w:val="21"/>
              </w:rPr>
              <w:t>交付使用时间及地点</w:t>
            </w:r>
          </w:p>
        </w:tc>
        <w:tc>
          <w:tcPr>
            <w:tcW w:w="6781" w:type="dxa"/>
            <w:tcBorders>
              <w:top w:val="single" w:color="000000" w:sz="4" w:space="0"/>
              <w:left w:val="single" w:color="000000" w:sz="4" w:space="0"/>
              <w:bottom w:val="single" w:color="000000" w:sz="4" w:space="0"/>
              <w:right w:val="single" w:color="000000" w:sz="4" w:space="0"/>
            </w:tcBorders>
            <w:vAlign w:val="center"/>
          </w:tcPr>
          <w:p w14:paraId="1BA61AE7">
            <w:pPr>
              <w:spacing w:line="400" w:lineRule="exact"/>
              <w:rPr>
                <w:rFonts w:hint="eastAsia" w:ascii="宋体" w:cs="宋体"/>
                <w:szCs w:val="21"/>
              </w:rPr>
            </w:pPr>
            <w:r>
              <w:rPr>
                <w:rFonts w:hint="eastAsia" w:ascii="宋体" w:cs="宋体"/>
                <w:szCs w:val="21"/>
              </w:rPr>
              <w:t>1.交付使用时间：自签订合同之日起，</w:t>
            </w:r>
            <w:r>
              <w:rPr>
                <w:rFonts w:hint="eastAsia" w:ascii="宋体" w:cs="宋体"/>
                <w:szCs w:val="21"/>
                <w:lang w:val="en-US" w:eastAsia="zh-CN"/>
              </w:rPr>
              <w:t>7个工作日</w:t>
            </w:r>
            <w:r>
              <w:rPr>
                <w:rFonts w:hint="eastAsia" w:ascii="宋体" w:cs="宋体"/>
                <w:szCs w:val="21"/>
              </w:rPr>
              <w:t>内完成项目实施并交付采购人使用。</w:t>
            </w:r>
          </w:p>
          <w:p w14:paraId="1F7FBB7A">
            <w:pPr>
              <w:pStyle w:val="3"/>
            </w:pPr>
            <w:r>
              <w:rPr>
                <w:rFonts w:hint="eastAsia" w:ascii="宋体" w:cs="宋体"/>
                <w:szCs w:val="21"/>
              </w:rPr>
              <w:t>2.交付地点：广西南宁市广西壮族自治区江滨医院(采购人指定地点)。</w:t>
            </w:r>
          </w:p>
        </w:tc>
      </w:tr>
      <w:tr w14:paraId="0ACC30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tcBorders>
              <w:top w:val="single" w:color="000000" w:sz="4" w:space="0"/>
              <w:left w:val="single" w:color="000000" w:sz="4" w:space="0"/>
              <w:bottom w:val="single" w:color="000000" w:sz="4" w:space="0"/>
              <w:right w:val="single" w:color="000000" w:sz="4" w:space="0"/>
            </w:tcBorders>
            <w:vAlign w:val="center"/>
          </w:tcPr>
          <w:p w14:paraId="7941EED2">
            <w:pPr>
              <w:spacing w:line="360" w:lineRule="auto"/>
              <w:jc w:val="center"/>
              <w:rPr>
                <w:rFonts w:hint="eastAsia" w:ascii="宋体" w:hAnsi="宋体" w:cs="宋体"/>
                <w:bCs/>
                <w:szCs w:val="21"/>
              </w:rPr>
            </w:pPr>
            <w:r>
              <w:rPr>
                <w:rFonts w:hint="eastAsia" w:ascii="宋体" w:hAnsi="宋体" w:cs="宋体"/>
                <w:bCs/>
                <w:szCs w:val="21"/>
              </w:rPr>
              <w:t>付款方式</w:t>
            </w:r>
          </w:p>
        </w:tc>
        <w:tc>
          <w:tcPr>
            <w:tcW w:w="6781" w:type="dxa"/>
            <w:tcBorders>
              <w:top w:val="single" w:color="000000" w:sz="4" w:space="0"/>
              <w:left w:val="single" w:color="000000" w:sz="4" w:space="0"/>
              <w:bottom w:val="single" w:color="000000" w:sz="4" w:space="0"/>
              <w:right w:val="single" w:color="000000" w:sz="4" w:space="0"/>
            </w:tcBorders>
            <w:vAlign w:val="center"/>
          </w:tcPr>
          <w:p w14:paraId="57623893">
            <w:pPr>
              <w:spacing w:line="360" w:lineRule="auto"/>
              <w:jc w:val="left"/>
              <w:rPr>
                <w:rFonts w:hint="eastAsia" w:ascii="宋体" w:hAnsi="宋体" w:cs="宋体"/>
                <w:color w:val="auto"/>
                <w:szCs w:val="21"/>
              </w:rPr>
            </w:pPr>
            <w:r>
              <w:rPr>
                <w:rFonts w:hint="eastAsia" w:ascii="宋体" w:hAnsi="宋体" w:cs="宋体"/>
                <w:color w:val="auto"/>
                <w:szCs w:val="21"/>
                <w:lang w:val="en-US" w:eastAsia="zh-CN"/>
              </w:rPr>
              <w:t>1、项目服务半年后</w:t>
            </w:r>
            <w:r>
              <w:rPr>
                <w:rFonts w:hint="eastAsia" w:ascii="宋体" w:hAnsi="宋体" w:cs="宋体"/>
                <w:color w:val="auto"/>
                <w:szCs w:val="21"/>
              </w:rPr>
              <w:t>，采购人向</w:t>
            </w:r>
            <w:r>
              <w:rPr>
                <w:rFonts w:hint="eastAsia" w:ascii="宋体" w:cs="宋体"/>
                <w:color w:val="auto"/>
                <w:szCs w:val="21"/>
              </w:rPr>
              <w:t>成交人</w:t>
            </w:r>
            <w:r>
              <w:rPr>
                <w:rFonts w:hint="eastAsia" w:ascii="宋体" w:hAnsi="宋体" w:cs="宋体"/>
                <w:color w:val="auto"/>
                <w:szCs w:val="21"/>
              </w:rPr>
              <w:t>支付合同总金额的</w:t>
            </w:r>
            <w:r>
              <w:rPr>
                <w:rFonts w:hint="eastAsia" w:ascii="宋体" w:hAnsi="宋体" w:cs="宋体"/>
                <w:color w:val="auto"/>
                <w:szCs w:val="21"/>
                <w:lang w:val="en-US" w:eastAsia="zh-CN"/>
              </w:rPr>
              <w:t>50</w:t>
            </w:r>
            <w:r>
              <w:rPr>
                <w:rFonts w:hint="eastAsia" w:ascii="宋体" w:hAnsi="宋体" w:cs="宋体"/>
                <w:color w:val="auto"/>
                <w:szCs w:val="21"/>
              </w:rPr>
              <w:t>%。</w:t>
            </w:r>
          </w:p>
          <w:p w14:paraId="32299E8A">
            <w:pPr>
              <w:spacing w:line="360" w:lineRule="auto"/>
              <w:jc w:val="left"/>
              <w:rPr>
                <w:rFonts w:hint="eastAsia" w:ascii="宋体" w:hAnsi="宋体" w:cs="宋体"/>
                <w:color w:val="auto"/>
                <w:szCs w:val="21"/>
              </w:rPr>
            </w:pPr>
            <w:r>
              <w:rPr>
                <w:rFonts w:hint="eastAsia" w:ascii="宋体" w:hAnsi="宋体" w:cs="宋体"/>
                <w:color w:val="auto"/>
                <w:szCs w:val="21"/>
                <w:lang w:val="en-US" w:eastAsia="zh-CN"/>
              </w:rPr>
              <w:t>2</w:t>
            </w:r>
            <w:r>
              <w:rPr>
                <w:rFonts w:ascii="宋体" w:hAnsi="宋体" w:cs="宋体"/>
                <w:color w:val="auto"/>
                <w:szCs w:val="21"/>
              </w:rPr>
              <w:t>.</w:t>
            </w:r>
            <w:r>
              <w:rPr>
                <w:rFonts w:hint="eastAsia" w:ascii="宋体" w:hAnsi="宋体" w:cs="宋体"/>
                <w:color w:val="auto"/>
                <w:szCs w:val="21"/>
              </w:rPr>
              <w:t>项目维护期满后，采购人向</w:t>
            </w:r>
            <w:r>
              <w:rPr>
                <w:rFonts w:hint="eastAsia" w:ascii="宋体" w:cs="宋体"/>
                <w:color w:val="auto"/>
                <w:szCs w:val="21"/>
              </w:rPr>
              <w:t>成交人</w:t>
            </w:r>
            <w:r>
              <w:rPr>
                <w:rFonts w:hint="eastAsia" w:ascii="宋体" w:hAnsi="宋体" w:cs="宋体"/>
                <w:color w:val="auto"/>
                <w:szCs w:val="21"/>
              </w:rPr>
              <w:t>支付合同总金额的5</w:t>
            </w:r>
            <w:r>
              <w:rPr>
                <w:rFonts w:hint="eastAsia" w:ascii="宋体" w:hAnsi="宋体" w:cs="宋体"/>
                <w:color w:val="auto"/>
                <w:szCs w:val="21"/>
                <w:lang w:val="en-US" w:eastAsia="zh-CN"/>
              </w:rPr>
              <w:t>0</w:t>
            </w:r>
            <w:r>
              <w:rPr>
                <w:rFonts w:hint="eastAsia" w:ascii="宋体" w:hAnsi="宋体" w:cs="宋体"/>
                <w:color w:val="auto"/>
                <w:szCs w:val="21"/>
              </w:rPr>
              <w:t>%。</w:t>
            </w:r>
          </w:p>
          <w:p w14:paraId="7F1096ED">
            <w:pPr>
              <w:widowControl/>
              <w:spacing w:line="360" w:lineRule="auto"/>
              <w:jc w:val="left"/>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.付款前中标人须开具</w:t>
            </w:r>
            <w:r>
              <w:rPr>
                <w:rFonts w:hint="eastAsia" w:ascii="宋体" w:hAnsi="宋体" w:cs="宋体"/>
                <w:szCs w:val="21"/>
                <w:lang w:val="en-US" w:eastAsia="zh-CN"/>
              </w:rPr>
              <w:t>全</w:t>
            </w:r>
            <w:r>
              <w:rPr>
                <w:rFonts w:hint="eastAsia" w:ascii="宋体" w:hAnsi="宋体" w:cs="宋体"/>
                <w:szCs w:val="21"/>
              </w:rPr>
              <w:t>额发票给采购人。中标人未开具发票的，采购人有权不进行支付。</w:t>
            </w:r>
          </w:p>
        </w:tc>
      </w:tr>
      <w:tr w14:paraId="39C674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tcBorders>
              <w:top w:val="single" w:color="000000" w:sz="4" w:space="0"/>
              <w:left w:val="single" w:color="000000" w:sz="4" w:space="0"/>
              <w:bottom w:val="single" w:color="000000" w:sz="4" w:space="0"/>
              <w:right w:val="single" w:color="000000" w:sz="4" w:space="0"/>
            </w:tcBorders>
            <w:vAlign w:val="center"/>
          </w:tcPr>
          <w:p w14:paraId="15D7849E">
            <w:pPr>
              <w:spacing w:line="360" w:lineRule="auto"/>
              <w:jc w:val="center"/>
              <w:rPr>
                <w:rFonts w:hint="eastAsia" w:ascii="宋体" w:hAnsi="宋体" w:cs="宋体"/>
                <w:bCs/>
                <w:szCs w:val="21"/>
              </w:rPr>
            </w:pPr>
            <w:r>
              <w:rPr>
                <w:rFonts w:hint="eastAsia" w:ascii="宋体" w:hAnsi="宋体" w:cs="宋体"/>
                <w:bCs/>
                <w:szCs w:val="21"/>
              </w:rPr>
              <w:t>质量要求</w:t>
            </w:r>
          </w:p>
        </w:tc>
        <w:tc>
          <w:tcPr>
            <w:tcW w:w="6781" w:type="dxa"/>
            <w:tcBorders>
              <w:top w:val="single" w:color="000000" w:sz="4" w:space="0"/>
              <w:left w:val="single" w:color="000000" w:sz="4" w:space="0"/>
              <w:bottom w:val="single" w:color="000000" w:sz="4" w:space="0"/>
              <w:right w:val="single" w:color="000000" w:sz="4" w:space="0"/>
            </w:tcBorders>
            <w:vAlign w:val="center"/>
          </w:tcPr>
          <w:p w14:paraId="2D6606D8">
            <w:pPr>
              <w:widowControl/>
              <w:spacing w:line="360" w:lineRule="auto"/>
              <w:jc w:val="left"/>
              <w:rPr>
                <w:rFonts w:hint="eastAsia" w:ascii="宋体" w:hAnsi="宋体" w:cs="宋体"/>
                <w:szCs w:val="21"/>
              </w:rPr>
            </w:pPr>
            <w:r>
              <w:rPr>
                <w:rFonts w:hint="eastAsia" w:ascii="宋体" w:hAnsi="宋体" w:cs="宋体"/>
                <w:szCs w:val="21"/>
              </w:rPr>
              <w:t>1.质量达到国家验收合格标准。</w:t>
            </w:r>
          </w:p>
          <w:p w14:paraId="1EEA2213">
            <w:pPr>
              <w:widowControl/>
              <w:spacing w:line="360" w:lineRule="auto"/>
              <w:jc w:val="left"/>
              <w:rPr>
                <w:rFonts w:hint="eastAsia" w:ascii="宋体" w:hAnsi="宋体" w:cs="宋体"/>
                <w:szCs w:val="21"/>
              </w:rPr>
            </w:pPr>
            <w:r>
              <w:rPr>
                <w:rFonts w:hint="eastAsia" w:ascii="宋体" w:hAnsi="宋体" w:cs="宋体"/>
                <w:szCs w:val="21"/>
              </w:rPr>
              <w:t>2.供应商所提供的服务、技术参数等质量必须与响应文件和承诺相一致。</w:t>
            </w:r>
          </w:p>
        </w:tc>
      </w:tr>
      <w:tr w14:paraId="607FE8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tcBorders>
              <w:top w:val="single" w:color="000000" w:sz="4" w:space="0"/>
              <w:left w:val="single" w:color="000000" w:sz="4" w:space="0"/>
              <w:bottom w:val="single" w:color="000000" w:sz="4" w:space="0"/>
              <w:right w:val="single" w:color="000000" w:sz="4" w:space="0"/>
            </w:tcBorders>
            <w:vAlign w:val="center"/>
          </w:tcPr>
          <w:p w14:paraId="3625D711">
            <w:pPr>
              <w:spacing w:line="360" w:lineRule="auto"/>
              <w:jc w:val="center"/>
              <w:rPr>
                <w:rFonts w:hint="eastAsia" w:ascii="宋体" w:hAnsi="宋体" w:cs="宋体"/>
                <w:szCs w:val="21"/>
              </w:rPr>
            </w:pPr>
            <w:r>
              <w:rPr>
                <w:rFonts w:hint="eastAsia" w:ascii="宋体" w:hAnsi="宋体" w:cs="宋体"/>
                <w:szCs w:val="21"/>
              </w:rPr>
              <w:t>保密和廉洁要求</w:t>
            </w:r>
          </w:p>
        </w:tc>
        <w:tc>
          <w:tcPr>
            <w:tcW w:w="6781" w:type="dxa"/>
            <w:tcBorders>
              <w:top w:val="single" w:color="000000" w:sz="4" w:space="0"/>
              <w:left w:val="single" w:color="000000" w:sz="4" w:space="0"/>
              <w:bottom w:val="single" w:color="000000" w:sz="4" w:space="0"/>
              <w:right w:val="single" w:color="000000" w:sz="4" w:space="0"/>
            </w:tcBorders>
            <w:vAlign w:val="center"/>
          </w:tcPr>
          <w:p w14:paraId="0FE197B7">
            <w:pPr>
              <w:spacing w:line="360" w:lineRule="auto"/>
              <w:jc w:val="left"/>
              <w:rPr>
                <w:rFonts w:hint="eastAsia" w:ascii="宋体" w:hAnsi="宋体" w:cs="宋体"/>
                <w:szCs w:val="21"/>
              </w:rPr>
            </w:pPr>
            <w:r>
              <w:rPr>
                <w:rFonts w:hint="eastAsia" w:ascii="宋体" w:cs="宋体"/>
                <w:szCs w:val="21"/>
              </w:rPr>
              <w:t>成交人</w:t>
            </w:r>
            <w:r>
              <w:rPr>
                <w:rFonts w:hint="eastAsia" w:ascii="宋体" w:hAnsi="宋体" w:cs="宋体"/>
                <w:szCs w:val="21"/>
              </w:rPr>
              <w:t>必须如约承担合同履行时所应该尽的一切保密、廉洁义务。</w:t>
            </w:r>
            <w:r>
              <w:rPr>
                <w:rFonts w:hint="eastAsia" w:ascii="宋体" w:cs="宋体"/>
                <w:szCs w:val="21"/>
              </w:rPr>
              <w:t>成交人</w:t>
            </w:r>
            <w:r>
              <w:rPr>
                <w:rFonts w:hint="eastAsia" w:ascii="宋体" w:hAnsi="宋体" w:cs="宋体"/>
                <w:szCs w:val="21"/>
              </w:rPr>
              <w:t>对项目实施过程中的资料、数据进行保密，未经采购人书面同意不得泄露，且保密责任不因合同的中止或解除而失效，否则，需承担相应的法律责任。</w:t>
            </w:r>
          </w:p>
        </w:tc>
      </w:tr>
    </w:tbl>
    <w:p w14:paraId="6B129AEE">
      <w:bookmarkStart w:id="0" w:name="_GoBack"/>
      <w:bookmarkEnd w:id="0"/>
    </w:p>
    <w:p w14:paraId="5D820332"/>
    <w:p w14:paraId="2628CA6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6FFEBB8"/>
    <w:rsid w:val="000279F1"/>
    <w:rsid w:val="00031A08"/>
    <w:rsid w:val="0005087A"/>
    <w:rsid w:val="000D4173"/>
    <w:rsid w:val="000F22F0"/>
    <w:rsid w:val="001B1944"/>
    <w:rsid w:val="00225FCF"/>
    <w:rsid w:val="00226AD3"/>
    <w:rsid w:val="002B2CB9"/>
    <w:rsid w:val="002C4BF3"/>
    <w:rsid w:val="00323191"/>
    <w:rsid w:val="003A6501"/>
    <w:rsid w:val="003D3F0F"/>
    <w:rsid w:val="00476EAE"/>
    <w:rsid w:val="00482C0A"/>
    <w:rsid w:val="004C54F4"/>
    <w:rsid w:val="004F1D1A"/>
    <w:rsid w:val="005250ED"/>
    <w:rsid w:val="005642DF"/>
    <w:rsid w:val="00575C10"/>
    <w:rsid w:val="005808AB"/>
    <w:rsid w:val="005E5DAD"/>
    <w:rsid w:val="005F1EC0"/>
    <w:rsid w:val="005F7873"/>
    <w:rsid w:val="006D5176"/>
    <w:rsid w:val="006E3750"/>
    <w:rsid w:val="00704B0D"/>
    <w:rsid w:val="00723B7B"/>
    <w:rsid w:val="007654AD"/>
    <w:rsid w:val="007812D3"/>
    <w:rsid w:val="0079631B"/>
    <w:rsid w:val="007B1B2F"/>
    <w:rsid w:val="007C67FA"/>
    <w:rsid w:val="008167D1"/>
    <w:rsid w:val="008174BC"/>
    <w:rsid w:val="008270C1"/>
    <w:rsid w:val="00832D86"/>
    <w:rsid w:val="00836E8A"/>
    <w:rsid w:val="008519C6"/>
    <w:rsid w:val="008923C3"/>
    <w:rsid w:val="00892961"/>
    <w:rsid w:val="008D548C"/>
    <w:rsid w:val="009D15C2"/>
    <w:rsid w:val="009E2742"/>
    <w:rsid w:val="00A24E47"/>
    <w:rsid w:val="00A73E55"/>
    <w:rsid w:val="00AC62C9"/>
    <w:rsid w:val="00B51A28"/>
    <w:rsid w:val="00BB2DA1"/>
    <w:rsid w:val="00BF0459"/>
    <w:rsid w:val="00C146F3"/>
    <w:rsid w:val="00C33E40"/>
    <w:rsid w:val="00C85070"/>
    <w:rsid w:val="00CA5C47"/>
    <w:rsid w:val="00CD3F13"/>
    <w:rsid w:val="00D15B4E"/>
    <w:rsid w:val="00D845FF"/>
    <w:rsid w:val="00D96695"/>
    <w:rsid w:val="00DC1C21"/>
    <w:rsid w:val="00DC4316"/>
    <w:rsid w:val="00E00EF6"/>
    <w:rsid w:val="00E77A1C"/>
    <w:rsid w:val="00E872F5"/>
    <w:rsid w:val="00E96186"/>
    <w:rsid w:val="00EA5C9D"/>
    <w:rsid w:val="00EC6E88"/>
    <w:rsid w:val="00F856B4"/>
    <w:rsid w:val="00FA7F8D"/>
    <w:rsid w:val="23626B1C"/>
    <w:rsid w:val="2B290D21"/>
    <w:rsid w:val="46602F53"/>
    <w:rsid w:val="56824C54"/>
    <w:rsid w:val="5EED2CA8"/>
    <w:rsid w:val="5FEE8040"/>
    <w:rsid w:val="60DC3129"/>
    <w:rsid w:val="637769F3"/>
    <w:rsid w:val="6BB528CF"/>
    <w:rsid w:val="6BDAD7F0"/>
    <w:rsid w:val="770037D8"/>
    <w:rsid w:val="7AE56F93"/>
    <w:rsid w:val="7EDF0CC4"/>
    <w:rsid w:val="7F6E1983"/>
    <w:rsid w:val="7F741DC0"/>
    <w:rsid w:val="7F7EEF33"/>
    <w:rsid w:val="B6FFEBB8"/>
    <w:rsid w:val="BFDF30D8"/>
    <w:rsid w:val="FD5F9D86"/>
    <w:rsid w:val="FFCDB8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1"/>
    <w:pPr>
      <w:autoSpaceDE w:val="0"/>
      <w:autoSpaceDN w:val="0"/>
      <w:adjustRightInd w:val="0"/>
      <w:ind w:left="588"/>
      <w:jc w:val="left"/>
      <w:outlineLvl w:val="3"/>
    </w:pPr>
    <w:rPr>
      <w:rFonts w:ascii="宋体" w:hAnsi="Times New Roman"/>
      <w:kern w:val="0"/>
      <w:sz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99"/>
    <w:pPr>
      <w:spacing w:after="120"/>
    </w:pPr>
  </w:style>
  <w:style w:type="paragraph" w:styleId="4">
    <w:name w:val="Balloon Text"/>
    <w:basedOn w:val="1"/>
    <w:link w:val="11"/>
    <w:qFormat/>
    <w:uiPriority w:val="0"/>
    <w:rPr>
      <w:sz w:val="18"/>
      <w:szCs w:val="18"/>
    </w:rPr>
  </w:style>
  <w:style w:type="paragraph" w:styleId="5">
    <w:name w:val="footer"/>
    <w:basedOn w:val="1"/>
    <w:link w:val="10"/>
    <w:qFormat/>
    <w:uiPriority w:val="0"/>
    <w:pPr>
      <w:tabs>
        <w:tab w:val="center" w:pos="4153"/>
        <w:tab w:val="right" w:pos="8306"/>
      </w:tabs>
      <w:snapToGrid w:val="0"/>
      <w:jc w:val="left"/>
    </w:pPr>
    <w:rPr>
      <w:sz w:val="18"/>
      <w:szCs w:val="18"/>
    </w:rPr>
  </w:style>
  <w:style w:type="paragraph" w:styleId="6">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0"/>
    <w:rPr>
      <w:rFonts w:asciiTheme="minorHAnsi" w:hAnsiTheme="minorHAnsi" w:eastAsiaTheme="minorEastAsia" w:cstheme="minorBidi"/>
      <w:kern w:val="2"/>
      <w:sz w:val="18"/>
      <w:szCs w:val="18"/>
    </w:rPr>
  </w:style>
  <w:style w:type="character" w:customStyle="1" w:styleId="10">
    <w:name w:val="页脚 Char"/>
    <w:basedOn w:val="8"/>
    <w:link w:val="5"/>
    <w:qFormat/>
    <w:uiPriority w:val="0"/>
    <w:rPr>
      <w:rFonts w:asciiTheme="minorHAnsi" w:hAnsiTheme="minorHAnsi" w:eastAsiaTheme="minorEastAsia" w:cstheme="minorBidi"/>
      <w:kern w:val="2"/>
      <w:sz w:val="18"/>
      <w:szCs w:val="18"/>
    </w:rPr>
  </w:style>
  <w:style w:type="character" w:customStyle="1" w:styleId="11">
    <w:name w:val="批注框文本 Char"/>
    <w:basedOn w:val="8"/>
    <w:link w:val="4"/>
    <w:qFormat/>
    <w:uiPriority w:val="0"/>
    <w:rPr>
      <w:rFonts w:asciiTheme="minorHAnsi" w:hAnsiTheme="minorHAnsi" w:eastAsiaTheme="minorEastAsia" w:cstheme="minorBidi"/>
      <w:kern w:val="2"/>
      <w:sz w:val="18"/>
      <w:szCs w:val="18"/>
    </w:rPr>
  </w:style>
  <w:style w:type="character" w:customStyle="1" w:styleId="12">
    <w:name w:val="font21"/>
    <w:basedOn w:val="8"/>
    <w:qFormat/>
    <w:uiPriority w:val="0"/>
    <w:rPr>
      <w:rFonts w:hint="eastAsia" w:ascii="宋体" w:hAnsi="宋体" w:eastAsia="宋体" w:cs="宋体"/>
      <w:b/>
      <w:color w:val="000000"/>
      <w:sz w:val="20"/>
      <w:szCs w:val="20"/>
      <w:u w:val="none"/>
    </w:rPr>
  </w:style>
  <w:style w:type="character" w:customStyle="1" w:styleId="13">
    <w:name w:val="font11"/>
    <w:basedOn w:val="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5937</Words>
  <Characters>6199</Characters>
  <Lines>44</Lines>
  <Paragraphs>12</Paragraphs>
  <TotalTime>0</TotalTime>
  <ScaleCrop>false</ScaleCrop>
  <LinksUpToDate>false</LinksUpToDate>
  <CharactersWithSpaces>6215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2023-12-20T00:39:00Z</dcterms:created>
  <dc:creator>钟军</dc:creator>
  <cp:lastModifiedBy>wjw</cp:lastModifiedBy>
  <dcterms:modified xsi:type="dcterms:W3CDTF">2025-07-23T08:40:55Z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24F82E7525FB48CDAAC6C7A96181CCA8_13</vt:lpwstr>
  </property>
  <property fmtid="{D5CDD505-2E9C-101B-9397-08002B2CF9AE}" pid="4" name="KSOTemplateDocerSaveRecord">
    <vt:lpwstr>eyJoZGlkIjoiYzk1NDJjZmNkNGRmYjRhZjQ0MTlhNDc1ZmQ1MWI2ZTIiLCJ1c2VySWQiOiIxMjkwODU1NzkzIn0=</vt:lpwstr>
  </property>
</Properties>
</file>