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28831">
      <w:pPr>
        <w:spacing w:line="440" w:lineRule="exact"/>
        <w:ind w:firstLine="3534" w:firstLineChars="1100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采购需求</w:t>
      </w:r>
    </w:p>
    <w:p w14:paraId="1B1188C1"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说明：</w:t>
      </w:r>
    </w:p>
    <w:p w14:paraId="2EFCA46D"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本采购需求中</w:t>
      </w:r>
      <w:r>
        <w:rPr>
          <w:rFonts w:hint="eastAsia" w:ascii="宋体" w:hAnsi="宋体" w:eastAsia="宋体" w:cs="宋体"/>
          <w:sz w:val="24"/>
          <w:szCs w:val="24"/>
        </w:rPr>
        <w:t>标注“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”号的条款为实质性条款或指标、要求，必须满足（无偏离）或优于（正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偏离），否则其投标作否决谈判处理。</w:t>
      </w:r>
    </w:p>
    <w:tbl>
      <w:tblPr>
        <w:tblStyle w:val="6"/>
        <w:tblpPr w:leftFromText="180" w:rightFromText="180" w:vertAnchor="text" w:horzAnchor="page" w:tblpX="1289" w:tblpY="506"/>
        <w:tblOverlap w:val="never"/>
        <w:tblW w:w="547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026"/>
        <w:gridCol w:w="7644"/>
      </w:tblGrid>
      <w:tr w14:paraId="45006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000" w:type="pct"/>
            <w:gridSpan w:val="3"/>
          </w:tcPr>
          <w:p w14:paraId="21369B0D">
            <w:pPr>
              <w:numPr>
                <w:ilvl w:val="0"/>
                <w:numId w:val="0"/>
              </w:numPr>
              <w:spacing w:line="50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▲一、项目内容及要求</w:t>
            </w:r>
          </w:p>
        </w:tc>
      </w:tr>
      <w:tr w14:paraId="2A8D2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2" w:type="pct"/>
          </w:tcPr>
          <w:p w14:paraId="709E0934">
            <w:pPr>
              <w:pStyle w:val="5"/>
              <w:spacing w:before="178" w:line="230" w:lineRule="auto"/>
              <w:ind w:left="143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序号</w:t>
            </w:r>
          </w:p>
        </w:tc>
        <w:tc>
          <w:tcPr>
            <w:tcW w:w="563" w:type="pct"/>
            <w:vAlign w:val="center"/>
          </w:tcPr>
          <w:p w14:paraId="193E99C9">
            <w:pPr>
              <w:pStyle w:val="5"/>
              <w:spacing w:line="228" w:lineRule="auto"/>
              <w:jc w:val="center"/>
              <w:rPr>
                <w:spacing w:val="7"/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标</w:t>
            </w:r>
          </w:p>
          <w:p w14:paraId="0975F0F4">
            <w:pPr>
              <w:pStyle w:val="5"/>
              <w:spacing w:line="228" w:lineRule="auto"/>
              <w:jc w:val="center"/>
              <w:rPr>
                <w:spacing w:val="7"/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的</w:t>
            </w:r>
          </w:p>
          <w:p w14:paraId="5B571A63">
            <w:pPr>
              <w:pStyle w:val="5"/>
              <w:spacing w:line="228" w:lineRule="auto"/>
              <w:jc w:val="center"/>
              <w:rPr>
                <w:spacing w:val="7"/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名</w:t>
            </w:r>
          </w:p>
          <w:p w14:paraId="2CB269E4">
            <w:pPr>
              <w:pStyle w:val="5"/>
              <w:spacing w:line="228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称</w:t>
            </w:r>
          </w:p>
        </w:tc>
        <w:tc>
          <w:tcPr>
            <w:tcW w:w="4203" w:type="pct"/>
            <w:vAlign w:val="center"/>
          </w:tcPr>
          <w:p w14:paraId="777EA416">
            <w:pPr>
              <w:pStyle w:val="5"/>
              <w:spacing w:before="178" w:line="228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技术要求</w:t>
            </w:r>
          </w:p>
        </w:tc>
      </w:tr>
      <w:tr w14:paraId="2CD4E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2" w:type="pct"/>
            <w:vAlign w:val="center"/>
          </w:tcPr>
          <w:p w14:paraId="4E8401B6">
            <w:pPr>
              <w:pStyle w:val="5"/>
              <w:spacing w:before="65" w:line="189" w:lineRule="auto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3" w:type="pct"/>
            <w:vAlign w:val="center"/>
          </w:tcPr>
          <w:p w14:paraId="53C8DA61">
            <w:pPr>
              <w:pStyle w:val="5"/>
              <w:spacing w:before="135" w:line="228" w:lineRule="auto"/>
              <w:jc w:val="center"/>
              <w:rPr>
                <w:rFonts w:hint="eastAsia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二次供水水箱清洗、消毒、检测服务</w:t>
            </w:r>
          </w:p>
        </w:tc>
        <w:tc>
          <w:tcPr>
            <w:tcW w:w="4203" w:type="pct"/>
          </w:tcPr>
          <w:p w14:paraId="1031B455">
            <w:pPr>
              <w:numPr>
                <w:ilvl w:val="0"/>
                <w:numId w:val="0"/>
              </w:numPr>
              <w:spacing w:line="500" w:lineRule="exact"/>
              <w:ind w:firstLine="200" w:firstLineChars="100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  <w:p w14:paraId="2838EC81">
            <w:pPr>
              <w:numPr>
                <w:ilvl w:val="0"/>
                <w:numId w:val="0"/>
              </w:numPr>
              <w:spacing w:line="500" w:lineRule="exact"/>
              <w:ind w:firstLine="300" w:firstLineChars="100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项目名称：广西壮族自治区江滨医院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二次供水水箱清洗、消毒及水质检测服务。</w:t>
            </w:r>
          </w:p>
          <w:p w14:paraId="1118BA33">
            <w:pPr>
              <w:numPr>
                <w:ilvl w:val="0"/>
                <w:numId w:val="0"/>
              </w:numPr>
              <w:spacing w:line="500" w:lineRule="exact"/>
              <w:ind w:firstLine="300" w:firstLineChars="100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水箱位置：设备楼一楼水泵房供水水箱（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47.5m³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）、老年医学中心大楼负一楼水泵房两个供水水箱（每个水箱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75m³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）、老年医学中心大楼楼顶水泵房两个供水水箱（每个水箱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31.5m³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A930C97">
            <w:pPr>
              <w:numPr>
                <w:ilvl w:val="0"/>
                <w:numId w:val="0"/>
              </w:numPr>
              <w:spacing w:line="500" w:lineRule="exact"/>
              <w:ind w:firstLine="300" w:firstLineChars="100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服务周期：拟招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年，每年一签，每半年进行一次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供水水箱清洗、消毒及水质检测服务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0FB33AD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520" w:firstLineChars="200"/>
              <w:textAlignment w:val="baseline"/>
              <w:rPr>
                <w:color w:val="FF0000"/>
                <w:spacing w:val="10"/>
                <w:kern w:val="0"/>
                <w:sz w:val="24"/>
                <w:szCs w:val="24"/>
                <w:lang w:eastAsia="zh-CN"/>
              </w:rPr>
            </w:pPr>
          </w:p>
        </w:tc>
      </w:tr>
      <w:tr w14:paraId="36300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000" w:type="pct"/>
            <w:gridSpan w:val="3"/>
          </w:tcPr>
          <w:p w14:paraId="2D62EB79">
            <w:pPr>
              <w:pStyle w:val="5"/>
              <w:spacing w:before="138" w:line="228" w:lineRule="auto"/>
              <w:ind w:left="122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▲二、医院二次供水水箱清洗消毒检测服务采购需求</w:t>
            </w:r>
          </w:p>
        </w:tc>
      </w:tr>
      <w:tr w14:paraId="3FB69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000" w:type="pct"/>
            <w:gridSpan w:val="3"/>
          </w:tcPr>
          <w:p w14:paraId="4F8ED1B8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服务内容及要求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（一）水箱清洗消毒服务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清洗范围：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院内五个二次供水水箱。包括箱体内壁、顶部、底部、人孔、爬梯、管道接口等全面清洁。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清洗消毒标准：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符合《二次供水设施卫生规范》（GB 17051-1997）及地方卫生部门要求。使用食品级消毒剂（如次氯酸钠，浓度符合国家标准），禁止使用有毒有害药剂。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3. 作业流程：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排空水箱→高压水枪冲洗→清除污垢→消毒剂喷洒/浸泡→二次冲洗→水质检测合格后恢复供水。作业期间需保障医院应急用水需求（如提前通知停水时间或提供临时供水方案）。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（二）水质检测服务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1.检测项目：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必检项：色度、浑浊度、臭和味、肉眼可见物、pH值、氨氮、亚硝酸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盐氮、耗氧量、菌落总数、总大肠杆菌、游离余氯。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检测标准：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符合《生活饮用水卫生标准》（GB 5749-2022），出具CMA认证的检测报告。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二、供应商资质要求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具备独立法人资格，经营范围含二次供水设施清洗消毒或卫生保洁服务。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具有公共场所卫生许可证或相关资质（如供水设备清洗消毒资质）。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3. 作业人员需持有健康证及专业培训合格证明。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三、服务要求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1.安全规范：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作业人员需佩戴防护装备，设置安全警示标志，确保医院正常秩序。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清洗废水需合规处理，禁止直接排入医院污水系统。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2.验收标准：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清洗后水箱内壁无附着物、无青苔、无杂质。水质检测报告全部指标合格，不合格需免费返工。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四、报价及付款方式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1.此项目报价为三年服务期总报价。</w:t>
            </w:r>
          </w:p>
          <w:p w14:paraId="04C1CEBE">
            <w:pPr>
              <w:numPr>
                <w:numId w:val="0"/>
              </w:numPr>
              <w:spacing w:line="500" w:lineRule="exact"/>
              <w:ind w:firstLine="300" w:firstLineChars="100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报价包含：人工、设备、消毒剂、检测费、税费等全部费用。 </w:t>
            </w:r>
          </w:p>
          <w:p w14:paraId="344AD0B9">
            <w:pPr>
              <w:numPr>
                <w:ilvl w:val="0"/>
                <w:numId w:val="0"/>
              </w:numPr>
              <w:spacing w:line="500" w:lineRule="exact"/>
              <w:ind w:firstLine="300" w:firstLineChars="100"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付款方式：按次结算，清洗完成并验收合格，收到有效发票完成院内审批流程后3个月内支付。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五、投标文件要求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公司营业执照、资质证书复印件。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服务方案（含清洗流程、消毒剂类型等）。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3. 报价明细表。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六、其他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医院有权对服务过程进行监督，发现不符合要求可终止合同。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清洗消毒时间需避开医院用水高峰，提前3天通知院方。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注意事项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根据医院实际需求调整水箱数量、检测频率及特殊要求。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建议优先选择具备医疗机构服务经验的供应商。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3. 水质检测报告需由具有CMA资质的第三方实验室出具。</w:t>
            </w:r>
          </w:p>
        </w:tc>
      </w:tr>
    </w:tbl>
    <w:p w14:paraId="4461DC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E0174"/>
    <w:multiLevelType w:val="singleLevel"/>
    <w:tmpl w:val="E94E0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14B3"/>
    <w:rsid w:val="085E7E73"/>
    <w:rsid w:val="456F0642"/>
    <w:rsid w:val="4D3D7154"/>
    <w:rsid w:val="52A97FC8"/>
    <w:rsid w:val="607526C1"/>
    <w:rsid w:val="6A4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3"/>
    <w:qFormat/>
    <w:uiPriority w:val="0"/>
    <w:rPr>
      <w:rFonts w:cs="Times New Roman"/>
      <w:sz w:val="21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6">
    <w:name w:val="Table Normal"/>
    <w:basedOn w:val="2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1141</Characters>
  <Lines>0</Lines>
  <Paragraphs>0</Paragraphs>
  <TotalTime>61</TotalTime>
  <ScaleCrop>false</ScaleCrop>
  <LinksUpToDate>false</LinksUpToDate>
  <CharactersWithSpaces>1231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2025-07-08T03:05:00Z</dcterms:created>
  <dc:creator>acer</dc:creator>
  <cp:lastModifiedBy>阳光 ballon</cp:lastModifiedBy>
  <dcterms:modified xsi:type="dcterms:W3CDTF">2025-07-25T03:56:18Z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eyJoZGlkIjoiZjA1N2U0MTA2MmQwZTc4Mzc4YTllMjg1MGNiYjliNGEiLCJ1c2VySWQiOiIxMzA3MDY5Mjc0In0=</vt:lpwstr>
  </property>
  <property fmtid="{D5CDD505-2E9C-101B-9397-08002B2CF9AE}" pid="4" name="ICV">
    <vt:lpwstr>96CFD3FD55064922A6F729E8F85CB01A_12</vt:lpwstr>
  </property>
</Properties>
</file>