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AB4DD">
      <w:pPr>
        <w:pStyle w:val="2"/>
        <w:keepNext/>
        <w:keepLines/>
        <w:kinsoku/>
        <w:autoSpaceDE/>
        <w:autoSpaceDN/>
        <w:adjustRightInd/>
        <w:snapToGrid/>
        <w:spacing w:before="0" w:after="0" w:line="360" w:lineRule="auto"/>
        <w:jc w:val="left"/>
        <w:textAlignment w:val="auto"/>
        <w:rPr>
          <w:rFonts w:hint="eastAsia" w:ascii="Times New Roman" w:hAnsi="Times New Roman" w:eastAsia="宋体" w:cs="Times New Roman"/>
          <w:color w:val="00000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附件</w:t>
      </w:r>
      <w:r>
        <w:rPr>
          <w:rFonts w:hint="eastAsia" w:eastAsia="宋体" w:cs="Times New Roman"/>
          <w:color w:val="000000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 xml:space="preserve"> :</w:t>
      </w:r>
      <w:bookmarkStart w:id="0" w:name="_Toc26544"/>
      <w:bookmarkStart w:id="1" w:name="_Toc233130515"/>
    </w:p>
    <w:p w14:paraId="33B2CEB7">
      <w:pPr>
        <w:pStyle w:val="20"/>
        <w:widowControl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内科楼肾一病区翻修工程项目</w:t>
      </w:r>
      <w:r>
        <w:rPr>
          <w:rFonts w:hint="eastAsia"/>
          <w:lang w:val="en-US" w:eastAsia="zh-CN"/>
        </w:rPr>
        <w:t>院内必选</w:t>
      </w:r>
    </w:p>
    <w:p w14:paraId="5BC7F0BC">
      <w:pPr>
        <w:pStyle w:val="20"/>
        <w:widowControl/>
        <w:rPr>
          <w:rFonts w:hint="eastAsia"/>
          <w:lang w:eastAsia="zh-CN"/>
        </w:rPr>
      </w:pPr>
      <w:r>
        <w:rPr>
          <w:rFonts w:hint="eastAsia"/>
          <w:lang w:eastAsia="zh-CN"/>
        </w:rPr>
        <w:t>评审标准</w:t>
      </w:r>
      <w:bookmarkEnd w:id="0"/>
      <w:bookmarkEnd w:id="1"/>
    </w:p>
    <w:p w14:paraId="3B4D4B42">
      <w:pPr>
        <w:rPr>
          <w:rFonts w:hint="eastAsia"/>
          <w:lang w:eastAsia="zh-CN"/>
        </w:rPr>
      </w:pPr>
      <w:bookmarkStart w:id="2" w:name="_GoBack"/>
      <w:bookmarkEnd w:id="2"/>
    </w:p>
    <w:p w14:paraId="6B59ADE9">
      <w:pPr>
        <w:rPr>
          <w:rFonts w:hint="eastAsia"/>
          <w:lang w:eastAsia="zh-CN"/>
        </w:rPr>
      </w:pPr>
    </w:p>
    <w:p w14:paraId="05FB08C3">
      <w:pPr>
        <w:widowControl w:val="0"/>
        <w:kinsoku/>
        <w:autoSpaceDE/>
        <w:autoSpaceDN/>
        <w:adjustRightInd/>
        <w:snapToGrid w:val="0"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Style w:val="33"/>
          <w:rFonts w:hint="eastAsia" w:ascii="宋体" w:hAnsi="宋体" w:eastAsia="宋体" w:cs="宋体"/>
          <w:b w:val="0"/>
          <w:i w:val="0"/>
          <w:caps w:val="0"/>
          <w:snapToGrid/>
          <w:color w:val="auto"/>
          <w:spacing w:val="0"/>
          <w:w w:val="100"/>
          <w:kern w:val="2"/>
          <w:sz w:val="21"/>
          <w:szCs w:val="24"/>
          <w:highlight w:val="none"/>
          <w:lang w:val="en-US" w:eastAsia="zh-CN" w:bidi="ar-SA"/>
        </w:rPr>
      </w:pPr>
      <w:r>
        <w:rPr>
          <w:rStyle w:val="33"/>
          <w:rFonts w:hint="eastAsia" w:ascii="宋体" w:hAnsi="宋体" w:eastAsia="宋体" w:cs="宋体"/>
          <w:b w:val="0"/>
          <w:i w:val="0"/>
          <w:caps w:val="0"/>
          <w:snapToGrid/>
          <w:color w:val="auto"/>
          <w:spacing w:val="0"/>
          <w:w w:val="100"/>
          <w:kern w:val="2"/>
          <w:sz w:val="21"/>
          <w:szCs w:val="24"/>
          <w:highlight w:val="none"/>
          <w:lang w:val="en-US" w:eastAsia="zh-CN" w:bidi="ar-SA"/>
        </w:rPr>
        <w:t>1.评审依据：磋商小组将以磋商响应文件为评审依据，对供应商的报价、技术、商务等方面内容按百分制打分。（计分方法按四舍五入取至百分位）</w:t>
      </w:r>
    </w:p>
    <w:tbl>
      <w:tblPr>
        <w:tblStyle w:val="23"/>
        <w:tblW w:w="504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2"/>
        <w:gridCol w:w="1456"/>
        <w:gridCol w:w="6665"/>
        <w:gridCol w:w="1005"/>
      </w:tblGrid>
      <w:tr w14:paraId="6F77C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305" w:type="pct"/>
            <w:vAlign w:val="center"/>
          </w:tcPr>
          <w:p w14:paraId="16499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750" w:type="pct"/>
            <w:gridSpan w:val="2"/>
            <w:vAlign w:val="center"/>
          </w:tcPr>
          <w:p w14:paraId="2DD7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评审因素</w:t>
            </w:r>
          </w:p>
        </w:tc>
        <w:tc>
          <w:tcPr>
            <w:tcW w:w="3428" w:type="pct"/>
            <w:vAlign w:val="center"/>
          </w:tcPr>
          <w:p w14:paraId="15301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评审因素具体内容</w:t>
            </w:r>
          </w:p>
        </w:tc>
        <w:tc>
          <w:tcPr>
            <w:tcW w:w="516" w:type="pct"/>
            <w:vAlign w:val="center"/>
          </w:tcPr>
          <w:p w14:paraId="56281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分值</w:t>
            </w:r>
          </w:p>
        </w:tc>
      </w:tr>
      <w:tr w14:paraId="7FE51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vAlign w:val="center"/>
          </w:tcPr>
          <w:p w14:paraId="5883C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178" w:type="pct"/>
            <w:gridSpan w:val="3"/>
            <w:vAlign w:val="center"/>
          </w:tcPr>
          <w:p w14:paraId="23B3A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技术分</w:t>
            </w:r>
          </w:p>
        </w:tc>
        <w:tc>
          <w:tcPr>
            <w:tcW w:w="516" w:type="pct"/>
            <w:vAlign w:val="center"/>
          </w:tcPr>
          <w:p w14:paraId="2AF56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70</w:t>
            </w:r>
          </w:p>
        </w:tc>
      </w:tr>
      <w:tr w14:paraId="27E92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vAlign w:val="center"/>
          </w:tcPr>
          <w:p w14:paraId="6CE00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3E8B1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1.1</w:t>
            </w:r>
          </w:p>
        </w:tc>
        <w:tc>
          <w:tcPr>
            <w:tcW w:w="750" w:type="pct"/>
            <w:gridSpan w:val="2"/>
            <w:vAlign w:val="center"/>
          </w:tcPr>
          <w:p w14:paraId="3A0B2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74066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材料品质分</w:t>
            </w:r>
          </w:p>
        </w:tc>
        <w:tc>
          <w:tcPr>
            <w:tcW w:w="3428" w:type="pct"/>
            <w:vAlign w:val="top"/>
          </w:tcPr>
          <w:p w14:paraId="55519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装修选用材料的性能参数、物理性能及耐用性，应严格参照国家/行业标准。磋商小组依据材料质量、价格合理性、样品外观、保质年限等要素进行综合评价排序，最优者得30分，第二名得24分，第三名得18分……，依此类推。</w:t>
            </w:r>
          </w:p>
          <w:p w14:paraId="65E1F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default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注：提供国家级检测机构（如国家建筑材料测试中心）的检测报告，且关键指标（如板材的甲醛释放量、涂料的 VOC 含量、瓷砖的吸水率）达到或优于国标。</w:t>
            </w:r>
          </w:p>
        </w:tc>
        <w:tc>
          <w:tcPr>
            <w:tcW w:w="516" w:type="pct"/>
            <w:vAlign w:val="center"/>
          </w:tcPr>
          <w:p w14:paraId="46F35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default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30</w:t>
            </w:r>
          </w:p>
        </w:tc>
      </w:tr>
      <w:tr w14:paraId="75531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vAlign w:val="center"/>
          </w:tcPr>
          <w:p w14:paraId="35647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1.2</w:t>
            </w:r>
          </w:p>
        </w:tc>
        <w:tc>
          <w:tcPr>
            <w:tcW w:w="750" w:type="pct"/>
            <w:gridSpan w:val="2"/>
            <w:vAlign w:val="center"/>
          </w:tcPr>
          <w:p w14:paraId="21B0A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项目实施方案分</w:t>
            </w:r>
          </w:p>
        </w:tc>
        <w:tc>
          <w:tcPr>
            <w:tcW w:w="3428" w:type="pct"/>
            <w:vAlign w:val="top"/>
          </w:tcPr>
          <w:p w14:paraId="30E0D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一档（4 分）：供应商所提供技术方案较差，技术架构简单，在人员配置 及安排、项目进度等方面描述较为简单，方案不全面。</w:t>
            </w:r>
          </w:p>
          <w:p w14:paraId="33B1D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二档（8 分）：供应商所提供技术方案简单，没有明显技术错误，技术架 构简单可行，在人员配置及安排、项目进度、免费技术操作培训等方面有简  单描述，方案基本可操作，但不够具体详细。</w:t>
            </w:r>
          </w:p>
          <w:p w14:paraId="42A06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三档（12 分）：供应商所提供技术方案较详细、先进、合理，对项目理解 较深刻，步骤有序，能较有针对性地提出合理化建议，在保证及时供货的方  案、人员配置及安排、项目进度等方面有比较详细的描述，方案可操作性强。</w:t>
            </w:r>
          </w:p>
          <w:p w14:paraId="74B28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四档（16 分）：项目实施方案符合现场实际情况；提供技术方案非常详 细、先进、合理，对项目理解较深刻，步骤有序，且方案整体性，可靠性， 可维护性，安全性非常好，有针对性提出合理化建议，在保证及时供货的 方案、人员配置及安排、项目进度等方面有非常详细的描述，包括人员配置 方案、施工方案、培训方案等方面。方案科学，可操作性强。</w:t>
            </w:r>
          </w:p>
        </w:tc>
        <w:tc>
          <w:tcPr>
            <w:tcW w:w="516" w:type="pct"/>
            <w:vAlign w:val="center"/>
          </w:tcPr>
          <w:p w14:paraId="77AF6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16</w:t>
            </w:r>
          </w:p>
        </w:tc>
      </w:tr>
      <w:tr w14:paraId="5EA6B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vAlign w:val="center"/>
          </w:tcPr>
          <w:p w14:paraId="0E1AF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1.3</w:t>
            </w:r>
          </w:p>
        </w:tc>
        <w:tc>
          <w:tcPr>
            <w:tcW w:w="750" w:type="pct"/>
            <w:gridSpan w:val="2"/>
            <w:vAlign w:val="center"/>
          </w:tcPr>
          <w:p w14:paraId="20824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项目的了解及特点、难点分析及污染物浓度变化的方案和措施</w:t>
            </w:r>
          </w:p>
        </w:tc>
        <w:tc>
          <w:tcPr>
            <w:tcW w:w="3428" w:type="pct"/>
            <w:vAlign w:val="top"/>
          </w:tcPr>
          <w:p w14:paraId="1E162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一档（3 分）：对项目基本情况了解不全面，描述设备的工作原理不合理 且没有对项目进行重点难点分析，无针对水质变化及季节特点的解决方案；</w:t>
            </w:r>
          </w:p>
          <w:p w14:paraId="17B05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二档（6 分）：对项目基本情况能清楚了解，描述设备的工作原理准确合 理，没有对项目进行重点难点分析，针对水质变化及季节特点有解决方案；</w:t>
            </w:r>
          </w:p>
          <w:p w14:paraId="783A2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三档（9 分）：对项目基本情况能清楚了解，能准确理解及描述设备的工 作原理，具有项目的重点难点分析，并配以工艺流程图，图文与项目实际相 结合，各项分析合理、完善，完全针对水质变化及季节特点有切实可行的解 决方案和措施，出水水质质量并且能够保障出水水质质量及季节运行稳定。</w:t>
            </w:r>
          </w:p>
        </w:tc>
        <w:tc>
          <w:tcPr>
            <w:tcW w:w="516" w:type="pct"/>
            <w:vAlign w:val="center"/>
          </w:tcPr>
          <w:p w14:paraId="14DD0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9</w:t>
            </w:r>
          </w:p>
        </w:tc>
      </w:tr>
      <w:tr w14:paraId="6A043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vAlign w:val="center"/>
          </w:tcPr>
          <w:p w14:paraId="11DBC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1.4</w:t>
            </w:r>
          </w:p>
        </w:tc>
        <w:tc>
          <w:tcPr>
            <w:tcW w:w="750" w:type="pct"/>
            <w:gridSpan w:val="2"/>
            <w:vAlign w:val="center"/>
          </w:tcPr>
          <w:p w14:paraId="0FD83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总体概述</w:t>
            </w:r>
          </w:p>
          <w:p w14:paraId="71EF3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（施工程序总体设想及施工阶段）</w:t>
            </w:r>
          </w:p>
        </w:tc>
        <w:tc>
          <w:tcPr>
            <w:tcW w:w="3428" w:type="pct"/>
            <w:vAlign w:val="top"/>
          </w:tcPr>
          <w:p w14:paraId="74C08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一档（1分）：对项目认识不足，表述不清晰，措施不具体。施工段划分不合理。</w:t>
            </w:r>
          </w:p>
          <w:p w14:paraId="6CAD6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二档（3 分）：对项目总体有认识，有一定的措施但部分不具体。施工段 划分比较合理，有一定的措施但部分不具体。</w:t>
            </w:r>
          </w:p>
          <w:p w14:paraId="59CDC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三档（6 分）：对项目总体有一定认识，表述清晰、完整，措施具体有效； 施工段划分呼应总表述，划分清晰、合理，符合规范要求。</w:t>
            </w:r>
          </w:p>
          <w:p w14:paraId="46E73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四档（8 分）：对项目总体有深刻认识、表达清晰、完整、严谨、合理，措施先进、具体、有效、成熟；施工段划分呼应总表述，划分清晰、合理， 符合规范要求。</w:t>
            </w:r>
          </w:p>
        </w:tc>
        <w:tc>
          <w:tcPr>
            <w:tcW w:w="516" w:type="pct"/>
            <w:vAlign w:val="center"/>
          </w:tcPr>
          <w:p w14:paraId="1F363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8</w:t>
            </w:r>
          </w:p>
        </w:tc>
      </w:tr>
      <w:tr w14:paraId="039C1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vAlign w:val="center"/>
          </w:tcPr>
          <w:p w14:paraId="33C7F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1.5</w:t>
            </w:r>
          </w:p>
        </w:tc>
        <w:tc>
          <w:tcPr>
            <w:tcW w:w="750" w:type="pct"/>
            <w:gridSpan w:val="2"/>
            <w:vAlign w:val="center"/>
          </w:tcPr>
          <w:p w14:paraId="74510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施工进度计划和各阶段保证措施</w:t>
            </w:r>
          </w:p>
        </w:tc>
        <w:tc>
          <w:tcPr>
            <w:tcW w:w="3428" w:type="pct"/>
            <w:vAlign w:val="top"/>
          </w:tcPr>
          <w:p w14:paraId="1A4F5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一档（1 分）：对本项目施工关键线路不准确，计划编制不合理，关键节点的控制措施不可行，没有违约责任承诺，质量保证措施不具体。</w:t>
            </w:r>
          </w:p>
          <w:p w14:paraId="45C58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二档（3 分）：对本项目施工关键线路基本准确，计划编制基本合理，关 键节点的控制措施基本可行，进度违约责任承诺具体，基本能保证技术质量， 达到承诺的质量标准。</w:t>
            </w:r>
          </w:p>
          <w:p w14:paraId="6BC66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三档（6 分）：对本项目施工关键线路清晰、准确、完整，计划编制可行， 关键节点的控制措施合理、可行，进度违约责任承诺具体，能保证技术质量， 达到承诺的质量标准。</w:t>
            </w:r>
          </w:p>
          <w:p w14:paraId="17101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四档（8 分）：对本项目施工关键线路清晰、准确、完整，计划编制合理、 可行，关键节点的控制措施有力、合理、可行、进度违约责任承诺具体，能 确保工程各阶段顺利施工，主要工序应有质量技术保证措施和手段， 自控体系完整，能有效保证技术质量，达到承诺的质量标准。</w:t>
            </w:r>
          </w:p>
        </w:tc>
        <w:tc>
          <w:tcPr>
            <w:tcW w:w="516" w:type="pct"/>
            <w:vAlign w:val="center"/>
          </w:tcPr>
          <w:p w14:paraId="0B456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8</w:t>
            </w:r>
          </w:p>
        </w:tc>
      </w:tr>
      <w:tr w14:paraId="2A44D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tcBorders>
              <w:right w:val="single" w:color="auto" w:sz="4" w:space="0"/>
            </w:tcBorders>
            <w:vAlign w:val="center"/>
          </w:tcPr>
          <w:p w14:paraId="3718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1.6</w:t>
            </w:r>
          </w:p>
        </w:tc>
        <w:tc>
          <w:tcPr>
            <w:tcW w:w="750" w:type="pct"/>
            <w:gridSpan w:val="2"/>
            <w:tcBorders>
              <w:left w:val="single" w:color="auto" w:sz="4" w:space="0"/>
            </w:tcBorders>
            <w:vAlign w:val="center"/>
          </w:tcPr>
          <w:p w14:paraId="574E6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项目管理机构分</w:t>
            </w:r>
          </w:p>
        </w:tc>
        <w:tc>
          <w:tcPr>
            <w:tcW w:w="3428" w:type="pct"/>
            <w:vAlign w:val="top"/>
          </w:tcPr>
          <w:p w14:paraId="428D9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一档（1 分）：持证专职安全员满足项目要求，其他项目班子人员不齐 备或搭配不合理。</w:t>
            </w:r>
          </w:p>
          <w:p w14:paraId="55D16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二档（2 分）：技术负责人有中级及以上职称，持证专职安全员满足项目 要求，其他项目班子人员齐备、搭配基本合理，都有岗位证书。</w:t>
            </w:r>
          </w:p>
          <w:p w14:paraId="6AEC6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三档（3 分）：技术负责人有中级及以上职称，持证专职安全员满足项 目要求，其他项目班子人员齐备、搭配合理，都有岗位证书，1 名及以上的人员都具备中级及以上职称。</w:t>
            </w:r>
          </w:p>
          <w:p w14:paraId="6F568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四档（4 分）：技术负责人有中级及以上职称，持证专职安全员满足项目要求，其他项目班子人员齐备、搭配合理，都有岗位证书，2 名及以上的人员都具备中级及以上职称。</w:t>
            </w:r>
          </w:p>
        </w:tc>
        <w:tc>
          <w:tcPr>
            <w:tcW w:w="516" w:type="pct"/>
            <w:vAlign w:val="center"/>
          </w:tcPr>
          <w:p w14:paraId="5D81E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4</w:t>
            </w:r>
          </w:p>
        </w:tc>
      </w:tr>
      <w:tr w14:paraId="3A6D5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6" w:type="pct"/>
            <w:gridSpan w:val="2"/>
            <w:tcBorders>
              <w:right w:val="single" w:color="auto" w:sz="4" w:space="0"/>
            </w:tcBorders>
            <w:vAlign w:val="center"/>
          </w:tcPr>
          <w:p w14:paraId="17D0B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177" w:type="pct"/>
            <w:gridSpan w:val="2"/>
            <w:tcBorders>
              <w:left w:val="single" w:color="auto" w:sz="4" w:space="0"/>
            </w:tcBorders>
            <w:vAlign w:val="center"/>
          </w:tcPr>
          <w:p w14:paraId="3E2AF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商务分</w:t>
            </w:r>
          </w:p>
        </w:tc>
        <w:tc>
          <w:tcPr>
            <w:tcW w:w="516" w:type="pct"/>
            <w:vAlign w:val="center"/>
          </w:tcPr>
          <w:p w14:paraId="474E0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30</w:t>
            </w:r>
          </w:p>
        </w:tc>
      </w:tr>
      <w:tr w14:paraId="7C843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vAlign w:val="center"/>
          </w:tcPr>
          <w:p w14:paraId="06051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2.1</w:t>
            </w:r>
          </w:p>
        </w:tc>
        <w:tc>
          <w:tcPr>
            <w:tcW w:w="750" w:type="pct"/>
            <w:gridSpan w:val="2"/>
            <w:vAlign w:val="center"/>
          </w:tcPr>
          <w:p w14:paraId="14552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45AF7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3D2AF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售后服务方案</w:t>
            </w:r>
          </w:p>
          <w:p w14:paraId="4E426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428" w:type="pct"/>
            <w:vAlign w:val="top"/>
          </w:tcPr>
          <w:p w14:paraId="26B22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一档（0分）：售后服务方案较简单不切实际。不能满足项目要求。</w:t>
            </w:r>
          </w:p>
          <w:p w14:paraId="22239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二档（5 分）：投标人承诺的售后服务满足招标文件要求，投标人有相关技术服务、维护机构，有基本的维保方案（含技术培训、回访措施、维护措施、 耗材及备品备件优惠措施、维保人员配置等）。</w:t>
            </w:r>
          </w:p>
          <w:p w14:paraId="4230E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三档（10 分）：投标人承诺的售后服务满足招标文件要求，投标人有相关技术服务、维护机构，有较完善的维保方案（含技术培训、回访措施、维护 措施、维保人员配置等）和可靠的服务响应体系；</w:t>
            </w:r>
          </w:p>
          <w:p w14:paraId="16C08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四档（15 分）：投标人承诺的售后服务满足招标文件要求，投标人有相关 技术服务、维护机构，有完善的维保方案（含技术培训、回访措施、维护措 施、耗材及备品备件优惠措施、维保人员配置等）和可靠的服务响应体系（含 接到通知到达时现场处理故障时间、一般故障承诺解决时间、故障无法排除 时的解决方案等）。接到故障立即响应，到达现场处理时间4 小时内。</w:t>
            </w:r>
          </w:p>
        </w:tc>
        <w:tc>
          <w:tcPr>
            <w:tcW w:w="516" w:type="pct"/>
            <w:vAlign w:val="center"/>
          </w:tcPr>
          <w:p w14:paraId="10794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default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15</w:t>
            </w:r>
          </w:p>
        </w:tc>
      </w:tr>
      <w:tr w14:paraId="665F9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vAlign w:val="center"/>
          </w:tcPr>
          <w:p w14:paraId="7F784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0CB99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2.2</w:t>
            </w:r>
          </w:p>
        </w:tc>
        <w:tc>
          <w:tcPr>
            <w:tcW w:w="750" w:type="pct"/>
            <w:gridSpan w:val="2"/>
            <w:vAlign w:val="center"/>
          </w:tcPr>
          <w:p w14:paraId="75BA2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业绩分</w:t>
            </w:r>
          </w:p>
          <w:p w14:paraId="1F07E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（客观分）</w:t>
            </w:r>
          </w:p>
        </w:tc>
        <w:tc>
          <w:tcPr>
            <w:tcW w:w="3428" w:type="pct"/>
            <w:vAlign w:val="top"/>
          </w:tcPr>
          <w:p w14:paraId="3017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投标人 2023 年 1 月以来，有销售同类设备或承揽或完成过同类工程业绩 的，每 1 个项目得 2 分，满分 10 分（投标文件中提供合同或竣工验收证书复印 件）。</w:t>
            </w:r>
          </w:p>
        </w:tc>
        <w:tc>
          <w:tcPr>
            <w:tcW w:w="516" w:type="pct"/>
            <w:vAlign w:val="center"/>
          </w:tcPr>
          <w:p w14:paraId="4D89D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10</w:t>
            </w:r>
          </w:p>
        </w:tc>
      </w:tr>
      <w:tr w14:paraId="0BC1C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vAlign w:val="center"/>
          </w:tcPr>
          <w:p w14:paraId="0DA4E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33"/>
                <w:rFonts w:hint="eastAsia" w:ascii="宋体" w:hAnsi="宋体" w:eastAsia="宋体" w:cs="宋体"/>
                <w:b w:val="0"/>
                <w:i w:val="0"/>
                <w:caps w:val="0"/>
                <w:snapToGrid/>
                <w:color w:val="auto"/>
                <w:spacing w:val="0"/>
                <w:w w:val="100"/>
                <w:kern w:val="2"/>
                <w:sz w:val="21"/>
                <w:szCs w:val="24"/>
                <w:highlight w:val="none"/>
                <w:lang w:val="en-US" w:eastAsia="zh-CN" w:bidi="ar-SA"/>
              </w:rPr>
              <w:t>总得分=1+2</w:t>
            </w:r>
          </w:p>
        </w:tc>
      </w:tr>
    </w:tbl>
    <w:p w14:paraId="775AAA14">
      <w:pPr>
        <w:widowControl w:val="0"/>
        <w:kinsoku/>
        <w:autoSpaceDE/>
        <w:autoSpaceDN/>
        <w:adjustRightInd/>
        <w:snapToGrid w:val="0"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Style w:val="33"/>
          <w:rFonts w:hint="eastAsia" w:ascii="宋体" w:hAnsi="宋体" w:eastAsia="宋体" w:cs="宋体"/>
          <w:b w:val="0"/>
          <w:i w:val="0"/>
          <w:caps w:val="0"/>
          <w:snapToGrid/>
          <w:color w:val="auto"/>
          <w:spacing w:val="0"/>
          <w:w w:val="100"/>
          <w:kern w:val="2"/>
          <w:sz w:val="21"/>
          <w:szCs w:val="24"/>
          <w:highlight w:val="none"/>
          <w:lang w:val="en-US" w:eastAsia="zh-CN" w:bidi="ar-SA"/>
        </w:rPr>
      </w:pPr>
    </w:p>
    <w:p w14:paraId="2ED2DA8C">
      <w:pPr>
        <w:widowControl w:val="0"/>
        <w:kinsoku/>
        <w:autoSpaceDE/>
        <w:autoSpaceDN/>
        <w:adjustRightInd/>
        <w:snapToGrid w:val="0"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Style w:val="33"/>
          <w:rFonts w:hint="default" w:ascii="宋体" w:hAnsi="宋体" w:eastAsia="宋体" w:cs="宋体"/>
          <w:b w:val="0"/>
          <w:i w:val="0"/>
          <w:caps w:val="0"/>
          <w:snapToGrid/>
          <w:color w:val="auto"/>
          <w:spacing w:val="0"/>
          <w:w w:val="100"/>
          <w:kern w:val="2"/>
          <w:sz w:val="21"/>
          <w:szCs w:val="24"/>
          <w:highlight w:val="none"/>
          <w:lang w:val="en-US" w:eastAsia="zh-CN" w:bidi="ar-SA"/>
        </w:rPr>
      </w:pPr>
      <w:r>
        <w:rPr>
          <w:rStyle w:val="33"/>
          <w:rFonts w:hint="eastAsia" w:ascii="宋体" w:hAnsi="宋体" w:eastAsia="宋体" w:cs="宋体"/>
          <w:b w:val="0"/>
          <w:i w:val="0"/>
          <w:caps w:val="0"/>
          <w:snapToGrid/>
          <w:color w:val="auto"/>
          <w:spacing w:val="0"/>
          <w:w w:val="100"/>
          <w:kern w:val="2"/>
          <w:sz w:val="21"/>
          <w:szCs w:val="24"/>
          <w:highlight w:val="none"/>
          <w:lang w:val="en-US" w:eastAsia="zh-CN" w:bidi="ar-SA"/>
        </w:rPr>
        <w:t>2.由磋商小组根据综合评分情况，按照评审得分由高到低顺序选定1名成交候选供应商。评审得分相同的，按照最后报价由低到高的顺序推荐。评审得分且最后报价相同的，按照技术指标优劣顺序推荐（按技术得分由高到低排序，技术得分相同的按照承诺工期优劣排序）。评审得分、最后报价、技术得分、承诺工期均相同的，由磋商小组随机抽取推荐。</w:t>
      </w:r>
    </w:p>
    <w:sectPr>
      <w:headerReference r:id="rId5" w:type="default"/>
      <w:footerReference r:id="rId6" w:type="default"/>
      <w:pgSz w:w="11906" w:h="16839"/>
      <w:pgMar w:top="960" w:right="1134" w:bottom="1091" w:left="1134" w:header="567" w:footer="73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13454"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B7F3C"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3B7F3C"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E9E70">
    <w:pPr>
      <w:pStyle w:val="17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项目编号：</w:t>
    </w:r>
    <w:r>
      <w:rPr>
        <w:rFonts w:hint="eastAsia"/>
        <w:sz w:val="24"/>
        <w:szCs w:val="24"/>
        <w:lang w:val="en-US" w:eastAsia="zh-CN"/>
      </w:rPr>
      <w:t>GC202507037</w:t>
    </w:r>
  </w:p>
  <w:p w14:paraId="3DB8A911">
    <w:pPr>
      <w:pStyle w:val="1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75565</wp:posOffset>
              </wp:positionV>
              <wp:extent cx="6047740" cy="635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7285" y="861060"/>
                        <a:ext cx="6047740" cy="63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prstClr val="black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3.75pt;margin-top:5.95pt;height:0.05pt;width:476.2pt;z-index:251660288;mso-width-relative:page;mso-height-relative:page;" filled="f" stroked="t" coordsize="21600,21600" o:gfxdata="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BGWT/UAAAABwEAAA8AAAAAAAAAAQAgAAAAIgAAAGRycy9kb3ducmV2LnhtbFBLAQIU&#10;ABQAAAAIAIdO4kC1X4359wEAAMgDAAAOAAAAAAAAAAEAIAAAACMBAABkcnMvZTJvRG9jLnhtbFBL&#10;BQYAAAAABgAGAFkBAACMBQAAAAA=&#10;">
              <v:fill on="f" focussize="0,0"/>
              <v:stroke weight="1pt" color="#000000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5114EDC"/>
    <w:rsid w:val="0DBC115B"/>
    <w:rsid w:val="16711C1A"/>
    <w:rsid w:val="182E59D5"/>
    <w:rsid w:val="19BE4D52"/>
    <w:rsid w:val="1E8160BE"/>
    <w:rsid w:val="1EE5621C"/>
    <w:rsid w:val="21394689"/>
    <w:rsid w:val="27060656"/>
    <w:rsid w:val="2BD76293"/>
    <w:rsid w:val="30355402"/>
    <w:rsid w:val="34E103AE"/>
    <w:rsid w:val="36804603"/>
    <w:rsid w:val="368F669E"/>
    <w:rsid w:val="3AC04D4C"/>
    <w:rsid w:val="47CA321E"/>
    <w:rsid w:val="4A9401EE"/>
    <w:rsid w:val="4AEF0EBE"/>
    <w:rsid w:val="4FBF7ABB"/>
    <w:rsid w:val="565C27A3"/>
    <w:rsid w:val="569C6DA8"/>
    <w:rsid w:val="56BA4D1A"/>
    <w:rsid w:val="5DDB0D13"/>
    <w:rsid w:val="5FEE6B72"/>
    <w:rsid w:val="62152997"/>
    <w:rsid w:val="6BFB1E1B"/>
    <w:rsid w:val="71613894"/>
    <w:rsid w:val="79275E06"/>
    <w:rsid w:val="7A557948"/>
    <w:rsid w:val="7C3D3992"/>
    <w:rsid w:val="7DF4603C"/>
    <w:rsid w:val="7FD44FC5"/>
    <w:rsid w:val="7FFC4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5">
    <w:name w:val="heading 4"/>
    <w:next w:val="1"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6">
    <w:name w:val="heading 5"/>
    <w:next w:val="1"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22">
    <w:name w:val="Default Paragraph Font"/>
    <w:semiHidden/>
    <w:qFormat/>
    <w:uiPriority w:val="0"/>
  </w:style>
  <w:style w:type="table" w:default="1" w:styleId="2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index 8"/>
    <w:basedOn w:val="1"/>
    <w:next w:val="1"/>
    <w:qFormat/>
    <w:uiPriority w:val="0"/>
    <w:pPr>
      <w:ind w:left="1680" w:hanging="210"/>
      <w:jc w:val="left"/>
    </w:pPr>
  </w:style>
  <w:style w:type="paragraph" w:styleId="12">
    <w:name w:val="Normal Indent"/>
    <w:basedOn w:val="1"/>
    <w:qFormat/>
    <w:uiPriority w:val="99"/>
    <w:pPr>
      <w:ind w:firstLine="420" w:firstLineChars="200"/>
    </w:pPr>
  </w:style>
  <w:style w:type="paragraph" w:styleId="13">
    <w:name w:val="annotation text"/>
    <w:basedOn w:val="1"/>
    <w:qFormat/>
    <w:uiPriority w:val="0"/>
    <w:pPr>
      <w:jc w:val="left"/>
    </w:pPr>
  </w:style>
  <w:style w:type="paragraph" w:styleId="14">
    <w:name w:val="Body Text"/>
    <w:semiHidden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5">
    <w:name w:val="Plain Text"/>
    <w:basedOn w:val="1"/>
    <w:next w:val="11"/>
    <w:qFormat/>
    <w:uiPriority w:val="0"/>
    <w:rPr>
      <w:rFonts w:ascii="宋体" w:hAnsi="Courier New"/>
      <w:kern w:val="0"/>
      <w:sz w:val="20"/>
      <w:szCs w:val="21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Subtitle"/>
    <w:next w:val="1"/>
    <w:qFormat/>
    <w:uiPriority w:val="11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表图名称-蔡"/>
    <w:basedOn w:val="1"/>
    <w:qFormat/>
    <w:uiPriority w:val="0"/>
    <w:pPr>
      <w:snapToGrid w:val="0"/>
      <w:spacing w:line="360" w:lineRule="auto"/>
      <w:jc w:val="center"/>
    </w:pPr>
    <w:rPr>
      <w:rFonts w:ascii="Times New Roman" w:hAnsi="Times New Roman" w:eastAsia="宋体" w:cs="Times New Roman"/>
      <w:b/>
      <w:bCs/>
      <w:color w:val="000000"/>
      <w:szCs w:val="21"/>
    </w:rPr>
  </w:style>
  <w:style w:type="paragraph" w:customStyle="1" w:styleId="28">
    <w:name w:val="附录标题"/>
    <w:next w:val="1"/>
    <w:qFormat/>
    <w:uiPriority w:val="0"/>
    <w:pPr>
      <w:widowControl w:val="0"/>
      <w:adjustRightInd w:val="0"/>
      <w:spacing w:before="100" w:after="100" w:line="36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6"/>
      <w:szCs w:val="44"/>
      <w:lang w:bidi="ar-SA"/>
    </w:rPr>
  </w:style>
  <w:style w:type="paragraph" w:customStyle="1" w:styleId="29">
    <w:name w:val="章标题"/>
    <w:next w:val="1"/>
    <w:qFormat/>
    <w:uiPriority w:val="0"/>
    <w:pPr>
      <w:widowControl w:val="0"/>
      <w:adjustRightInd w:val="0"/>
      <w:spacing w:before="100" w:after="100" w:line="360" w:lineRule="auto"/>
      <w:jc w:val="center"/>
      <w:outlineLvl w:val="0"/>
    </w:pPr>
    <w:rPr>
      <w:rFonts w:ascii="Times New Roman" w:hAnsi="Times New Roman" w:eastAsia="黑体" w:cs="Times New Roman"/>
      <w:kern w:val="44"/>
      <w:sz w:val="36"/>
      <w:szCs w:val="44"/>
      <w:lang w:bidi="ar-SA"/>
    </w:rPr>
  </w:style>
  <w:style w:type="paragraph" w:customStyle="1" w:styleId="30">
    <w:name w:val="文档说明标题"/>
    <w:next w:val="1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52"/>
      <w:szCs w:val="52"/>
      <w:lang w:bidi="ar-SA"/>
    </w:rPr>
  </w:style>
  <w:style w:type="paragraph" w:customStyle="1" w:styleId="31">
    <w:name w:val="题注1"/>
    <w:next w:val="1"/>
    <w:qFormat/>
    <w:uiPriority w:val="0"/>
    <w:pPr>
      <w:widowControl w:val="0"/>
      <w:adjustRightInd w:val="0"/>
      <w:spacing w:before="240" w:after="120" w:line="288" w:lineRule="auto"/>
      <w:jc w:val="center"/>
    </w:pPr>
    <w:rPr>
      <w:rFonts w:ascii="Times New Roman" w:hAnsi="Times New Roman" w:eastAsia="宋体" w:cs="宋体"/>
      <w:kern w:val="2"/>
      <w:sz w:val="24"/>
      <w:szCs w:val="22"/>
      <w:lang w:bidi="ar-SA"/>
    </w:rPr>
  </w:style>
  <w:style w:type="paragraph" w:customStyle="1" w:styleId="32">
    <w:name w:val="Heading2"/>
    <w:next w:val="1"/>
    <w:qFormat/>
    <w:uiPriority w:val="0"/>
    <w:pPr>
      <w:keepNext/>
      <w:keepLines/>
      <w:widowControl w:val="0"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3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34">
    <w:name w:val="UserStyle_35"/>
    <w:qFormat/>
    <w:uiPriority w:val="0"/>
    <w:pPr>
      <w:widowControl w:val="0"/>
      <w:spacing w:before="156" w:line="360" w:lineRule="auto"/>
      <w:ind w:firstLine="510" w:firstLineChars="200"/>
      <w:jc w:val="both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2454</Words>
  <Characters>2494</Characters>
  <TotalTime>0</TotalTime>
  <ScaleCrop>false</ScaleCrop>
  <LinksUpToDate>false</LinksUpToDate>
  <CharactersWithSpaces>2568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2025-01-20T15:34:00Z</dcterms:created>
  <dc:creator>丁琳</dc:creator>
  <cp:lastModifiedBy>非你所思</cp:lastModifiedBy>
  <dcterms:modified xsi:type="dcterms:W3CDTF">2025-07-22T12:33:25Z</dcterms:modified>
  <dc:title>南财采管〔2012〕3号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2025-06-19T16:22:46Z</vt:filetime>
  </property>
  <property fmtid="{D5CDD505-2E9C-101B-9397-08002B2CF9AE}" pid="4" name="KSOTemplateDocerSaveRecord">
    <vt:lpwstr>eyJoZGlkIjoiNWU3NDY4MzM3OGNiMmI0YzY2NTg0YmZkZDY5ODNlY2QiLCJ1c2VySWQiOiI5OTM2NzA5NzMifQ==</vt:lpwstr>
  </property>
  <property fmtid="{D5CDD505-2E9C-101B-9397-08002B2CF9AE}" pid="5" name="KSOProductBuildVer">
    <vt:lpwstr>2052-12.1.0.21915</vt:lpwstr>
  </property>
  <property fmtid="{D5CDD505-2E9C-101B-9397-08002B2CF9AE}" pid="6" name="ICV">
    <vt:lpwstr>2816231641814E1EBAA4B21E1FAFA8F5_13</vt:lpwstr>
  </property>
</Properties>
</file>