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87796">
      <w:pPr>
        <w:pStyle w:val="37"/>
        <w:spacing w:line="360" w:lineRule="auto"/>
        <w:rPr>
          <w:sz w:val="72"/>
          <w:szCs w:val="84"/>
          <w:lang w:val="en-US" w:eastAsia="zh-CN"/>
        </w:rPr>
      </w:pPr>
      <w:bookmarkStart w:id="0" w:name="bookmark169"/>
      <w:bookmarkStart w:id="1" w:name="bookmark168"/>
      <w:bookmarkStart w:id="2" w:name="bookmark167"/>
    </w:p>
    <w:p w14:paraId="39306885">
      <w:pPr>
        <w:pStyle w:val="37"/>
        <w:spacing w:line="360" w:lineRule="auto"/>
        <w:rPr>
          <w:color w:val="auto"/>
          <w:sz w:val="72"/>
          <w:szCs w:val="84"/>
          <w:lang w:val="en-US" w:eastAsia="zh-CN"/>
        </w:rPr>
      </w:pPr>
      <w:r>
        <w:rPr>
          <w:rFonts w:hint="eastAsia"/>
          <w:color w:val="auto"/>
          <w:sz w:val="72"/>
          <w:szCs w:val="84"/>
          <w:lang w:val="en-US" w:eastAsia="zh-CN"/>
        </w:rPr>
        <w:t>竞价采购文件</w:t>
      </w:r>
    </w:p>
    <w:p w14:paraId="1126848B">
      <w:pPr>
        <w:pStyle w:val="37"/>
        <w:spacing w:line="360" w:lineRule="auto"/>
        <w:rPr>
          <w:b/>
          <w:bCs/>
          <w:color w:val="auto"/>
          <w:sz w:val="40"/>
          <w:szCs w:val="40"/>
          <w:lang w:eastAsia="zh-CN"/>
        </w:rPr>
      </w:pPr>
    </w:p>
    <w:p w14:paraId="0DB79441">
      <w:pPr>
        <w:pStyle w:val="37"/>
        <w:spacing w:line="360" w:lineRule="auto"/>
        <w:rPr>
          <w:color w:val="auto"/>
          <w:sz w:val="72"/>
          <w:szCs w:val="84"/>
          <w:lang w:val="en-US" w:eastAsia="zh-CN"/>
        </w:rPr>
      </w:pPr>
    </w:p>
    <w:p w14:paraId="56BF273A">
      <w:pPr>
        <w:widowControl/>
        <w:rPr>
          <w:rFonts w:ascii="宋体" w:hAnsi="宋体" w:eastAsia="宋体" w:cs="宋体"/>
          <w:color w:val="auto"/>
          <w:sz w:val="32"/>
          <w:u w:val="single"/>
          <w:lang w:eastAsia="zh-CN"/>
        </w:rPr>
      </w:pPr>
      <w:r>
        <w:rPr>
          <w:rFonts w:hint="eastAsia" w:ascii="宋体" w:hAnsi="宋体" w:eastAsia="宋体" w:cs="宋体"/>
          <w:color w:val="auto"/>
          <w:sz w:val="32"/>
          <w:lang w:eastAsia="zh-CN"/>
        </w:rPr>
        <w:t>项 目 名 称：</w:t>
      </w:r>
      <w:r>
        <w:rPr>
          <w:rFonts w:hint="eastAsia" w:ascii="宋体" w:hAnsi="宋体" w:eastAsia="宋体" w:cs="宋体"/>
          <w:color w:val="auto"/>
          <w:sz w:val="32"/>
          <w:u w:val="single"/>
          <w:lang w:eastAsia="zh-CN"/>
        </w:rPr>
        <w:t>抚州市中心城区排水防涝建设工程（二标段）</w:t>
      </w:r>
      <w:r>
        <w:rPr>
          <w:rFonts w:ascii="宋体" w:hAnsi="宋体" w:eastAsia="宋体" w:cs="宋体"/>
          <w:color w:val="auto"/>
          <w:sz w:val="32"/>
          <w:u w:val="single"/>
          <w:lang w:eastAsia="zh-CN"/>
        </w:rPr>
        <w:t>EPC</w:t>
      </w:r>
      <w:r>
        <w:rPr>
          <w:rFonts w:hint="eastAsia" w:ascii="宋体" w:hAnsi="宋体" w:eastAsia="宋体" w:cs="宋体"/>
          <w:color w:val="auto"/>
          <w:sz w:val="32"/>
          <w:u w:val="single"/>
          <w:lang w:eastAsia="zh-CN"/>
        </w:rPr>
        <w:t>总承包项目</w:t>
      </w:r>
      <w:r>
        <w:rPr>
          <w:rFonts w:hint="eastAsia" w:ascii="宋体" w:hAnsi="宋体" w:eastAsia="宋体" w:cs="宋体"/>
          <w:color w:val="auto"/>
          <w:sz w:val="32"/>
          <w:u w:val="single"/>
          <w:lang w:val="en-US" w:eastAsia="zh-CN"/>
        </w:rPr>
        <w:t>机制砂</w:t>
      </w:r>
      <w:r>
        <w:rPr>
          <w:rFonts w:hint="eastAsia" w:ascii="宋体" w:hAnsi="宋体" w:eastAsia="宋体" w:cs="宋体"/>
          <w:color w:val="auto"/>
          <w:sz w:val="32"/>
          <w:u w:val="single"/>
          <w:lang w:eastAsia="zh-CN"/>
        </w:rPr>
        <w:t>采购</w:t>
      </w:r>
    </w:p>
    <w:p w14:paraId="7E50BCF3">
      <w:pPr>
        <w:tabs>
          <w:tab w:val="left" w:pos="210"/>
        </w:tabs>
        <w:wordWrap w:val="0"/>
        <w:spacing w:line="360" w:lineRule="auto"/>
        <w:ind w:firstLine="640" w:firstLineChars="200"/>
        <w:rPr>
          <w:rFonts w:ascii="宋体" w:hAnsi="宋体" w:eastAsia="宋体" w:cs="宋体"/>
          <w:color w:val="auto"/>
          <w:sz w:val="32"/>
          <w:lang w:eastAsia="zh-CN"/>
        </w:rPr>
      </w:pPr>
      <w:r>
        <w:rPr>
          <w:rFonts w:hint="eastAsia" w:ascii="宋体" w:hAnsi="宋体" w:eastAsia="宋体" w:cs="宋体"/>
          <w:color w:val="auto"/>
          <w:sz w:val="32"/>
          <w:lang w:eastAsia="zh-CN"/>
        </w:rPr>
        <w:t xml:space="preserve">  </w:t>
      </w:r>
    </w:p>
    <w:p w14:paraId="7A6DB128">
      <w:pPr>
        <w:tabs>
          <w:tab w:val="left" w:pos="210"/>
        </w:tabs>
        <w:wordWrap w:val="0"/>
        <w:spacing w:line="360" w:lineRule="auto"/>
        <w:ind w:firstLine="640" w:firstLineChars="200"/>
        <w:rPr>
          <w:rFonts w:ascii="宋体" w:hAnsi="宋体" w:eastAsia="宋体" w:cs="宋体"/>
          <w:color w:val="auto"/>
          <w:sz w:val="32"/>
          <w:lang w:eastAsia="zh-CN"/>
        </w:rPr>
      </w:pPr>
      <w:r>
        <w:rPr>
          <w:rFonts w:hint="eastAsia" w:ascii="宋体" w:hAnsi="宋体" w:eastAsia="宋体" w:cs="宋体"/>
          <w:color w:val="auto"/>
          <w:sz w:val="32"/>
          <w:lang w:eastAsia="zh-CN"/>
        </w:rPr>
        <w:t>采   购  人：</w:t>
      </w:r>
      <w:r>
        <w:rPr>
          <w:rFonts w:hint="eastAsia" w:ascii="宋体" w:hAnsi="宋体" w:eastAsia="宋体" w:cs="宋体"/>
          <w:color w:val="auto"/>
          <w:sz w:val="32"/>
          <w:u w:val="single"/>
          <w:lang w:eastAsia="zh-CN"/>
        </w:rPr>
        <w:t>抚州市国控供应链管理有限公司</w:t>
      </w:r>
    </w:p>
    <w:p w14:paraId="5D324789">
      <w:pPr>
        <w:tabs>
          <w:tab w:val="left" w:pos="210"/>
        </w:tabs>
        <w:wordWrap w:val="0"/>
        <w:spacing w:line="360" w:lineRule="auto"/>
        <w:ind w:firstLine="640" w:firstLineChars="200"/>
        <w:rPr>
          <w:rFonts w:ascii="宋体" w:hAnsi="宋体" w:eastAsia="宋体" w:cs="宋体"/>
          <w:color w:val="auto"/>
          <w:sz w:val="32"/>
          <w:lang w:eastAsia="zh-CN"/>
        </w:rPr>
      </w:pPr>
      <w:r>
        <w:rPr>
          <w:rFonts w:hint="eastAsia" w:ascii="宋体" w:hAnsi="宋体" w:eastAsia="宋体" w:cs="宋体"/>
          <w:color w:val="auto"/>
          <w:sz w:val="32"/>
          <w:lang w:eastAsia="zh-CN"/>
        </w:rPr>
        <w:t xml:space="preserve">  </w:t>
      </w:r>
    </w:p>
    <w:p w14:paraId="6CEF4449">
      <w:pPr>
        <w:tabs>
          <w:tab w:val="left" w:pos="210"/>
        </w:tabs>
        <w:wordWrap w:val="0"/>
        <w:spacing w:line="360" w:lineRule="auto"/>
        <w:ind w:firstLine="640" w:firstLineChars="200"/>
        <w:rPr>
          <w:rFonts w:ascii="宋体" w:hAnsi="宋体" w:eastAsia="宋体" w:cs="宋体"/>
          <w:color w:val="auto"/>
          <w:sz w:val="32"/>
          <w:lang w:eastAsia="zh-CN"/>
        </w:rPr>
      </w:pPr>
    </w:p>
    <w:p w14:paraId="321B857A">
      <w:pPr>
        <w:wordWrap w:val="0"/>
        <w:spacing w:line="360" w:lineRule="auto"/>
        <w:rPr>
          <w:rFonts w:ascii="宋体" w:hAnsi="宋体" w:eastAsia="宋体" w:cs="宋体"/>
          <w:color w:val="auto"/>
          <w:sz w:val="32"/>
          <w:lang w:eastAsia="zh-CN"/>
        </w:rPr>
      </w:pPr>
    </w:p>
    <w:p w14:paraId="64DC74F5">
      <w:pPr>
        <w:wordWrap w:val="0"/>
        <w:spacing w:line="360" w:lineRule="auto"/>
        <w:rPr>
          <w:rFonts w:ascii="宋体" w:hAnsi="宋体" w:eastAsia="宋体" w:cs="宋体"/>
          <w:color w:val="auto"/>
          <w:sz w:val="32"/>
          <w:lang w:eastAsia="zh-CN"/>
        </w:rPr>
      </w:pPr>
    </w:p>
    <w:p w14:paraId="787FBA76">
      <w:pPr>
        <w:wordWrap w:val="0"/>
        <w:jc w:val="center"/>
        <w:rPr>
          <w:rFonts w:ascii="宋体" w:hAnsi="宋体" w:eastAsia="宋体" w:cs="宋体"/>
          <w:color w:val="auto"/>
          <w:sz w:val="32"/>
          <w:lang w:eastAsia="zh-CN"/>
        </w:rPr>
      </w:pPr>
    </w:p>
    <w:p w14:paraId="57212A71">
      <w:pPr>
        <w:wordWrap w:val="0"/>
        <w:jc w:val="center"/>
        <w:rPr>
          <w:rFonts w:ascii="宋体" w:hAnsi="宋体" w:eastAsia="宋体" w:cs="宋体"/>
          <w:color w:val="auto"/>
          <w:sz w:val="32"/>
          <w:lang w:eastAsia="zh-CN"/>
        </w:rPr>
      </w:pPr>
    </w:p>
    <w:p w14:paraId="2E660858">
      <w:pPr>
        <w:wordWrap w:val="0"/>
        <w:jc w:val="center"/>
        <w:rPr>
          <w:rFonts w:ascii="宋体" w:hAnsi="宋体" w:eastAsia="宋体" w:cs="宋体"/>
          <w:color w:val="auto"/>
          <w:sz w:val="32"/>
          <w:lang w:eastAsia="zh-CN"/>
        </w:rPr>
      </w:pPr>
    </w:p>
    <w:p w14:paraId="1B5AE2E6">
      <w:pPr>
        <w:wordWrap w:val="0"/>
        <w:spacing w:line="360" w:lineRule="auto"/>
        <w:jc w:val="center"/>
        <w:rPr>
          <w:rFonts w:ascii="宋体" w:hAnsi="宋体" w:eastAsia="宋体" w:cs="宋体"/>
          <w:color w:val="auto"/>
          <w:sz w:val="32"/>
          <w:lang w:eastAsia="zh-CN"/>
        </w:rPr>
      </w:pPr>
      <w:r>
        <w:rPr>
          <w:rFonts w:hint="eastAsia" w:ascii="宋体" w:hAnsi="宋体" w:eastAsia="宋体" w:cs="宋体"/>
          <w:color w:val="auto"/>
          <w:sz w:val="32"/>
          <w:lang w:eastAsia="zh-CN"/>
        </w:rPr>
        <w:t>抚州市国控供应链管理有限公司</w:t>
      </w:r>
    </w:p>
    <w:p w14:paraId="08BF5D9C">
      <w:pPr>
        <w:wordWrap w:val="0"/>
        <w:spacing w:line="400" w:lineRule="exact"/>
        <w:jc w:val="center"/>
        <w:rPr>
          <w:rFonts w:ascii="宋体" w:hAnsi="宋体" w:eastAsia="宋体" w:cs="宋体"/>
          <w:color w:val="auto"/>
          <w:sz w:val="32"/>
        </w:rPr>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1077" w:footer="1134" w:gutter="0"/>
          <w:pgNumType w:start="1"/>
          <w:cols w:space="720" w:num="1"/>
          <w:titlePg/>
          <w:docGrid w:linePitch="312" w:charSpace="0"/>
        </w:sectPr>
      </w:pPr>
      <w:r>
        <w:rPr>
          <w:rFonts w:hint="eastAsia" w:ascii="宋体" w:hAnsi="宋体" w:eastAsia="宋体" w:cs="宋体"/>
          <w:color w:val="auto"/>
          <w:sz w:val="32"/>
        </w:rPr>
        <w:t>二</w:t>
      </w:r>
      <w:r>
        <w:rPr>
          <w:rFonts w:hint="eastAsia" w:ascii="宋体" w:hAnsi="宋体" w:eastAsia="宋体" w:cs="宋体"/>
          <w:color w:val="auto"/>
          <w:sz w:val="32"/>
          <w:lang w:eastAsia="zh-CN"/>
        </w:rPr>
        <w:t>O</w:t>
      </w:r>
      <w:r>
        <w:rPr>
          <w:rFonts w:hint="eastAsia" w:ascii="宋体" w:hAnsi="宋体" w:eastAsia="宋体" w:cs="宋体"/>
          <w:color w:val="auto"/>
          <w:sz w:val="32"/>
        </w:rPr>
        <w:t>二</w:t>
      </w:r>
      <w:r>
        <w:rPr>
          <w:rFonts w:hint="eastAsia" w:ascii="宋体" w:hAnsi="宋体" w:eastAsia="宋体" w:cs="宋体"/>
          <w:color w:val="auto"/>
          <w:sz w:val="32"/>
          <w:u w:val="single"/>
          <w:lang w:eastAsia="zh-CN"/>
        </w:rPr>
        <w:t>五</w:t>
      </w:r>
      <w:r>
        <w:rPr>
          <w:rFonts w:hint="eastAsia" w:ascii="宋体" w:hAnsi="宋体" w:eastAsia="宋体" w:cs="宋体"/>
          <w:color w:val="auto"/>
          <w:sz w:val="32"/>
        </w:rPr>
        <w:t>年</w:t>
      </w:r>
      <w:r>
        <w:rPr>
          <w:rFonts w:hint="eastAsia" w:ascii="宋体" w:hAnsi="宋体" w:eastAsia="宋体" w:cs="宋体"/>
          <w:color w:val="auto"/>
          <w:sz w:val="32"/>
          <w:u w:val="single"/>
          <w:lang w:eastAsia="zh-CN"/>
        </w:rPr>
        <w:t>七</w:t>
      </w:r>
      <w:r>
        <w:rPr>
          <w:rFonts w:hint="eastAsia" w:ascii="宋体" w:hAnsi="宋体" w:eastAsia="宋体" w:cs="宋体"/>
          <w:color w:val="auto"/>
          <w:sz w:val="32"/>
        </w:rPr>
        <w:t>月</w:t>
      </w:r>
    </w:p>
    <w:p w14:paraId="3076EB29">
      <w:pPr>
        <w:jc w:val="center"/>
        <w:rPr>
          <w:rFonts w:ascii="宋体" w:hAnsi="宋体" w:eastAsia="宋体" w:cs="宋体"/>
          <w:b/>
          <w:color w:val="auto"/>
          <w:sz w:val="32"/>
          <w:szCs w:val="32"/>
        </w:rPr>
      </w:pPr>
      <w:r>
        <w:rPr>
          <w:rFonts w:hint="eastAsia" w:ascii="宋体" w:hAnsi="宋体" w:eastAsia="宋体" w:cs="宋体"/>
          <w:b/>
          <w:color w:val="auto"/>
          <w:sz w:val="32"/>
          <w:szCs w:val="32"/>
        </w:rPr>
        <w:t>目</w:t>
      </w:r>
      <w:r>
        <w:rPr>
          <w:rFonts w:hint="eastAsia" w:ascii="宋体" w:hAnsi="宋体" w:eastAsia="宋体" w:cs="宋体"/>
          <w:b/>
          <w:color w:val="auto"/>
          <w:sz w:val="32"/>
          <w:szCs w:val="32"/>
          <w:lang w:eastAsia="zh-CN"/>
        </w:rPr>
        <w:t xml:space="preserve"> </w:t>
      </w:r>
      <w:r>
        <w:rPr>
          <w:rFonts w:hint="eastAsia" w:ascii="宋体" w:hAnsi="宋体" w:eastAsia="宋体" w:cs="宋体"/>
          <w:b/>
          <w:color w:val="auto"/>
          <w:sz w:val="32"/>
          <w:szCs w:val="32"/>
        </w:rPr>
        <w:t>录</w:t>
      </w:r>
    </w:p>
    <w:p w14:paraId="5D28544B">
      <w:pPr>
        <w:jc w:val="center"/>
        <w:rPr>
          <w:rFonts w:ascii="宋体" w:hAnsi="宋体" w:eastAsia="宋体" w:cs="宋体"/>
          <w:b/>
          <w:color w:val="auto"/>
          <w:sz w:val="28"/>
        </w:rPr>
      </w:pPr>
    </w:p>
    <w:p w14:paraId="47E310FF">
      <w:pPr>
        <w:pStyle w:val="26"/>
        <w:tabs>
          <w:tab w:val="right" w:leader="dot" w:pos="8306"/>
        </w:tabs>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"1-3" \h \u </w:instrText>
      </w:r>
      <w:r>
        <w:rPr>
          <w:rFonts w:hint="eastAsia" w:ascii="宋体" w:hAnsi="宋体" w:eastAsia="宋体" w:cs="宋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_Toc20713 </w:instrText>
      </w:r>
      <w:r>
        <w:rPr>
          <w:rFonts w:hint="eastAsia" w:ascii="宋体" w:hAnsi="宋体" w:eastAsia="宋体" w:cs="宋体"/>
          <w:szCs w:val="21"/>
        </w:rPr>
        <w:fldChar w:fldCharType="separate"/>
      </w:r>
      <w:r>
        <w:rPr>
          <w:rFonts w:hint="eastAsia" w:ascii="宋体" w:hAnsi="宋体" w:eastAsia="宋体" w:cs="宋体"/>
          <w:szCs w:val="44"/>
          <w:lang w:eastAsia="zh-CN"/>
        </w:rPr>
        <w:t>竞价采购公告</w:t>
      </w:r>
      <w:r>
        <w:tab/>
      </w:r>
      <w:r>
        <w:fldChar w:fldCharType="begin"/>
      </w:r>
      <w:r>
        <w:instrText xml:space="preserve"> PAGEREF _Toc20713 \h </w:instrText>
      </w:r>
      <w:r>
        <w:fldChar w:fldCharType="separate"/>
      </w:r>
      <w:r>
        <w:t>4</w:t>
      </w:r>
      <w:r>
        <w:fldChar w:fldCharType="end"/>
      </w:r>
      <w:r>
        <w:rPr>
          <w:rFonts w:hint="eastAsia" w:ascii="宋体" w:hAnsi="宋体" w:eastAsia="宋体" w:cs="宋体"/>
          <w:color w:val="auto"/>
          <w:szCs w:val="21"/>
        </w:rPr>
        <w:fldChar w:fldCharType="end"/>
      </w:r>
    </w:p>
    <w:p w14:paraId="4E2301E5">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_Toc12407 </w:instrText>
      </w:r>
      <w:r>
        <w:rPr>
          <w:rFonts w:hint="eastAsia"/>
          <w:szCs w:val="21"/>
          <w:lang w:val="en-US" w:eastAsia="zh-CN"/>
        </w:rPr>
        <w:fldChar w:fldCharType="separate"/>
      </w:r>
      <w:r>
        <w:rPr>
          <w:rFonts w:hint="eastAsia" w:ascii="宋体" w:hAnsi="宋体" w:eastAsia="宋体" w:cs="宋体"/>
          <w:lang w:eastAsia="zh-CN"/>
        </w:rPr>
        <w:t xml:space="preserve">1 </w:t>
      </w:r>
      <w:r>
        <w:rPr>
          <w:rFonts w:hint="eastAsia" w:ascii="宋体" w:hAnsi="宋体" w:eastAsia="宋体" w:cs="宋体"/>
          <w:bCs/>
          <w:kern w:val="44"/>
          <w:szCs w:val="28"/>
          <w:lang w:eastAsia="zh-CN"/>
        </w:rPr>
        <w:t>采购</w:t>
      </w:r>
      <w:r>
        <w:rPr>
          <w:rFonts w:hint="eastAsia" w:ascii="宋体" w:hAnsi="宋体" w:eastAsia="宋体" w:cs="宋体"/>
          <w:szCs w:val="28"/>
          <w:lang w:eastAsia="zh-CN"/>
        </w:rPr>
        <w:t>条件</w:t>
      </w:r>
      <w:r>
        <w:tab/>
      </w:r>
      <w:r>
        <w:fldChar w:fldCharType="begin"/>
      </w:r>
      <w:r>
        <w:instrText xml:space="preserve"> PAGEREF _Toc12407 \h </w:instrText>
      </w:r>
      <w:r>
        <w:fldChar w:fldCharType="separate"/>
      </w:r>
      <w:r>
        <w:t>4</w:t>
      </w:r>
      <w:r>
        <w:fldChar w:fldCharType="end"/>
      </w:r>
      <w:r>
        <w:rPr>
          <w:rFonts w:hint="eastAsia"/>
          <w:color w:val="auto"/>
          <w:szCs w:val="21"/>
          <w:lang w:val="en-US" w:eastAsia="zh-CN"/>
        </w:rPr>
        <w:fldChar w:fldCharType="end"/>
      </w:r>
    </w:p>
    <w:p w14:paraId="2A116D06">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_Toc7488 </w:instrText>
      </w:r>
      <w:r>
        <w:rPr>
          <w:rFonts w:hint="eastAsia"/>
          <w:szCs w:val="21"/>
          <w:lang w:val="en-US" w:eastAsia="zh-CN"/>
        </w:rPr>
        <w:fldChar w:fldCharType="separate"/>
      </w:r>
      <w:r>
        <w:rPr>
          <w:rFonts w:hint="eastAsia" w:ascii="宋体" w:hAnsi="宋体" w:eastAsia="宋体" w:cs="宋体"/>
          <w:bCs/>
          <w:kern w:val="44"/>
          <w:szCs w:val="28"/>
          <w:lang w:eastAsia="zh-CN"/>
        </w:rPr>
        <w:t>2 采购项目简介</w:t>
      </w:r>
      <w:r>
        <w:tab/>
      </w:r>
      <w:r>
        <w:fldChar w:fldCharType="begin"/>
      </w:r>
      <w:r>
        <w:instrText xml:space="preserve"> PAGEREF _Toc7488 \h </w:instrText>
      </w:r>
      <w:r>
        <w:fldChar w:fldCharType="separate"/>
      </w:r>
      <w:r>
        <w:t>4</w:t>
      </w:r>
      <w:r>
        <w:fldChar w:fldCharType="end"/>
      </w:r>
      <w:r>
        <w:rPr>
          <w:rFonts w:hint="eastAsia"/>
          <w:color w:val="auto"/>
          <w:szCs w:val="21"/>
          <w:lang w:val="en-US" w:eastAsia="zh-CN"/>
        </w:rPr>
        <w:fldChar w:fldCharType="end"/>
      </w:r>
    </w:p>
    <w:p w14:paraId="3C20A346">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_Toc31227 </w:instrText>
      </w:r>
      <w:r>
        <w:rPr>
          <w:rFonts w:hint="eastAsia"/>
          <w:szCs w:val="21"/>
          <w:lang w:val="en-US" w:eastAsia="zh-CN"/>
        </w:rPr>
        <w:fldChar w:fldCharType="separate"/>
      </w:r>
      <w:r>
        <w:rPr>
          <w:rFonts w:hint="eastAsia" w:ascii="宋体" w:hAnsi="宋体" w:eastAsia="宋体" w:cs="宋体"/>
          <w:bCs/>
          <w:kern w:val="44"/>
          <w:szCs w:val="28"/>
          <w:lang w:eastAsia="zh-CN"/>
        </w:rPr>
        <w:t>3 供应商申请资格条件</w:t>
      </w:r>
      <w:r>
        <w:tab/>
      </w:r>
      <w:r>
        <w:fldChar w:fldCharType="begin"/>
      </w:r>
      <w:r>
        <w:instrText xml:space="preserve"> PAGEREF _Toc31227 \h </w:instrText>
      </w:r>
      <w:r>
        <w:fldChar w:fldCharType="separate"/>
      </w:r>
      <w:r>
        <w:t>4</w:t>
      </w:r>
      <w:r>
        <w:fldChar w:fldCharType="end"/>
      </w:r>
      <w:r>
        <w:rPr>
          <w:rFonts w:hint="eastAsia"/>
          <w:color w:val="auto"/>
          <w:szCs w:val="21"/>
          <w:lang w:val="en-US" w:eastAsia="zh-CN"/>
        </w:rPr>
        <w:fldChar w:fldCharType="end"/>
      </w:r>
    </w:p>
    <w:p w14:paraId="1135CD76">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_Toc27185 </w:instrText>
      </w:r>
      <w:r>
        <w:rPr>
          <w:rFonts w:hint="eastAsia"/>
          <w:szCs w:val="21"/>
          <w:lang w:val="en-US" w:eastAsia="zh-CN"/>
        </w:rPr>
        <w:fldChar w:fldCharType="separate"/>
      </w:r>
      <w:r>
        <w:rPr>
          <w:rFonts w:hint="eastAsia" w:ascii="宋体" w:hAnsi="宋体" w:eastAsia="宋体" w:cs="宋体"/>
          <w:bCs/>
          <w:kern w:val="44"/>
          <w:szCs w:val="28"/>
          <w:lang w:eastAsia="zh-CN"/>
        </w:rPr>
        <w:t>4 竞价保证金</w:t>
      </w:r>
      <w:r>
        <w:tab/>
      </w:r>
      <w:r>
        <w:fldChar w:fldCharType="begin"/>
      </w:r>
      <w:r>
        <w:instrText xml:space="preserve"> PAGEREF _Toc27185 \h </w:instrText>
      </w:r>
      <w:r>
        <w:fldChar w:fldCharType="separate"/>
      </w:r>
      <w:r>
        <w:t>5</w:t>
      </w:r>
      <w:r>
        <w:fldChar w:fldCharType="end"/>
      </w:r>
      <w:r>
        <w:rPr>
          <w:rFonts w:hint="eastAsia"/>
          <w:color w:val="auto"/>
          <w:szCs w:val="21"/>
          <w:lang w:val="en-US" w:eastAsia="zh-CN"/>
        </w:rPr>
        <w:fldChar w:fldCharType="end"/>
      </w:r>
    </w:p>
    <w:p w14:paraId="62B6E921">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_Toc30537 </w:instrText>
      </w:r>
      <w:r>
        <w:rPr>
          <w:rFonts w:hint="eastAsia"/>
          <w:szCs w:val="21"/>
          <w:lang w:val="en-US" w:eastAsia="zh-CN"/>
        </w:rPr>
        <w:fldChar w:fldCharType="separate"/>
      </w:r>
      <w:r>
        <w:rPr>
          <w:rFonts w:hint="eastAsia" w:ascii="宋体" w:hAnsi="宋体" w:eastAsia="宋体" w:cs="宋体"/>
          <w:bCs/>
          <w:kern w:val="44"/>
          <w:szCs w:val="28"/>
          <w:lang w:eastAsia="zh-CN"/>
        </w:rPr>
        <w:t>5 确定成交供应商的方法</w:t>
      </w:r>
      <w:r>
        <w:tab/>
      </w:r>
      <w:r>
        <w:fldChar w:fldCharType="begin"/>
      </w:r>
      <w:r>
        <w:instrText xml:space="preserve"> PAGEREF _Toc30537 \h </w:instrText>
      </w:r>
      <w:r>
        <w:fldChar w:fldCharType="separate"/>
      </w:r>
      <w:r>
        <w:t>5</w:t>
      </w:r>
      <w:r>
        <w:fldChar w:fldCharType="end"/>
      </w:r>
      <w:r>
        <w:rPr>
          <w:rFonts w:hint="eastAsia"/>
          <w:color w:val="auto"/>
          <w:szCs w:val="21"/>
          <w:lang w:val="en-US" w:eastAsia="zh-CN"/>
        </w:rPr>
        <w:fldChar w:fldCharType="end"/>
      </w:r>
    </w:p>
    <w:p w14:paraId="2A618E6D">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_Toc9223 </w:instrText>
      </w:r>
      <w:r>
        <w:rPr>
          <w:rFonts w:hint="eastAsia"/>
          <w:szCs w:val="21"/>
          <w:lang w:val="en-US" w:eastAsia="zh-CN"/>
        </w:rPr>
        <w:fldChar w:fldCharType="separate"/>
      </w:r>
      <w:r>
        <w:rPr>
          <w:rFonts w:hint="eastAsia" w:ascii="宋体" w:hAnsi="宋体" w:eastAsia="宋体" w:cs="宋体"/>
          <w:bCs/>
          <w:kern w:val="44"/>
          <w:szCs w:val="28"/>
          <w:lang w:eastAsia="zh-CN"/>
        </w:rPr>
        <w:t>6 电子竞价平台注册及资格申请</w:t>
      </w:r>
      <w:r>
        <w:tab/>
      </w:r>
      <w:r>
        <w:fldChar w:fldCharType="begin"/>
      </w:r>
      <w:r>
        <w:instrText xml:space="preserve"> PAGEREF _Toc9223 \h </w:instrText>
      </w:r>
      <w:r>
        <w:fldChar w:fldCharType="separate"/>
      </w:r>
      <w:r>
        <w:t>5</w:t>
      </w:r>
      <w:r>
        <w:fldChar w:fldCharType="end"/>
      </w:r>
      <w:r>
        <w:rPr>
          <w:rFonts w:hint="eastAsia"/>
          <w:color w:val="auto"/>
          <w:szCs w:val="21"/>
          <w:lang w:val="en-US" w:eastAsia="zh-CN"/>
        </w:rPr>
        <w:fldChar w:fldCharType="end"/>
      </w:r>
    </w:p>
    <w:p w14:paraId="17746E3A">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_Toc6706 </w:instrText>
      </w:r>
      <w:r>
        <w:rPr>
          <w:rFonts w:hint="eastAsia"/>
          <w:szCs w:val="21"/>
          <w:lang w:val="en-US" w:eastAsia="zh-CN"/>
        </w:rPr>
        <w:fldChar w:fldCharType="separate"/>
      </w:r>
      <w:r>
        <w:rPr>
          <w:rFonts w:hint="eastAsia" w:ascii="宋体" w:hAnsi="宋体" w:eastAsia="宋体" w:cs="宋体"/>
          <w:bCs/>
          <w:kern w:val="44"/>
          <w:szCs w:val="28"/>
          <w:lang w:eastAsia="zh-CN"/>
        </w:rPr>
        <w:t>7 竞价时间及竞价规则</w:t>
      </w:r>
      <w:r>
        <w:tab/>
      </w:r>
      <w:r>
        <w:fldChar w:fldCharType="begin"/>
      </w:r>
      <w:r>
        <w:instrText xml:space="preserve"> PAGEREF _Toc6706 \h </w:instrText>
      </w:r>
      <w:r>
        <w:fldChar w:fldCharType="separate"/>
      </w:r>
      <w:r>
        <w:t>5</w:t>
      </w:r>
      <w:r>
        <w:fldChar w:fldCharType="end"/>
      </w:r>
      <w:r>
        <w:rPr>
          <w:rFonts w:hint="eastAsia"/>
          <w:color w:val="auto"/>
          <w:szCs w:val="21"/>
          <w:lang w:val="en-US" w:eastAsia="zh-CN"/>
        </w:rPr>
        <w:fldChar w:fldCharType="end"/>
      </w:r>
    </w:p>
    <w:p w14:paraId="028DC693">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_Toc6446 </w:instrText>
      </w:r>
      <w:r>
        <w:rPr>
          <w:rFonts w:hint="eastAsia"/>
          <w:szCs w:val="21"/>
          <w:lang w:val="en-US" w:eastAsia="zh-CN"/>
        </w:rPr>
        <w:fldChar w:fldCharType="separate"/>
      </w:r>
      <w:r>
        <w:rPr>
          <w:rFonts w:hint="eastAsia" w:ascii="宋体" w:hAnsi="宋体" w:eastAsia="宋体" w:cs="宋体"/>
          <w:bCs/>
          <w:kern w:val="44"/>
          <w:szCs w:val="28"/>
          <w:lang w:eastAsia="zh-CN"/>
        </w:rPr>
        <w:t>8 项目公告和公示</w:t>
      </w:r>
      <w:r>
        <w:tab/>
      </w:r>
      <w:r>
        <w:fldChar w:fldCharType="begin"/>
      </w:r>
      <w:r>
        <w:instrText xml:space="preserve"> PAGEREF _Toc6446 \h </w:instrText>
      </w:r>
      <w:r>
        <w:fldChar w:fldCharType="separate"/>
      </w:r>
      <w:r>
        <w:t>6</w:t>
      </w:r>
      <w:r>
        <w:fldChar w:fldCharType="end"/>
      </w:r>
      <w:r>
        <w:rPr>
          <w:rFonts w:hint="eastAsia"/>
          <w:color w:val="auto"/>
          <w:szCs w:val="21"/>
          <w:lang w:val="en-US" w:eastAsia="zh-CN"/>
        </w:rPr>
        <w:fldChar w:fldCharType="end"/>
      </w:r>
    </w:p>
    <w:p w14:paraId="08E832DF">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_Toc13232 </w:instrText>
      </w:r>
      <w:r>
        <w:rPr>
          <w:rFonts w:hint="eastAsia"/>
          <w:szCs w:val="21"/>
          <w:lang w:val="en-US" w:eastAsia="zh-CN"/>
        </w:rPr>
        <w:fldChar w:fldCharType="separate"/>
      </w:r>
      <w:r>
        <w:rPr>
          <w:rFonts w:hint="eastAsia" w:ascii="宋体" w:hAnsi="宋体" w:eastAsia="宋体" w:cs="宋体"/>
          <w:bCs/>
          <w:kern w:val="44"/>
          <w:szCs w:val="28"/>
          <w:lang w:eastAsia="zh-CN"/>
        </w:rPr>
        <w:t>9联系方式</w:t>
      </w:r>
      <w:r>
        <w:tab/>
      </w:r>
      <w:r>
        <w:fldChar w:fldCharType="begin"/>
      </w:r>
      <w:r>
        <w:instrText xml:space="preserve"> PAGEREF _Toc13232 \h </w:instrText>
      </w:r>
      <w:r>
        <w:fldChar w:fldCharType="separate"/>
      </w:r>
      <w:r>
        <w:t>6</w:t>
      </w:r>
      <w:r>
        <w:fldChar w:fldCharType="end"/>
      </w:r>
      <w:r>
        <w:rPr>
          <w:rFonts w:hint="eastAsia"/>
          <w:color w:val="auto"/>
          <w:szCs w:val="21"/>
          <w:lang w:val="en-US" w:eastAsia="zh-CN"/>
        </w:rPr>
        <w:fldChar w:fldCharType="end"/>
      </w:r>
    </w:p>
    <w:p w14:paraId="42FA0D8F">
      <w:pPr>
        <w:pStyle w:val="26"/>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_Toc10747 </w:instrText>
      </w:r>
      <w:r>
        <w:rPr>
          <w:rFonts w:hint="eastAsia"/>
          <w:szCs w:val="21"/>
          <w:lang w:val="en-US" w:eastAsia="zh-CN"/>
        </w:rPr>
        <w:fldChar w:fldCharType="separate"/>
      </w:r>
      <w:r>
        <w:rPr>
          <w:rFonts w:hint="eastAsia" w:ascii="宋体" w:hAnsi="宋体" w:eastAsia="宋体" w:cs="宋体"/>
          <w:szCs w:val="44"/>
          <w:lang w:eastAsia="zh-CN"/>
        </w:rPr>
        <w:t>供应商须知</w:t>
      </w:r>
      <w:r>
        <w:tab/>
      </w:r>
      <w:r>
        <w:fldChar w:fldCharType="begin"/>
      </w:r>
      <w:r>
        <w:instrText xml:space="preserve"> PAGEREF _Toc10747 \h </w:instrText>
      </w:r>
      <w:r>
        <w:fldChar w:fldCharType="separate"/>
      </w:r>
      <w:r>
        <w:t>7</w:t>
      </w:r>
      <w:r>
        <w:fldChar w:fldCharType="end"/>
      </w:r>
      <w:r>
        <w:rPr>
          <w:rFonts w:hint="eastAsia"/>
          <w:color w:val="auto"/>
          <w:szCs w:val="21"/>
          <w:lang w:val="en-US" w:eastAsia="zh-CN"/>
        </w:rPr>
        <w:fldChar w:fldCharType="end"/>
      </w:r>
    </w:p>
    <w:p w14:paraId="7DE54950">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_Toc4377 </w:instrText>
      </w:r>
      <w:r>
        <w:rPr>
          <w:rFonts w:hint="eastAsia"/>
          <w:szCs w:val="21"/>
          <w:lang w:val="en-US" w:eastAsia="zh-CN"/>
        </w:rPr>
        <w:fldChar w:fldCharType="separate"/>
      </w:r>
      <w:r>
        <w:rPr>
          <w:rFonts w:hint="eastAsia" w:ascii="宋体" w:hAnsi="宋体" w:eastAsia="宋体" w:cs="宋体"/>
          <w:szCs w:val="28"/>
          <w:lang w:eastAsia="zh-CN"/>
        </w:rPr>
        <w:t>1 总则</w:t>
      </w:r>
      <w:r>
        <w:tab/>
      </w:r>
      <w:r>
        <w:fldChar w:fldCharType="begin"/>
      </w:r>
      <w:r>
        <w:instrText xml:space="preserve"> PAGEREF _Toc4377 \h </w:instrText>
      </w:r>
      <w:r>
        <w:fldChar w:fldCharType="separate"/>
      </w:r>
      <w:r>
        <w:t>9</w:t>
      </w:r>
      <w:r>
        <w:fldChar w:fldCharType="end"/>
      </w:r>
      <w:r>
        <w:rPr>
          <w:rFonts w:hint="eastAsia"/>
          <w:color w:val="auto"/>
          <w:szCs w:val="21"/>
          <w:lang w:val="en-US" w:eastAsia="zh-CN"/>
        </w:rPr>
        <w:fldChar w:fldCharType="end"/>
      </w:r>
    </w:p>
    <w:p w14:paraId="28731467">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_Toc27504 </w:instrText>
      </w:r>
      <w:r>
        <w:rPr>
          <w:rFonts w:hint="eastAsia"/>
          <w:szCs w:val="21"/>
          <w:lang w:val="en-US" w:eastAsia="zh-CN"/>
        </w:rPr>
        <w:fldChar w:fldCharType="separate"/>
      </w:r>
      <w:r>
        <w:rPr>
          <w:rFonts w:hint="eastAsia" w:ascii="宋体" w:hAnsi="宋体" w:eastAsia="宋体" w:cs="宋体"/>
          <w:lang w:eastAsia="zh-CN"/>
        </w:rPr>
        <w:t>1.1 采购方式</w:t>
      </w:r>
      <w:r>
        <w:tab/>
      </w:r>
      <w:r>
        <w:fldChar w:fldCharType="begin"/>
      </w:r>
      <w:r>
        <w:instrText xml:space="preserve"> PAGEREF _Toc27504 \h </w:instrText>
      </w:r>
      <w:r>
        <w:fldChar w:fldCharType="separate"/>
      </w:r>
      <w:r>
        <w:t>9</w:t>
      </w:r>
      <w:r>
        <w:fldChar w:fldCharType="end"/>
      </w:r>
      <w:r>
        <w:rPr>
          <w:rFonts w:hint="eastAsia"/>
          <w:color w:val="auto"/>
          <w:szCs w:val="21"/>
          <w:lang w:val="en-US" w:eastAsia="zh-CN"/>
        </w:rPr>
        <w:fldChar w:fldCharType="end"/>
      </w:r>
    </w:p>
    <w:p w14:paraId="03721B08">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_Toc9287 </w:instrText>
      </w:r>
      <w:r>
        <w:rPr>
          <w:rFonts w:hint="eastAsia"/>
          <w:szCs w:val="21"/>
          <w:lang w:val="en-US" w:eastAsia="zh-CN"/>
        </w:rPr>
        <w:fldChar w:fldCharType="separate"/>
      </w:r>
      <w:r>
        <w:rPr>
          <w:rFonts w:hint="eastAsia" w:ascii="宋体" w:hAnsi="宋体" w:eastAsia="宋体" w:cs="宋体"/>
          <w:lang w:eastAsia="zh-CN"/>
        </w:rPr>
        <w:t>1.2 采购项目和供应商申请资格条件</w:t>
      </w:r>
      <w:r>
        <w:tab/>
      </w:r>
      <w:r>
        <w:fldChar w:fldCharType="begin"/>
      </w:r>
      <w:r>
        <w:instrText xml:space="preserve"> PAGEREF _Toc9287 \h </w:instrText>
      </w:r>
      <w:r>
        <w:fldChar w:fldCharType="separate"/>
      </w:r>
      <w:r>
        <w:t>9</w:t>
      </w:r>
      <w:r>
        <w:fldChar w:fldCharType="end"/>
      </w:r>
      <w:r>
        <w:rPr>
          <w:rFonts w:hint="eastAsia"/>
          <w:color w:val="auto"/>
          <w:szCs w:val="21"/>
          <w:lang w:val="en-US" w:eastAsia="zh-CN"/>
        </w:rPr>
        <w:fldChar w:fldCharType="end"/>
      </w:r>
    </w:p>
    <w:p w14:paraId="625AB1C7">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_Toc32091 </w:instrText>
      </w:r>
      <w:r>
        <w:rPr>
          <w:rFonts w:hint="eastAsia"/>
          <w:szCs w:val="21"/>
          <w:lang w:val="en-US" w:eastAsia="zh-CN"/>
        </w:rPr>
        <w:fldChar w:fldCharType="separate"/>
      </w:r>
      <w:r>
        <w:rPr>
          <w:rFonts w:hint="eastAsia" w:ascii="宋体" w:hAnsi="宋体" w:eastAsia="宋体" w:cs="宋体"/>
          <w:lang w:eastAsia="zh-CN"/>
        </w:rPr>
        <w:t>1.3 费用承担</w:t>
      </w:r>
      <w:r>
        <w:tab/>
      </w:r>
      <w:r>
        <w:fldChar w:fldCharType="begin"/>
      </w:r>
      <w:r>
        <w:instrText xml:space="preserve"> PAGEREF _Toc32091 \h </w:instrText>
      </w:r>
      <w:r>
        <w:fldChar w:fldCharType="separate"/>
      </w:r>
      <w:r>
        <w:t>9</w:t>
      </w:r>
      <w:r>
        <w:fldChar w:fldCharType="end"/>
      </w:r>
      <w:r>
        <w:rPr>
          <w:rFonts w:hint="eastAsia"/>
          <w:color w:val="auto"/>
          <w:szCs w:val="21"/>
          <w:lang w:val="en-US" w:eastAsia="zh-CN"/>
        </w:rPr>
        <w:fldChar w:fldCharType="end"/>
      </w:r>
    </w:p>
    <w:p w14:paraId="5A8929BC">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_Toc5573 </w:instrText>
      </w:r>
      <w:r>
        <w:rPr>
          <w:rFonts w:hint="eastAsia"/>
          <w:szCs w:val="21"/>
          <w:lang w:val="en-US" w:eastAsia="zh-CN"/>
        </w:rPr>
        <w:fldChar w:fldCharType="separate"/>
      </w:r>
      <w:r>
        <w:rPr>
          <w:rFonts w:hint="eastAsia" w:ascii="宋体" w:hAnsi="宋体" w:eastAsia="宋体" w:cs="宋体"/>
          <w:lang w:eastAsia="zh-CN"/>
        </w:rPr>
        <w:t>1.4 保密</w:t>
      </w:r>
      <w:r>
        <w:tab/>
      </w:r>
      <w:r>
        <w:fldChar w:fldCharType="begin"/>
      </w:r>
      <w:r>
        <w:instrText xml:space="preserve"> PAGEREF _Toc5573 \h </w:instrText>
      </w:r>
      <w:r>
        <w:fldChar w:fldCharType="separate"/>
      </w:r>
      <w:r>
        <w:t>9</w:t>
      </w:r>
      <w:r>
        <w:fldChar w:fldCharType="end"/>
      </w:r>
      <w:r>
        <w:rPr>
          <w:rFonts w:hint="eastAsia"/>
          <w:color w:val="auto"/>
          <w:szCs w:val="21"/>
          <w:lang w:val="en-US" w:eastAsia="zh-CN"/>
        </w:rPr>
        <w:fldChar w:fldCharType="end"/>
      </w:r>
    </w:p>
    <w:p w14:paraId="719D07BF">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_Toc5704 </w:instrText>
      </w:r>
      <w:r>
        <w:rPr>
          <w:rFonts w:hint="eastAsia"/>
          <w:szCs w:val="21"/>
          <w:lang w:val="en-US" w:eastAsia="zh-CN"/>
        </w:rPr>
        <w:fldChar w:fldCharType="separate"/>
      </w:r>
      <w:r>
        <w:rPr>
          <w:rFonts w:hint="eastAsia" w:ascii="宋体" w:hAnsi="宋体" w:eastAsia="宋体" w:cs="宋体"/>
          <w:bCs/>
          <w:lang w:eastAsia="zh-CN"/>
        </w:rPr>
        <w:t>1.5 语言文字</w:t>
      </w:r>
      <w:r>
        <w:tab/>
      </w:r>
      <w:r>
        <w:fldChar w:fldCharType="begin"/>
      </w:r>
      <w:r>
        <w:instrText xml:space="preserve"> PAGEREF _Toc5704 \h </w:instrText>
      </w:r>
      <w:r>
        <w:fldChar w:fldCharType="separate"/>
      </w:r>
      <w:r>
        <w:t>9</w:t>
      </w:r>
      <w:r>
        <w:fldChar w:fldCharType="end"/>
      </w:r>
      <w:r>
        <w:rPr>
          <w:rFonts w:hint="eastAsia"/>
          <w:color w:val="auto"/>
          <w:szCs w:val="21"/>
          <w:lang w:val="en-US" w:eastAsia="zh-CN"/>
        </w:rPr>
        <w:fldChar w:fldCharType="end"/>
      </w:r>
    </w:p>
    <w:p w14:paraId="6283EC26">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_Toc22895 </w:instrText>
      </w:r>
      <w:r>
        <w:rPr>
          <w:rFonts w:hint="eastAsia"/>
          <w:szCs w:val="21"/>
          <w:lang w:val="en-US" w:eastAsia="zh-CN"/>
        </w:rPr>
        <w:fldChar w:fldCharType="separate"/>
      </w:r>
      <w:r>
        <w:rPr>
          <w:rFonts w:hint="eastAsia" w:ascii="宋体" w:hAnsi="宋体" w:eastAsia="宋体" w:cs="宋体"/>
          <w:lang w:eastAsia="zh-CN"/>
        </w:rPr>
        <w:t>1.6 计量单位</w:t>
      </w:r>
      <w:r>
        <w:tab/>
      </w:r>
      <w:r>
        <w:fldChar w:fldCharType="begin"/>
      </w:r>
      <w:r>
        <w:instrText xml:space="preserve"> PAGEREF _Toc22895 \h </w:instrText>
      </w:r>
      <w:r>
        <w:fldChar w:fldCharType="separate"/>
      </w:r>
      <w:r>
        <w:t>9</w:t>
      </w:r>
      <w:r>
        <w:fldChar w:fldCharType="end"/>
      </w:r>
      <w:r>
        <w:rPr>
          <w:rFonts w:hint="eastAsia"/>
          <w:color w:val="auto"/>
          <w:szCs w:val="21"/>
          <w:lang w:val="en-US" w:eastAsia="zh-CN"/>
        </w:rPr>
        <w:fldChar w:fldCharType="end"/>
      </w:r>
    </w:p>
    <w:p w14:paraId="3B5062BD">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_Toc7190 </w:instrText>
      </w:r>
      <w:r>
        <w:rPr>
          <w:rFonts w:hint="eastAsia"/>
          <w:szCs w:val="21"/>
          <w:lang w:val="en-US" w:eastAsia="zh-CN"/>
        </w:rPr>
        <w:fldChar w:fldCharType="separate"/>
      </w:r>
      <w:r>
        <w:rPr>
          <w:rFonts w:hint="eastAsia" w:ascii="宋体" w:hAnsi="宋体" w:eastAsia="宋体" w:cs="宋体"/>
          <w:szCs w:val="28"/>
          <w:lang w:eastAsia="zh-CN"/>
        </w:rPr>
        <w:t>2 采购文件</w:t>
      </w:r>
      <w:r>
        <w:tab/>
      </w:r>
      <w:r>
        <w:fldChar w:fldCharType="begin"/>
      </w:r>
      <w:r>
        <w:instrText xml:space="preserve"> PAGEREF _Toc7190 \h </w:instrText>
      </w:r>
      <w:r>
        <w:fldChar w:fldCharType="separate"/>
      </w:r>
      <w:r>
        <w:t>9</w:t>
      </w:r>
      <w:r>
        <w:fldChar w:fldCharType="end"/>
      </w:r>
      <w:r>
        <w:rPr>
          <w:rFonts w:hint="eastAsia"/>
          <w:color w:val="auto"/>
          <w:szCs w:val="21"/>
          <w:lang w:val="en-US" w:eastAsia="zh-CN"/>
        </w:rPr>
        <w:fldChar w:fldCharType="end"/>
      </w:r>
    </w:p>
    <w:p w14:paraId="75883857">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_Toc24890 </w:instrText>
      </w:r>
      <w:r>
        <w:rPr>
          <w:rFonts w:hint="eastAsia"/>
          <w:szCs w:val="21"/>
          <w:lang w:val="en-US" w:eastAsia="zh-CN"/>
        </w:rPr>
        <w:fldChar w:fldCharType="separate"/>
      </w:r>
      <w:r>
        <w:rPr>
          <w:rFonts w:hint="eastAsia" w:ascii="宋体" w:hAnsi="宋体" w:eastAsia="宋体" w:cs="宋体"/>
          <w:lang w:eastAsia="zh-CN"/>
        </w:rPr>
        <w:t>2.1 采购文件的组成</w:t>
      </w:r>
      <w:r>
        <w:tab/>
      </w:r>
      <w:r>
        <w:fldChar w:fldCharType="begin"/>
      </w:r>
      <w:r>
        <w:instrText xml:space="preserve"> PAGEREF _Toc24890 \h </w:instrText>
      </w:r>
      <w:r>
        <w:fldChar w:fldCharType="separate"/>
      </w:r>
      <w:r>
        <w:t>9</w:t>
      </w:r>
      <w:r>
        <w:fldChar w:fldCharType="end"/>
      </w:r>
      <w:r>
        <w:rPr>
          <w:rFonts w:hint="eastAsia"/>
          <w:color w:val="auto"/>
          <w:szCs w:val="21"/>
          <w:lang w:val="en-US" w:eastAsia="zh-CN"/>
        </w:rPr>
        <w:fldChar w:fldCharType="end"/>
      </w:r>
    </w:p>
    <w:p w14:paraId="15E8E30A">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_Toc5687 </w:instrText>
      </w:r>
      <w:r>
        <w:rPr>
          <w:rFonts w:hint="eastAsia"/>
          <w:szCs w:val="21"/>
          <w:lang w:val="en-US" w:eastAsia="zh-CN"/>
        </w:rPr>
        <w:fldChar w:fldCharType="separate"/>
      </w:r>
      <w:r>
        <w:rPr>
          <w:rFonts w:hint="eastAsia" w:ascii="宋体" w:hAnsi="宋体" w:eastAsia="宋体" w:cs="宋体"/>
          <w:lang w:eastAsia="zh-CN"/>
        </w:rPr>
        <w:t>2.2 采购文件的澄清和修改</w:t>
      </w:r>
      <w:r>
        <w:tab/>
      </w:r>
      <w:r>
        <w:fldChar w:fldCharType="begin"/>
      </w:r>
      <w:r>
        <w:instrText xml:space="preserve"> PAGEREF _Toc5687 \h </w:instrText>
      </w:r>
      <w:r>
        <w:fldChar w:fldCharType="separate"/>
      </w:r>
      <w:r>
        <w:t>9</w:t>
      </w:r>
      <w:r>
        <w:fldChar w:fldCharType="end"/>
      </w:r>
      <w:r>
        <w:rPr>
          <w:rFonts w:hint="eastAsia"/>
          <w:color w:val="auto"/>
          <w:szCs w:val="21"/>
          <w:lang w:val="en-US" w:eastAsia="zh-CN"/>
        </w:rPr>
        <w:fldChar w:fldCharType="end"/>
      </w:r>
    </w:p>
    <w:p w14:paraId="3B709AE7">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_Toc9970 </w:instrText>
      </w:r>
      <w:r>
        <w:rPr>
          <w:rFonts w:hint="eastAsia"/>
          <w:szCs w:val="21"/>
          <w:lang w:val="en-US" w:eastAsia="zh-CN"/>
        </w:rPr>
        <w:fldChar w:fldCharType="separate"/>
      </w:r>
      <w:r>
        <w:rPr>
          <w:rFonts w:hint="eastAsia" w:ascii="宋体" w:hAnsi="宋体" w:eastAsia="宋体" w:cs="宋体"/>
          <w:szCs w:val="28"/>
          <w:lang w:eastAsia="zh-CN"/>
        </w:rPr>
        <w:t>3 供应商平台注册和操作培训</w:t>
      </w:r>
      <w:r>
        <w:tab/>
      </w:r>
      <w:r>
        <w:fldChar w:fldCharType="begin"/>
      </w:r>
      <w:r>
        <w:instrText xml:space="preserve"> PAGEREF _Toc9970 \h </w:instrText>
      </w:r>
      <w:r>
        <w:fldChar w:fldCharType="separate"/>
      </w:r>
      <w:r>
        <w:t>10</w:t>
      </w:r>
      <w:r>
        <w:fldChar w:fldCharType="end"/>
      </w:r>
      <w:r>
        <w:rPr>
          <w:rFonts w:hint="eastAsia"/>
          <w:color w:val="auto"/>
          <w:szCs w:val="21"/>
          <w:lang w:val="en-US" w:eastAsia="zh-CN"/>
        </w:rPr>
        <w:fldChar w:fldCharType="end"/>
      </w:r>
    </w:p>
    <w:p w14:paraId="163D02A3">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_Toc28381 </w:instrText>
      </w:r>
      <w:r>
        <w:rPr>
          <w:rFonts w:hint="eastAsia"/>
          <w:szCs w:val="21"/>
          <w:lang w:val="en-US" w:eastAsia="zh-CN"/>
        </w:rPr>
        <w:fldChar w:fldCharType="separate"/>
      </w:r>
      <w:r>
        <w:rPr>
          <w:rFonts w:hint="eastAsia" w:ascii="宋体" w:hAnsi="宋体" w:eastAsia="宋体" w:cs="宋体"/>
          <w:lang w:eastAsia="zh-CN"/>
        </w:rPr>
        <w:t>3.1 供应商平台注册</w:t>
      </w:r>
      <w:r>
        <w:tab/>
      </w:r>
      <w:r>
        <w:fldChar w:fldCharType="begin"/>
      </w:r>
      <w:r>
        <w:instrText xml:space="preserve"> PAGEREF _Toc28381 \h </w:instrText>
      </w:r>
      <w:r>
        <w:fldChar w:fldCharType="separate"/>
      </w:r>
      <w:r>
        <w:t>10</w:t>
      </w:r>
      <w:r>
        <w:fldChar w:fldCharType="end"/>
      </w:r>
      <w:r>
        <w:rPr>
          <w:rFonts w:hint="eastAsia"/>
          <w:color w:val="auto"/>
          <w:szCs w:val="21"/>
          <w:lang w:val="en-US" w:eastAsia="zh-CN"/>
        </w:rPr>
        <w:fldChar w:fldCharType="end"/>
      </w:r>
    </w:p>
    <w:p w14:paraId="118BD019">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_Toc19762 </w:instrText>
      </w:r>
      <w:r>
        <w:rPr>
          <w:rFonts w:hint="eastAsia"/>
          <w:szCs w:val="21"/>
          <w:lang w:val="en-US" w:eastAsia="zh-CN"/>
        </w:rPr>
        <w:fldChar w:fldCharType="separate"/>
      </w:r>
      <w:r>
        <w:rPr>
          <w:rFonts w:hint="eastAsia" w:ascii="宋体" w:hAnsi="宋体" w:eastAsia="宋体" w:cs="宋体"/>
          <w:lang w:eastAsia="zh-CN"/>
        </w:rPr>
        <w:t>3.2 供应商平台操作培训</w:t>
      </w:r>
      <w:r>
        <w:tab/>
      </w:r>
      <w:r>
        <w:fldChar w:fldCharType="begin"/>
      </w:r>
      <w:r>
        <w:instrText xml:space="preserve"> PAGEREF _Toc19762 \h </w:instrText>
      </w:r>
      <w:r>
        <w:fldChar w:fldCharType="separate"/>
      </w:r>
      <w:r>
        <w:t>10</w:t>
      </w:r>
      <w:r>
        <w:fldChar w:fldCharType="end"/>
      </w:r>
      <w:r>
        <w:rPr>
          <w:rFonts w:hint="eastAsia"/>
          <w:color w:val="auto"/>
          <w:szCs w:val="21"/>
          <w:lang w:val="en-US" w:eastAsia="zh-CN"/>
        </w:rPr>
        <w:fldChar w:fldCharType="end"/>
      </w:r>
    </w:p>
    <w:p w14:paraId="10C1272D">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_Toc25253 </w:instrText>
      </w:r>
      <w:r>
        <w:rPr>
          <w:rFonts w:hint="eastAsia"/>
          <w:szCs w:val="21"/>
          <w:lang w:val="en-US" w:eastAsia="zh-CN"/>
        </w:rPr>
        <w:fldChar w:fldCharType="separate"/>
      </w:r>
      <w:r>
        <w:rPr>
          <w:rFonts w:hint="eastAsia" w:ascii="宋体" w:hAnsi="宋体" w:eastAsia="宋体" w:cs="宋体"/>
          <w:szCs w:val="28"/>
          <w:lang w:eastAsia="zh-CN"/>
        </w:rPr>
        <w:t>4 供应商资格申请和资格审查</w:t>
      </w:r>
      <w:r>
        <w:tab/>
      </w:r>
      <w:r>
        <w:fldChar w:fldCharType="begin"/>
      </w:r>
      <w:r>
        <w:instrText xml:space="preserve"> PAGEREF _Toc25253 \h </w:instrText>
      </w:r>
      <w:r>
        <w:fldChar w:fldCharType="separate"/>
      </w:r>
      <w:r>
        <w:t>10</w:t>
      </w:r>
      <w:r>
        <w:fldChar w:fldCharType="end"/>
      </w:r>
      <w:r>
        <w:rPr>
          <w:rFonts w:hint="eastAsia"/>
          <w:color w:val="auto"/>
          <w:szCs w:val="21"/>
          <w:lang w:val="en-US" w:eastAsia="zh-CN"/>
        </w:rPr>
        <w:fldChar w:fldCharType="end"/>
      </w:r>
    </w:p>
    <w:p w14:paraId="1E422F28">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_Toc22759 </w:instrText>
      </w:r>
      <w:r>
        <w:rPr>
          <w:rFonts w:hint="eastAsia"/>
          <w:szCs w:val="21"/>
          <w:lang w:val="en-US" w:eastAsia="zh-CN"/>
        </w:rPr>
        <w:fldChar w:fldCharType="separate"/>
      </w:r>
      <w:r>
        <w:rPr>
          <w:rFonts w:hint="eastAsia" w:ascii="宋体" w:hAnsi="宋体" w:eastAsia="宋体" w:cs="宋体"/>
          <w:lang w:eastAsia="zh-CN"/>
        </w:rPr>
        <w:t>4.1 资格申请</w:t>
      </w:r>
      <w:r>
        <w:tab/>
      </w:r>
      <w:r>
        <w:fldChar w:fldCharType="begin"/>
      </w:r>
      <w:r>
        <w:instrText xml:space="preserve"> PAGEREF _Toc22759 \h </w:instrText>
      </w:r>
      <w:r>
        <w:fldChar w:fldCharType="separate"/>
      </w:r>
      <w:r>
        <w:t>10</w:t>
      </w:r>
      <w:r>
        <w:fldChar w:fldCharType="end"/>
      </w:r>
      <w:r>
        <w:rPr>
          <w:rFonts w:hint="eastAsia"/>
          <w:color w:val="auto"/>
          <w:szCs w:val="21"/>
          <w:lang w:val="en-US" w:eastAsia="zh-CN"/>
        </w:rPr>
        <w:fldChar w:fldCharType="end"/>
      </w:r>
    </w:p>
    <w:p w14:paraId="19E8ED15">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_Toc14973 </w:instrText>
      </w:r>
      <w:r>
        <w:rPr>
          <w:rFonts w:hint="eastAsia"/>
          <w:szCs w:val="21"/>
          <w:lang w:val="en-US" w:eastAsia="zh-CN"/>
        </w:rPr>
        <w:fldChar w:fldCharType="separate"/>
      </w:r>
      <w:r>
        <w:rPr>
          <w:rFonts w:hint="eastAsia" w:ascii="宋体" w:hAnsi="宋体" w:eastAsia="宋体" w:cs="宋体"/>
          <w:lang w:eastAsia="zh-CN"/>
        </w:rPr>
        <w:t>4.2 资格审查</w:t>
      </w:r>
      <w:r>
        <w:tab/>
      </w:r>
      <w:r>
        <w:fldChar w:fldCharType="begin"/>
      </w:r>
      <w:r>
        <w:instrText xml:space="preserve"> PAGEREF _Toc14973 \h </w:instrText>
      </w:r>
      <w:r>
        <w:fldChar w:fldCharType="separate"/>
      </w:r>
      <w:r>
        <w:t>10</w:t>
      </w:r>
      <w:r>
        <w:fldChar w:fldCharType="end"/>
      </w:r>
      <w:r>
        <w:rPr>
          <w:rFonts w:hint="eastAsia"/>
          <w:color w:val="auto"/>
          <w:szCs w:val="21"/>
          <w:lang w:val="en-US" w:eastAsia="zh-CN"/>
        </w:rPr>
        <w:fldChar w:fldCharType="end"/>
      </w:r>
    </w:p>
    <w:p w14:paraId="1E0F1B3B">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_Toc20506 </w:instrText>
      </w:r>
      <w:r>
        <w:rPr>
          <w:rFonts w:hint="eastAsia"/>
          <w:szCs w:val="21"/>
          <w:lang w:val="en-US" w:eastAsia="zh-CN"/>
        </w:rPr>
        <w:fldChar w:fldCharType="separate"/>
      </w:r>
      <w:r>
        <w:rPr>
          <w:rFonts w:hint="eastAsia" w:ascii="宋体" w:hAnsi="宋体" w:eastAsia="宋体" w:cs="宋体"/>
          <w:szCs w:val="28"/>
          <w:lang w:eastAsia="zh-CN"/>
        </w:rPr>
        <w:t>5 供应商报价</w:t>
      </w:r>
      <w:r>
        <w:tab/>
      </w:r>
      <w:r>
        <w:fldChar w:fldCharType="begin"/>
      </w:r>
      <w:r>
        <w:instrText xml:space="preserve"> PAGEREF _Toc20506 \h </w:instrText>
      </w:r>
      <w:r>
        <w:fldChar w:fldCharType="separate"/>
      </w:r>
      <w:r>
        <w:t>11</w:t>
      </w:r>
      <w:r>
        <w:fldChar w:fldCharType="end"/>
      </w:r>
      <w:r>
        <w:rPr>
          <w:rFonts w:hint="eastAsia"/>
          <w:color w:val="auto"/>
          <w:szCs w:val="21"/>
          <w:lang w:val="en-US" w:eastAsia="zh-CN"/>
        </w:rPr>
        <w:fldChar w:fldCharType="end"/>
      </w:r>
    </w:p>
    <w:p w14:paraId="290E8C8C">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_Toc2518 </w:instrText>
      </w:r>
      <w:r>
        <w:rPr>
          <w:rFonts w:hint="eastAsia"/>
          <w:szCs w:val="21"/>
          <w:lang w:val="en-US" w:eastAsia="zh-CN"/>
        </w:rPr>
        <w:fldChar w:fldCharType="separate"/>
      </w:r>
      <w:r>
        <w:rPr>
          <w:rFonts w:hint="eastAsia" w:ascii="宋体" w:hAnsi="宋体" w:eastAsia="宋体" w:cs="宋体"/>
          <w:lang w:eastAsia="zh-CN"/>
        </w:rPr>
        <w:t>5.1 报价要求</w:t>
      </w:r>
      <w:r>
        <w:tab/>
      </w:r>
      <w:r>
        <w:fldChar w:fldCharType="begin"/>
      </w:r>
      <w:r>
        <w:instrText xml:space="preserve"> PAGEREF _Toc2518 \h </w:instrText>
      </w:r>
      <w:r>
        <w:fldChar w:fldCharType="separate"/>
      </w:r>
      <w:r>
        <w:t>11</w:t>
      </w:r>
      <w:r>
        <w:fldChar w:fldCharType="end"/>
      </w:r>
      <w:r>
        <w:rPr>
          <w:rFonts w:hint="eastAsia"/>
          <w:color w:val="auto"/>
          <w:szCs w:val="21"/>
          <w:lang w:val="en-US" w:eastAsia="zh-CN"/>
        </w:rPr>
        <w:fldChar w:fldCharType="end"/>
      </w:r>
    </w:p>
    <w:p w14:paraId="3FB16474">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_Toc12246 </w:instrText>
      </w:r>
      <w:r>
        <w:rPr>
          <w:rFonts w:hint="eastAsia"/>
          <w:szCs w:val="21"/>
          <w:lang w:val="en-US" w:eastAsia="zh-CN"/>
        </w:rPr>
        <w:fldChar w:fldCharType="separate"/>
      </w:r>
      <w:r>
        <w:rPr>
          <w:rFonts w:hint="eastAsia" w:ascii="宋体" w:hAnsi="宋体" w:eastAsia="宋体" w:cs="宋体"/>
          <w:lang w:eastAsia="zh-CN"/>
        </w:rPr>
        <w:t>5.2 报价有效期</w:t>
      </w:r>
      <w:r>
        <w:tab/>
      </w:r>
      <w:r>
        <w:fldChar w:fldCharType="begin"/>
      </w:r>
      <w:r>
        <w:instrText xml:space="preserve"> PAGEREF _Toc12246 \h </w:instrText>
      </w:r>
      <w:r>
        <w:fldChar w:fldCharType="separate"/>
      </w:r>
      <w:r>
        <w:t>11</w:t>
      </w:r>
      <w:r>
        <w:fldChar w:fldCharType="end"/>
      </w:r>
      <w:r>
        <w:rPr>
          <w:rFonts w:hint="eastAsia"/>
          <w:color w:val="auto"/>
          <w:szCs w:val="21"/>
          <w:lang w:val="en-US" w:eastAsia="zh-CN"/>
        </w:rPr>
        <w:fldChar w:fldCharType="end"/>
      </w:r>
    </w:p>
    <w:p w14:paraId="37908184">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_Toc15212 </w:instrText>
      </w:r>
      <w:r>
        <w:rPr>
          <w:rFonts w:hint="eastAsia"/>
          <w:szCs w:val="21"/>
          <w:lang w:val="en-US" w:eastAsia="zh-CN"/>
        </w:rPr>
        <w:fldChar w:fldCharType="separate"/>
      </w:r>
      <w:r>
        <w:rPr>
          <w:rFonts w:hint="eastAsia" w:ascii="宋体" w:hAnsi="宋体" w:eastAsia="宋体" w:cs="宋体"/>
          <w:lang w:eastAsia="zh-CN"/>
        </w:rPr>
        <w:t>5.3 竞价保证金：人民币</w:t>
      </w:r>
      <w:r>
        <w:rPr>
          <w:rFonts w:hint="eastAsia" w:ascii="宋体" w:hAnsi="宋体" w:eastAsia="宋体" w:cs="宋体"/>
          <w:lang w:val="en-US" w:eastAsia="zh-CN"/>
        </w:rPr>
        <w:t>5</w:t>
      </w:r>
      <w:r>
        <w:rPr>
          <w:rFonts w:hint="eastAsia" w:ascii="宋体" w:hAnsi="宋体" w:eastAsia="宋体" w:cs="宋体"/>
          <w:lang w:eastAsia="zh-CN"/>
        </w:rPr>
        <w:t>万元整</w:t>
      </w:r>
      <w:r>
        <w:tab/>
      </w:r>
      <w:r>
        <w:fldChar w:fldCharType="begin"/>
      </w:r>
      <w:r>
        <w:instrText xml:space="preserve"> PAGEREF _Toc15212 \h </w:instrText>
      </w:r>
      <w:r>
        <w:fldChar w:fldCharType="separate"/>
      </w:r>
      <w:r>
        <w:t>11</w:t>
      </w:r>
      <w:r>
        <w:fldChar w:fldCharType="end"/>
      </w:r>
      <w:r>
        <w:rPr>
          <w:rFonts w:hint="eastAsia"/>
          <w:color w:val="auto"/>
          <w:szCs w:val="21"/>
          <w:lang w:val="en-US" w:eastAsia="zh-CN"/>
        </w:rPr>
        <w:fldChar w:fldCharType="end"/>
      </w:r>
    </w:p>
    <w:p w14:paraId="21F56610">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_Toc31326 </w:instrText>
      </w:r>
      <w:r>
        <w:rPr>
          <w:rFonts w:hint="eastAsia"/>
          <w:szCs w:val="21"/>
          <w:lang w:val="en-US" w:eastAsia="zh-CN"/>
        </w:rPr>
        <w:fldChar w:fldCharType="separate"/>
      </w:r>
      <w:r>
        <w:rPr>
          <w:rFonts w:hint="eastAsia" w:ascii="宋体" w:hAnsi="宋体" w:eastAsia="宋体" w:cs="宋体"/>
          <w:lang w:eastAsia="zh-CN"/>
        </w:rPr>
        <w:t>5.4 网络报价</w:t>
      </w:r>
      <w:r>
        <w:tab/>
      </w:r>
      <w:r>
        <w:fldChar w:fldCharType="begin"/>
      </w:r>
      <w:r>
        <w:instrText xml:space="preserve"> PAGEREF _Toc31326 \h </w:instrText>
      </w:r>
      <w:r>
        <w:fldChar w:fldCharType="separate"/>
      </w:r>
      <w:r>
        <w:t>11</w:t>
      </w:r>
      <w:r>
        <w:fldChar w:fldCharType="end"/>
      </w:r>
      <w:r>
        <w:rPr>
          <w:rFonts w:hint="eastAsia"/>
          <w:color w:val="auto"/>
          <w:szCs w:val="21"/>
          <w:lang w:val="en-US" w:eastAsia="zh-CN"/>
        </w:rPr>
        <w:fldChar w:fldCharType="end"/>
      </w:r>
    </w:p>
    <w:p w14:paraId="12746AD1">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_Toc18715 </w:instrText>
      </w:r>
      <w:r>
        <w:rPr>
          <w:rFonts w:hint="eastAsia"/>
          <w:szCs w:val="21"/>
          <w:lang w:val="en-US" w:eastAsia="zh-CN"/>
        </w:rPr>
        <w:fldChar w:fldCharType="separate"/>
      </w:r>
      <w:r>
        <w:rPr>
          <w:rFonts w:hint="eastAsia" w:ascii="宋体" w:hAnsi="宋体" w:eastAsia="宋体" w:cs="宋体"/>
          <w:lang w:eastAsia="zh-CN"/>
        </w:rPr>
        <w:t>5.5 供应商数量不足三家的情形</w:t>
      </w:r>
      <w:r>
        <w:tab/>
      </w:r>
      <w:r>
        <w:fldChar w:fldCharType="begin"/>
      </w:r>
      <w:r>
        <w:instrText xml:space="preserve"> PAGEREF _Toc18715 \h </w:instrText>
      </w:r>
      <w:r>
        <w:fldChar w:fldCharType="separate"/>
      </w:r>
      <w:r>
        <w:t>12</w:t>
      </w:r>
      <w:r>
        <w:fldChar w:fldCharType="end"/>
      </w:r>
      <w:r>
        <w:rPr>
          <w:rFonts w:hint="eastAsia"/>
          <w:color w:val="auto"/>
          <w:szCs w:val="21"/>
          <w:lang w:val="en-US" w:eastAsia="zh-CN"/>
        </w:rPr>
        <w:fldChar w:fldCharType="end"/>
      </w:r>
    </w:p>
    <w:p w14:paraId="2733F084">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_Toc26652 </w:instrText>
      </w:r>
      <w:r>
        <w:rPr>
          <w:rFonts w:hint="eastAsia"/>
          <w:szCs w:val="21"/>
          <w:lang w:val="en-US" w:eastAsia="zh-CN"/>
        </w:rPr>
        <w:fldChar w:fldCharType="separate"/>
      </w:r>
      <w:r>
        <w:rPr>
          <w:rFonts w:hint="eastAsia" w:ascii="宋体" w:hAnsi="宋体" w:eastAsia="宋体" w:cs="宋体"/>
          <w:szCs w:val="28"/>
          <w:lang w:eastAsia="zh-CN"/>
        </w:rPr>
        <w:t>6 平台排名</w:t>
      </w:r>
      <w:r>
        <w:tab/>
      </w:r>
      <w:r>
        <w:fldChar w:fldCharType="begin"/>
      </w:r>
      <w:r>
        <w:instrText xml:space="preserve"> PAGEREF _Toc26652 \h </w:instrText>
      </w:r>
      <w:r>
        <w:fldChar w:fldCharType="separate"/>
      </w:r>
      <w:r>
        <w:t>12</w:t>
      </w:r>
      <w:r>
        <w:fldChar w:fldCharType="end"/>
      </w:r>
      <w:r>
        <w:rPr>
          <w:rFonts w:hint="eastAsia"/>
          <w:color w:val="auto"/>
          <w:szCs w:val="21"/>
          <w:lang w:val="en-US" w:eastAsia="zh-CN"/>
        </w:rPr>
        <w:fldChar w:fldCharType="end"/>
      </w:r>
    </w:p>
    <w:p w14:paraId="37923A0F">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_Toc8097 </w:instrText>
      </w:r>
      <w:r>
        <w:rPr>
          <w:rFonts w:hint="eastAsia"/>
          <w:szCs w:val="21"/>
          <w:lang w:val="en-US" w:eastAsia="zh-CN"/>
        </w:rPr>
        <w:fldChar w:fldCharType="separate"/>
      </w:r>
      <w:r>
        <w:rPr>
          <w:rFonts w:hint="eastAsia" w:ascii="宋体" w:hAnsi="宋体" w:eastAsia="宋体" w:cs="宋体"/>
          <w:lang w:eastAsia="zh-CN"/>
        </w:rPr>
        <w:t>6.1 排名方式</w:t>
      </w:r>
      <w:r>
        <w:tab/>
      </w:r>
      <w:r>
        <w:fldChar w:fldCharType="begin"/>
      </w:r>
      <w:r>
        <w:instrText xml:space="preserve"> PAGEREF _Toc8097 \h </w:instrText>
      </w:r>
      <w:r>
        <w:fldChar w:fldCharType="separate"/>
      </w:r>
      <w:r>
        <w:t>12</w:t>
      </w:r>
      <w:r>
        <w:fldChar w:fldCharType="end"/>
      </w:r>
      <w:r>
        <w:rPr>
          <w:rFonts w:hint="eastAsia"/>
          <w:color w:val="auto"/>
          <w:szCs w:val="21"/>
          <w:lang w:val="en-US" w:eastAsia="zh-CN"/>
        </w:rPr>
        <w:fldChar w:fldCharType="end"/>
      </w:r>
    </w:p>
    <w:p w14:paraId="08315BF8">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_Toc22758 </w:instrText>
      </w:r>
      <w:r>
        <w:rPr>
          <w:rFonts w:hint="eastAsia"/>
          <w:szCs w:val="21"/>
          <w:lang w:val="en-US" w:eastAsia="zh-CN"/>
        </w:rPr>
        <w:fldChar w:fldCharType="separate"/>
      </w:r>
      <w:r>
        <w:rPr>
          <w:rFonts w:hint="eastAsia" w:ascii="宋体" w:hAnsi="宋体" w:eastAsia="宋体" w:cs="宋体"/>
          <w:lang w:eastAsia="zh-CN"/>
        </w:rPr>
        <w:t>6.2 推荐候选成交供应商</w:t>
      </w:r>
      <w:r>
        <w:tab/>
      </w:r>
      <w:r>
        <w:fldChar w:fldCharType="begin"/>
      </w:r>
      <w:r>
        <w:instrText xml:space="preserve"> PAGEREF _Toc22758 \h </w:instrText>
      </w:r>
      <w:r>
        <w:fldChar w:fldCharType="separate"/>
      </w:r>
      <w:r>
        <w:t>12</w:t>
      </w:r>
      <w:r>
        <w:fldChar w:fldCharType="end"/>
      </w:r>
      <w:r>
        <w:rPr>
          <w:rFonts w:hint="eastAsia"/>
          <w:color w:val="auto"/>
          <w:szCs w:val="21"/>
          <w:lang w:val="en-US" w:eastAsia="zh-CN"/>
        </w:rPr>
        <w:fldChar w:fldCharType="end"/>
      </w:r>
    </w:p>
    <w:p w14:paraId="186B63E5">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_Toc30021 </w:instrText>
      </w:r>
      <w:r>
        <w:rPr>
          <w:rFonts w:hint="eastAsia"/>
          <w:szCs w:val="21"/>
          <w:lang w:val="en-US" w:eastAsia="zh-CN"/>
        </w:rPr>
        <w:fldChar w:fldCharType="separate"/>
      </w:r>
      <w:r>
        <w:rPr>
          <w:rFonts w:hint="eastAsia" w:ascii="宋体" w:hAnsi="宋体" w:eastAsia="宋体" w:cs="宋体"/>
          <w:szCs w:val="28"/>
          <w:lang w:eastAsia="zh-CN"/>
        </w:rPr>
        <w:t>7 合同授予</w:t>
      </w:r>
      <w:r>
        <w:tab/>
      </w:r>
      <w:r>
        <w:fldChar w:fldCharType="begin"/>
      </w:r>
      <w:r>
        <w:instrText xml:space="preserve"> PAGEREF _Toc30021 \h </w:instrText>
      </w:r>
      <w:r>
        <w:fldChar w:fldCharType="separate"/>
      </w:r>
      <w:r>
        <w:t>12</w:t>
      </w:r>
      <w:r>
        <w:fldChar w:fldCharType="end"/>
      </w:r>
      <w:r>
        <w:rPr>
          <w:rFonts w:hint="eastAsia"/>
          <w:color w:val="auto"/>
          <w:szCs w:val="21"/>
          <w:lang w:val="en-US" w:eastAsia="zh-CN"/>
        </w:rPr>
        <w:fldChar w:fldCharType="end"/>
      </w:r>
    </w:p>
    <w:p w14:paraId="271C3D76">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_Toc20624 </w:instrText>
      </w:r>
      <w:r>
        <w:rPr>
          <w:rFonts w:hint="eastAsia"/>
          <w:szCs w:val="21"/>
          <w:lang w:val="en-US" w:eastAsia="zh-CN"/>
        </w:rPr>
        <w:fldChar w:fldCharType="separate"/>
      </w:r>
      <w:r>
        <w:rPr>
          <w:rFonts w:hint="eastAsia" w:ascii="宋体" w:hAnsi="宋体" w:eastAsia="宋体" w:cs="宋体"/>
          <w:lang w:eastAsia="zh-CN"/>
        </w:rPr>
        <w:t>7.1 候选成交供应商履约能力和价格核查</w:t>
      </w:r>
      <w:r>
        <w:tab/>
      </w:r>
      <w:r>
        <w:fldChar w:fldCharType="begin"/>
      </w:r>
      <w:r>
        <w:instrText xml:space="preserve"> PAGEREF _Toc20624 \h </w:instrText>
      </w:r>
      <w:r>
        <w:fldChar w:fldCharType="separate"/>
      </w:r>
      <w:r>
        <w:t>12</w:t>
      </w:r>
      <w:r>
        <w:fldChar w:fldCharType="end"/>
      </w:r>
      <w:r>
        <w:rPr>
          <w:rFonts w:hint="eastAsia"/>
          <w:color w:val="auto"/>
          <w:szCs w:val="21"/>
          <w:lang w:val="en-US" w:eastAsia="zh-CN"/>
        </w:rPr>
        <w:fldChar w:fldCharType="end"/>
      </w:r>
    </w:p>
    <w:p w14:paraId="0150B9B1">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_Toc21161 </w:instrText>
      </w:r>
      <w:r>
        <w:rPr>
          <w:rFonts w:hint="eastAsia"/>
          <w:szCs w:val="21"/>
          <w:lang w:val="en-US" w:eastAsia="zh-CN"/>
        </w:rPr>
        <w:fldChar w:fldCharType="separate"/>
      </w:r>
      <w:r>
        <w:rPr>
          <w:rFonts w:hint="eastAsia" w:ascii="宋体" w:hAnsi="宋体" w:eastAsia="宋体" w:cs="宋体"/>
          <w:lang w:eastAsia="zh-CN"/>
        </w:rPr>
        <w:t>7.2 确定成交供应商</w:t>
      </w:r>
      <w:r>
        <w:tab/>
      </w:r>
      <w:r>
        <w:fldChar w:fldCharType="begin"/>
      </w:r>
      <w:r>
        <w:instrText xml:space="preserve"> PAGEREF _Toc21161 \h </w:instrText>
      </w:r>
      <w:r>
        <w:fldChar w:fldCharType="separate"/>
      </w:r>
      <w:r>
        <w:t>13</w:t>
      </w:r>
      <w:r>
        <w:fldChar w:fldCharType="end"/>
      </w:r>
      <w:r>
        <w:rPr>
          <w:rFonts w:hint="eastAsia"/>
          <w:color w:val="auto"/>
          <w:szCs w:val="21"/>
          <w:lang w:val="en-US" w:eastAsia="zh-CN"/>
        </w:rPr>
        <w:fldChar w:fldCharType="end"/>
      </w:r>
    </w:p>
    <w:p w14:paraId="5C973E1B">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_Toc24801 </w:instrText>
      </w:r>
      <w:r>
        <w:rPr>
          <w:rFonts w:hint="eastAsia"/>
          <w:szCs w:val="21"/>
          <w:lang w:val="en-US" w:eastAsia="zh-CN"/>
        </w:rPr>
        <w:fldChar w:fldCharType="separate"/>
      </w:r>
      <w:r>
        <w:rPr>
          <w:rFonts w:hint="eastAsia" w:ascii="宋体" w:hAnsi="宋体" w:eastAsia="宋体" w:cs="宋体"/>
          <w:lang w:eastAsia="zh-CN"/>
        </w:rPr>
        <w:t>7.3 成交结果公示</w:t>
      </w:r>
      <w:r>
        <w:tab/>
      </w:r>
      <w:r>
        <w:fldChar w:fldCharType="begin"/>
      </w:r>
      <w:r>
        <w:instrText xml:space="preserve"> PAGEREF _Toc24801 \h </w:instrText>
      </w:r>
      <w:r>
        <w:fldChar w:fldCharType="separate"/>
      </w:r>
      <w:r>
        <w:t>13</w:t>
      </w:r>
      <w:r>
        <w:fldChar w:fldCharType="end"/>
      </w:r>
      <w:r>
        <w:rPr>
          <w:rFonts w:hint="eastAsia"/>
          <w:color w:val="auto"/>
          <w:szCs w:val="21"/>
          <w:lang w:val="en-US" w:eastAsia="zh-CN"/>
        </w:rPr>
        <w:fldChar w:fldCharType="end"/>
      </w:r>
    </w:p>
    <w:p w14:paraId="55795A58">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_Toc18271 </w:instrText>
      </w:r>
      <w:r>
        <w:rPr>
          <w:rFonts w:hint="eastAsia"/>
          <w:szCs w:val="21"/>
          <w:lang w:val="en-US" w:eastAsia="zh-CN"/>
        </w:rPr>
        <w:fldChar w:fldCharType="separate"/>
      </w:r>
      <w:r>
        <w:rPr>
          <w:rFonts w:hint="eastAsia" w:ascii="宋体" w:hAnsi="宋体" w:eastAsia="宋体" w:cs="宋体"/>
          <w:lang w:eastAsia="zh-CN"/>
        </w:rPr>
        <w:t>7.4 发出成交通知书</w:t>
      </w:r>
      <w:r>
        <w:tab/>
      </w:r>
      <w:r>
        <w:fldChar w:fldCharType="begin"/>
      </w:r>
      <w:r>
        <w:instrText xml:space="preserve"> PAGEREF _Toc18271 \h </w:instrText>
      </w:r>
      <w:r>
        <w:fldChar w:fldCharType="separate"/>
      </w:r>
      <w:r>
        <w:t>13</w:t>
      </w:r>
      <w:r>
        <w:fldChar w:fldCharType="end"/>
      </w:r>
      <w:r>
        <w:rPr>
          <w:rFonts w:hint="eastAsia"/>
          <w:color w:val="auto"/>
          <w:szCs w:val="21"/>
          <w:lang w:val="en-US" w:eastAsia="zh-CN"/>
        </w:rPr>
        <w:fldChar w:fldCharType="end"/>
      </w:r>
    </w:p>
    <w:p w14:paraId="26E6BB8D">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_Toc13414 </w:instrText>
      </w:r>
      <w:r>
        <w:rPr>
          <w:rFonts w:hint="eastAsia"/>
          <w:szCs w:val="21"/>
          <w:lang w:val="en-US" w:eastAsia="zh-CN"/>
        </w:rPr>
        <w:fldChar w:fldCharType="separate"/>
      </w:r>
      <w:r>
        <w:rPr>
          <w:rFonts w:hint="eastAsia" w:ascii="宋体" w:hAnsi="宋体" w:eastAsia="宋体" w:cs="宋体"/>
          <w:lang w:eastAsia="zh-CN"/>
        </w:rPr>
        <w:t>7.5 履约保证金</w:t>
      </w:r>
      <w:r>
        <w:tab/>
      </w:r>
      <w:r>
        <w:fldChar w:fldCharType="begin"/>
      </w:r>
      <w:r>
        <w:instrText xml:space="preserve"> PAGEREF _Toc13414 \h </w:instrText>
      </w:r>
      <w:r>
        <w:fldChar w:fldCharType="separate"/>
      </w:r>
      <w:r>
        <w:t>13</w:t>
      </w:r>
      <w:r>
        <w:fldChar w:fldCharType="end"/>
      </w:r>
      <w:r>
        <w:rPr>
          <w:rFonts w:hint="eastAsia"/>
          <w:color w:val="auto"/>
          <w:szCs w:val="21"/>
          <w:lang w:val="en-US" w:eastAsia="zh-CN"/>
        </w:rPr>
        <w:fldChar w:fldCharType="end"/>
      </w:r>
    </w:p>
    <w:p w14:paraId="665DF1FD">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_Toc20472 </w:instrText>
      </w:r>
      <w:r>
        <w:rPr>
          <w:rFonts w:hint="eastAsia"/>
          <w:szCs w:val="21"/>
          <w:lang w:val="en-US" w:eastAsia="zh-CN"/>
        </w:rPr>
        <w:fldChar w:fldCharType="separate"/>
      </w:r>
      <w:r>
        <w:rPr>
          <w:rFonts w:hint="eastAsia" w:ascii="宋体" w:hAnsi="宋体" w:eastAsia="宋体" w:cs="宋体"/>
          <w:lang w:eastAsia="zh-CN"/>
        </w:rPr>
        <w:t>7.6 签订合同</w:t>
      </w:r>
      <w:r>
        <w:tab/>
      </w:r>
      <w:r>
        <w:fldChar w:fldCharType="begin"/>
      </w:r>
      <w:r>
        <w:instrText xml:space="preserve"> PAGEREF _Toc20472 \h </w:instrText>
      </w:r>
      <w:r>
        <w:fldChar w:fldCharType="separate"/>
      </w:r>
      <w:r>
        <w:t>13</w:t>
      </w:r>
      <w:r>
        <w:fldChar w:fldCharType="end"/>
      </w:r>
      <w:r>
        <w:rPr>
          <w:rFonts w:hint="eastAsia"/>
          <w:color w:val="auto"/>
          <w:szCs w:val="21"/>
          <w:lang w:val="en-US" w:eastAsia="zh-CN"/>
        </w:rPr>
        <w:fldChar w:fldCharType="end"/>
      </w:r>
    </w:p>
    <w:p w14:paraId="71F88869">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_Toc18625 </w:instrText>
      </w:r>
      <w:r>
        <w:rPr>
          <w:rFonts w:hint="eastAsia"/>
          <w:szCs w:val="21"/>
          <w:lang w:val="en-US" w:eastAsia="zh-CN"/>
        </w:rPr>
        <w:fldChar w:fldCharType="separate"/>
      </w:r>
      <w:r>
        <w:rPr>
          <w:rFonts w:hint="eastAsia" w:ascii="宋体" w:hAnsi="宋体" w:eastAsia="宋体" w:cs="宋体"/>
          <w:lang w:eastAsia="zh-CN"/>
        </w:rPr>
        <w:t>7.7 特殊情形处理</w:t>
      </w:r>
      <w:r>
        <w:tab/>
      </w:r>
      <w:r>
        <w:fldChar w:fldCharType="begin"/>
      </w:r>
      <w:r>
        <w:instrText xml:space="preserve"> PAGEREF _Toc18625 \h </w:instrText>
      </w:r>
      <w:r>
        <w:fldChar w:fldCharType="separate"/>
      </w:r>
      <w:r>
        <w:t>14</w:t>
      </w:r>
      <w:r>
        <w:fldChar w:fldCharType="end"/>
      </w:r>
      <w:r>
        <w:rPr>
          <w:rFonts w:hint="eastAsia"/>
          <w:color w:val="auto"/>
          <w:szCs w:val="21"/>
          <w:lang w:val="en-US" w:eastAsia="zh-CN"/>
        </w:rPr>
        <w:fldChar w:fldCharType="end"/>
      </w:r>
    </w:p>
    <w:p w14:paraId="53117A38">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_Toc24989 </w:instrText>
      </w:r>
      <w:r>
        <w:rPr>
          <w:rFonts w:hint="eastAsia"/>
          <w:szCs w:val="21"/>
          <w:lang w:val="en-US" w:eastAsia="zh-CN"/>
        </w:rPr>
        <w:fldChar w:fldCharType="separate"/>
      </w:r>
      <w:r>
        <w:rPr>
          <w:rFonts w:hint="eastAsia" w:ascii="宋体" w:hAnsi="宋体" w:eastAsia="宋体" w:cs="宋体"/>
          <w:szCs w:val="28"/>
          <w:lang w:eastAsia="zh-CN"/>
        </w:rPr>
        <w:t>8 异议</w:t>
      </w:r>
      <w:r>
        <w:tab/>
      </w:r>
      <w:r>
        <w:fldChar w:fldCharType="begin"/>
      </w:r>
      <w:r>
        <w:instrText xml:space="preserve"> PAGEREF _Toc24989 \h </w:instrText>
      </w:r>
      <w:r>
        <w:fldChar w:fldCharType="separate"/>
      </w:r>
      <w:r>
        <w:t>14</w:t>
      </w:r>
      <w:r>
        <w:fldChar w:fldCharType="end"/>
      </w:r>
      <w:r>
        <w:rPr>
          <w:rFonts w:hint="eastAsia"/>
          <w:color w:val="auto"/>
          <w:szCs w:val="21"/>
          <w:lang w:val="en-US" w:eastAsia="zh-CN"/>
        </w:rPr>
        <w:fldChar w:fldCharType="end"/>
      </w:r>
    </w:p>
    <w:p w14:paraId="2D147537">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_Toc7252 </w:instrText>
      </w:r>
      <w:r>
        <w:rPr>
          <w:rFonts w:hint="eastAsia"/>
          <w:szCs w:val="21"/>
          <w:lang w:val="en-US" w:eastAsia="zh-CN"/>
        </w:rPr>
        <w:fldChar w:fldCharType="separate"/>
      </w:r>
      <w:r>
        <w:rPr>
          <w:rFonts w:hint="eastAsia" w:ascii="宋体" w:hAnsi="宋体" w:eastAsia="宋体" w:cs="宋体"/>
          <w:lang w:eastAsia="zh-CN"/>
        </w:rPr>
        <w:t>8.1 提出异议</w:t>
      </w:r>
      <w:r>
        <w:tab/>
      </w:r>
      <w:r>
        <w:fldChar w:fldCharType="begin"/>
      </w:r>
      <w:r>
        <w:instrText xml:space="preserve"> PAGEREF _Toc7252 \h </w:instrText>
      </w:r>
      <w:r>
        <w:fldChar w:fldCharType="separate"/>
      </w:r>
      <w:r>
        <w:t>14</w:t>
      </w:r>
      <w:r>
        <w:fldChar w:fldCharType="end"/>
      </w:r>
      <w:r>
        <w:rPr>
          <w:rFonts w:hint="eastAsia"/>
          <w:color w:val="auto"/>
          <w:szCs w:val="21"/>
          <w:lang w:val="en-US" w:eastAsia="zh-CN"/>
        </w:rPr>
        <w:fldChar w:fldCharType="end"/>
      </w:r>
    </w:p>
    <w:p w14:paraId="78BF4EBE">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_Toc28541 </w:instrText>
      </w:r>
      <w:r>
        <w:rPr>
          <w:rFonts w:hint="eastAsia"/>
          <w:szCs w:val="21"/>
          <w:lang w:val="en-US" w:eastAsia="zh-CN"/>
        </w:rPr>
        <w:fldChar w:fldCharType="separate"/>
      </w:r>
      <w:r>
        <w:rPr>
          <w:rFonts w:hint="eastAsia" w:ascii="宋体" w:hAnsi="宋体" w:eastAsia="宋体" w:cs="宋体"/>
          <w:lang w:eastAsia="zh-CN"/>
        </w:rPr>
        <w:t>8.2 异议处理</w:t>
      </w:r>
      <w:r>
        <w:tab/>
      </w:r>
      <w:r>
        <w:fldChar w:fldCharType="begin"/>
      </w:r>
      <w:r>
        <w:instrText xml:space="preserve"> PAGEREF _Toc28541 \h </w:instrText>
      </w:r>
      <w:r>
        <w:fldChar w:fldCharType="separate"/>
      </w:r>
      <w:r>
        <w:t>14</w:t>
      </w:r>
      <w:r>
        <w:fldChar w:fldCharType="end"/>
      </w:r>
      <w:r>
        <w:rPr>
          <w:rFonts w:hint="eastAsia"/>
          <w:color w:val="auto"/>
          <w:szCs w:val="21"/>
          <w:lang w:val="en-US" w:eastAsia="zh-CN"/>
        </w:rPr>
        <w:fldChar w:fldCharType="end"/>
      </w:r>
    </w:p>
    <w:p w14:paraId="513560A0">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_Toc29318 </w:instrText>
      </w:r>
      <w:r>
        <w:rPr>
          <w:rFonts w:hint="eastAsia"/>
          <w:szCs w:val="21"/>
          <w:lang w:val="en-US" w:eastAsia="zh-CN"/>
        </w:rPr>
        <w:fldChar w:fldCharType="separate"/>
      </w:r>
      <w:r>
        <w:rPr>
          <w:rFonts w:hint="eastAsia" w:ascii="宋体" w:hAnsi="宋体" w:eastAsia="宋体" w:cs="宋体"/>
          <w:szCs w:val="28"/>
          <w:lang w:eastAsia="zh-CN"/>
        </w:rPr>
        <w:t>9 纪律和监督</w:t>
      </w:r>
      <w:r>
        <w:tab/>
      </w:r>
      <w:r>
        <w:fldChar w:fldCharType="begin"/>
      </w:r>
      <w:r>
        <w:instrText xml:space="preserve"> PAGEREF _Toc29318 \h </w:instrText>
      </w:r>
      <w:r>
        <w:fldChar w:fldCharType="separate"/>
      </w:r>
      <w:r>
        <w:t>15</w:t>
      </w:r>
      <w:r>
        <w:fldChar w:fldCharType="end"/>
      </w:r>
      <w:r>
        <w:rPr>
          <w:rFonts w:hint="eastAsia"/>
          <w:color w:val="auto"/>
          <w:szCs w:val="21"/>
          <w:lang w:val="en-US" w:eastAsia="zh-CN"/>
        </w:rPr>
        <w:fldChar w:fldCharType="end"/>
      </w:r>
    </w:p>
    <w:p w14:paraId="2DFAB07B">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_Toc8335 </w:instrText>
      </w:r>
      <w:r>
        <w:rPr>
          <w:rFonts w:hint="eastAsia"/>
          <w:szCs w:val="21"/>
          <w:lang w:val="en-US" w:eastAsia="zh-CN"/>
        </w:rPr>
        <w:fldChar w:fldCharType="separate"/>
      </w:r>
      <w:r>
        <w:rPr>
          <w:rFonts w:hint="eastAsia" w:ascii="宋体" w:hAnsi="宋体" w:eastAsia="宋体" w:cs="宋体"/>
          <w:lang w:eastAsia="zh-CN"/>
        </w:rPr>
        <w:t>9.1 对采购人的纪律要求</w:t>
      </w:r>
      <w:r>
        <w:tab/>
      </w:r>
      <w:r>
        <w:fldChar w:fldCharType="begin"/>
      </w:r>
      <w:r>
        <w:instrText xml:space="preserve"> PAGEREF _Toc8335 \h </w:instrText>
      </w:r>
      <w:r>
        <w:fldChar w:fldCharType="separate"/>
      </w:r>
      <w:r>
        <w:t>15</w:t>
      </w:r>
      <w:r>
        <w:fldChar w:fldCharType="end"/>
      </w:r>
      <w:r>
        <w:rPr>
          <w:rFonts w:hint="eastAsia"/>
          <w:color w:val="auto"/>
          <w:szCs w:val="21"/>
          <w:lang w:val="en-US" w:eastAsia="zh-CN"/>
        </w:rPr>
        <w:fldChar w:fldCharType="end"/>
      </w:r>
    </w:p>
    <w:p w14:paraId="7DB28009">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_Toc10996 </w:instrText>
      </w:r>
      <w:r>
        <w:rPr>
          <w:rFonts w:hint="eastAsia"/>
          <w:szCs w:val="21"/>
          <w:lang w:val="en-US" w:eastAsia="zh-CN"/>
        </w:rPr>
        <w:fldChar w:fldCharType="separate"/>
      </w:r>
      <w:r>
        <w:rPr>
          <w:rFonts w:hint="eastAsia" w:ascii="宋体" w:hAnsi="宋体" w:eastAsia="宋体" w:cs="宋体"/>
          <w:lang w:eastAsia="zh-CN"/>
        </w:rPr>
        <w:t>9.2 对供应商的纪律要求</w:t>
      </w:r>
      <w:r>
        <w:tab/>
      </w:r>
      <w:r>
        <w:fldChar w:fldCharType="begin"/>
      </w:r>
      <w:r>
        <w:instrText xml:space="preserve"> PAGEREF _Toc10996 \h </w:instrText>
      </w:r>
      <w:r>
        <w:fldChar w:fldCharType="separate"/>
      </w:r>
      <w:r>
        <w:t>15</w:t>
      </w:r>
      <w:r>
        <w:fldChar w:fldCharType="end"/>
      </w:r>
      <w:r>
        <w:rPr>
          <w:rFonts w:hint="eastAsia"/>
          <w:color w:val="auto"/>
          <w:szCs w:val="21"/>
          <w:lang w:val="en-US" w:eastAsia="zh-CN"/>
        </w:rPr>
        <w:fldChar w:fldCharType="end"/>
      </w:r>
    </w:p>
    <w:p w14:paraId="48492279">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_Toc24697 </w:instrText>
      </w:r>
      <w:r>
        <w:rPr>
          <w:rFonts w:hint="eastAsia"/>
          <w:szCs w:val="21"/>
          <w:lang w:val="en-US" w:eastAsia="zh-CN"/>
        </w:rPr>
        <w:fldChar w:fldCharType="separate"/>
      </w:r>
      <w:r>
        <w:rPr>
          <w:rFonts w:hint="eastAsia" w:ascii="宋体" w:hAnsi="宋体" w:eastAsia="宋体" w:cs="宋体"/>
          <w:lang w:eastAsia="zh-CN"/>
        </w:rPr>
        <w:t>9.3 对评审小组成员的纪律要求</w:t>
      </w:r>
      <w:r>
        <w:tab/>
      </w:r>
      <w:r>
        <w:fldChar w:fldCharType="begin"/>
      </w:r>
      <w:r>
        <w:instrText xml:space="preserve"> PAGEREF _Toc24697 \h </w:instrText>
      </w:r>
      <w:r>
        <w:fldChar w:fldCharType="separate"/>
      </w:r>
      <w:r>
        <w:t>15</w:t>
      </w:r>
      <w:r>
        <w:fldChar w:fldCharType="end"/>
      </w:r>
      <w:r>
        <w:rPr>
          <w:rFonts w:hint="eastAsia"/>
          <w:color w:val="auto"/>
          <w:szCs w:val="21"/>
          <w:lang w:val="en-US" w:eastAsia="zh-CN"/>
        </w:rPr>
        <w:fldChar w:fldCharType="end"/>
      </w:r>
    </w:p>
    <w:p w14:paraId="2780D5FE">
      <w:pPr>
        <w:pStyle w:val="19"/>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_Toc19264 </w:instrText>
      </w:r>
      <w:r>
        <w:rPr>
          <w:rFonts w:hint="eastAsia"/>
          <w:szCs w:val="21"/>
          <w:lang w:val="en-US" w:eastAsia="zh-CN"/>
        </w:rPr>
        <w:fldChar w:fldCharType="separate"/>
      </w:r>
      <w:r>
        <w:rPr>
          <w:rFonts w:hint="eastAsia" w:ascii="宋体" w:hAnsi="宋体" w:eastAsia="宋体" w:cs="宋体"/>
          <w:lang w:eastAsia="zh-CN"/>
        </w:rPr>
        <w:t>9.4 对评审有关工作人员的纪律要求</w:t>
      </w:r>
      <w:r>
        <w:tab/>
      </w:r>
      <w:r>
        <w:fldChar w:fldCharType="begin"/>
      </w:r>
      <w:r>
        <w:instrText xml:space="preserve"> PAGEREF _Toc19264 \h </w:instrText>
      </w:r>
      <w:r>
        <w:fldChar w:fldCharType="separate"/>
      </w:r>
      <w:r>
        <w:t>15</w:t>
      </w:r>
      <w:r>
        <w:fldChar w:fldCharType="end"/>
      </w:r>
      <w:r>
        <w:rPr>
          <w:rFonts w:hint="eastAsia"/>
          <w:color w:val="auto"/>
          <w:szCs w:val="21"/>
          <w:lang w:val="en-US" w:eastAsia="zh-CN"/>
        </w:rPr>
        <w:fldChar w:fldCharType="end"/>
      </w:r>
    </w:p>
    <w:p w14:paraId="020E278E">
      <w:pPr>
        <w:pStyle w:val="26"/>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_Toc3226 </w:instrText>
      </w:r>
      <w:r>
        <w:rPr>
          <w:rFonts w:hint="eastAsia"/>
          <w:szCs w:val="21"/>
          <w:lang w:val="en-US" w:eastAsia="zh-CN"/>
        </w:rPr>
        <w:fldChar w:fldCharType="separate"/>
      </w:r>
      <w:r>
        <w:rPr>
          <w:rFonts w:hint="eastAsia" w:ascii="宋体" w:hAnsi="宋体" w:eastAsia="宋体" w:cs="宋体"/>
          <w:szCs w:val="44"/>
          <w:lang w:eastAsia="zh-CN"/>
        </w:rPr>
        <w:t>拟签订的合同文本（参考格式）</w:t>
      </w:r>
      <w:r>
        <w:tab/>
      </w:r>
      <w:r>
        <w:fldChar w:fldCharType="begin"/>
      </w:r>
      <w:r>
        <w:instrText xml:space="preserve"> PAGEREF _Toc3226 \h </w:instrText>
      </w:r>
      <w:r>
        <w:fldChar w:fldCharType="separate"/>
      </w:r>
      <w:r>
        <w:t>16</w:t>
      </w:r>
      <w:r>
        <w:fldChar w:fldCharType="end"/>
      </w:r>
      <w:r>
        <w:rPr>
          <w:rFonts w:hint="eastAsia"/>
          <w:color w:val="auto"/>
          <w:szCs w:val="21"/>
          <w:lang w:val="en-US" w:eastAsia="zh-CN"/>
        </w:rPr>
        <w:fldChar w:fldCharType="end"/>
      </w:r>
    </w:p>
    <w:p w14:paraId="4C9692F8">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_Toc6250 </w:instrText>
      </w:r>
      <w:r>
        <w:rPr>
          <w:rFonts w:hint="eastAsia"/>
          <w:szCs w:val="21"/>
          <w:lang w:val="en-US" w:eastAsia="zh-CN"/>
        </w:rPr>
        <w:fldChar w:fldCharType="separate"/>
      </w:r>
      <w:r>
        <w:rPr>
          <w:rFonts w:hint="eastAsia" w:ascii="宋体" w:hAnsi="宋体" w:eastAsia="宋体" w:cs="宋体"/>
          <w:szCs w:val="44"/>
          <w:lang w:eastAsia="zh-CN"/>
        </w:rPr>
        <w:t>供货要求</w:t>
      </w:r>
      <w:r>
        <w:tab/>
      </w:r>
      <w:r>
        <w:fldChar w:fldCharType="begin"/>
      </w:r>
      <w:r>
        <w:instrText xml:space="preserve"> PAGEREF _Toc6250 \h </w:instrText>
      </w:r>
      <w:r>
        <w:fldChar w:fldCharType="separate"/>
      </w:r>
      <w:r>
        <w:t>22</w:t>
      </w:r>
      <w:r>
        <w:fldChar w:fldCharType="end"/>
      </w:r>
      <w:r>
        <w:rPr>
          <w:rFonts w:hint="eastAsia"/>
          <w:color w:val="auto"/>
          <w:szCs w:val="21"/>
          <w:lang w:val="en-US" w:eastAsia="zh-CN"/>
        </w:rPr>
        <w:fldChar w:fldCharType="end"/>
      </w:r>
    </w:p>
    <w:p w14:paraId="38E20CEC">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_Toc18064 </w:instrText>
      </w:r>
      <w:r>
        <w:rPr>
          <w:rFonts w:hint="eastAsia"/>
          <w:szCs w:val="21"/>
          <w:lang w:val="en-US" w:eastAsia="zh-CN"/>
        </w:rPr>
        <w:fldChar w:fldCharType="separate"/>
      </w:r>
      <w:r>
        <w:rPr>
          <w:rFonts w:hint="eastAsia" w:ascii="宋体" w:hAnsi="宋体" w:eastAsia="宋体" w:cs="宋体"/>
          <w:bCs/>
          <w:szCs w:val="28"/>
          <w:lang w:eastAsia="zh-CN"/>
        </w:rPr>
        <w:t>附件</w:t>
      </w:r>
      <w:r>
        <w:rPr>
          <w:rFonts w:hint="eastAsia" w:ascii="宋体" w:hAnsi="宋体" w:eastAsia="宋体" w:cs="宋体"/>
          <w:szCs w:val="28"/>
          <w:lang w:eastAsia="zh-CN"/>
        </w:rPr>
        <w:t>一：报价函</w:t>
      </w:r>
      <w:r>
        <w:tab/>
      </w:r>
      <w:r>
        <w:fldChar w:fldCharType="begin"/>
      </w:r>
      <w:r>
        <w:instrText xml:space="preserve"> PAGEREF _Toc18064 \h </w:instrText>
      </w:r>
      <w:r>
        <w:fldChar w:fldCharType="separate"/>
      </w:r>
      <w:r>
        <w:t>26</w:t>
      </w:r>
      <w:r>
        <w:fldChar w:fldCharType="end"/>
      </w:r>
      <w:r>
        <w:rPr>
          <w:rFonts w:hint="eastAsia"/>
          <w:color w:val="auto"/>
          <w:szCs w:val="21"/>
          <w:lang w:val="en-US" w:eastAsia="zh-CN"/>
        </w:rPr>
        <w:fldChar w:fldCharType="end"/>
      </w:r>
    </w:p>
    <w:p w14:paraId="37983CB1">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_Toc17359 </w:instrText>
      </w:r>
      <w:r>
        <w:rPr>
          <w:rFonts w:hint="eastAsia"/>
          <w:szCs w:val="21"/>
          <w:lang w:val="en-US" w:eastAsia="zh-CN"/>
        </w:rPr>
        <w:fldChar w:fldCharType="separate"/>
      </w:r>
      <w:r>
        <w:rPr>
          <w:rFonts w:hint="eastAsia" w:ascii="宋体" w:hAnsi="宋体" w:eastAsia="宋体" w:cs="宋体"/>
          <w:bCs/>
          <w:szCs w:val="28"/>
          <w:lang w:eastAsia="zh-CN"/>
        </w:rPr>
        <w:t>附件二：法定代表人资格证明书</w:t>
      </w:r>
      <w:r>
        <w:tab/>
      </w:r>
      <w:r>
        <w:fldChar w:fldCharType="begin"/>
      </w:r>
      <w:r>
        <w:instrText xml:space="preserve"> PAGEREF _Toc17359 \h </w:instrText>
      </w:r>
      <w:r>
        <w:fldChar w:fldCharType="separate"/>
      </w:r>
      <w:r>
        <w:t>27</w:t>
      </w:r>
      <w:r>
        <w:fldChar w:fldCharType="end"/>
      </w:r>
      <w:r>
        <w:rPr>
          <w:rFonts w:hint="eastAsia"/>
          <w:color w:val="auto"/>
          <w:szCs w:val="21"/>
          <w:lang w:val="en-US" w:eastAsia="zh-CN"/>
        </w:rPr>
        <w:fldChar w:fldCharType="end"/>
      </w:r>
    </w:p>
    <w:p w14:paraId="4A5A6100">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_Toc32681 </w:instrText>
      </w:r>
      <w:r>
        <w:rPr>
          <w:rFonts w:hint="eastAsia"/>
          <w:szCs w:val="21"/>
          <w:lang w:val="en-US" w:eastAsia="zh-CN"/>
        </w:rPr>
        <w:fldChar w:fldCharType="separate"/>
      </w:r>
      <w:r>
        <w:rPr>
          <w:rFonts w:hint="eastAsia" w:ascii="宋体" w:hAnsi="宋体" w:eastAsia="宋体" w:cs="宋体"/>
          <w:bCs/>
          <w:szCs w:val="28"/>
          <w:lang w:eastAsia="zh-CN"/>
        </w:rPr>
        <w:t>附件三：授权委托书</w:t>
      </w:r>
      <w:r>
        <w:tab/>
      </w:r>
      <w:r>
        <w:fldChar w:fldCharType="begin"/>
      </w:r>
      <w:r>
        <w:instrText xml:space="preserve"> PAGEREF _Toc32681 \h </w:instrText>
      </w:r>
      <w:r>
        <w:fldChar w:fldCharType="separate"/>
      </w:r>
      <w:r>
        <w:t>28</w:t>
      </w:r>
      <w:r>
        <w:fldChar w:fldCharType="end"/>
      </w:r>
      <w:r>
        <w:rPr>
          <w:rFonts w:hint="eastAsia"/>
          <w:color w:val="auto"/>
          <w:szCs w:val="21"/>
          <w:lang w:val="en-US" w:eastAsia="zh-CN"/>
        </w:rPr>
        <w:fldChar w:fldCharType="end"/>
      </w:r>
    </w:p>
    <w:p w14:paraId="65AF55F1">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_Toc4422 </w:instrText>
      </w:r>
      <w:r>
        <w:rPr>
          <w:rFonts w:hint="eastAsia"/>
          <w:szCs w:val="21"/>
          <w:lang w:val="en-US" w:eastAsia="zh-CN"/>
        </w:rPr>
        <w:fldChar w:fldCharType="separate"/>
      </w:r>
      <w:r>
        <w:rPr>
          <w:rFonts w:hint="eastAsia" w:ascii="宋体" w:hAnsi="宋体" w:eastAsia="宋体" w:cs="宋体"/>
          <w:bCs/>
          <w:szCs w:val="28"/>
          <w:lang w:eastAsia="zh-CN"/>
        </w:rPr>
        <w:t>附件四：竞价人承诺函（格式）</w:t>
      </w:r>
      <w:r>
        <w:tab/>
      </w:r>
      <w:r>
        <w:fldChar w:fldCharType="begin"/>
      </w:r>
      <w:r>
        <w:instrText xml:space="preserve"> PAGEREF _Toc4422 \h </w:instrText>
      </w:r>
      <w:r>
        <w:fldChar w:fldCharType="separate"/>
      </w:r>
      <w:r>
        <w:t>29</w:t>
      </w:r>
      <w:r>
        <w:fldChar w:fldCharType="end"/>
      </w:r>
      <w:r>
        <w:rPr>
          <w:rFonts w:hint="eastAsia"/>
          <w:color w:val="auto"/>
          <w:szCs w:val="21"/>
          <w:lang w:val="en-US" w:eastAsia="zh-CN"/>
        </w:rPr>
        <w:fldChar w:fldCharType="end"/>
      </w:r>
    </w:p>
    <w:p w14:paraId="6067928D">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_Toc11553 </w:instrText>
      </w:r>
      <w:r>
        <w:rPr>
          <w:rFonts w:hint="eastAsia"/>
          <w:szCs w:val="21"/>
          <w:lang w:val="en-US" w:eastAsia="zh-CN"/>
        </w:rPr>
        <w:fldChar w:fldCharType="separate"/>
      </w:r>
      <w:r>
        <w:rPr>
          <w:rFonts w:hint="eastAsia" w:ascii="宋体" w:hAnsi="宋体" w:eastAsia="宋体" w:cs="宋体"/>
          <w:szCs w:val="28"/>
          <w:lang w:eastAsia="zh-CN"/>
        </w:rPr>
        <w:t>附件五：资格证明材料</w:t>
      </w:r>
      <w:r>
        <w:tab/>
      </w:r>
      <w:r>
        <w:fldChar w:fldCharType="begin"/>
      </w:r>
      <w:r>
        <w:instrText xml:space="preserve"> PAGEREF _Toc11553 \h </w:instrText>
      </w:r>
      <w:r>
        <w:fldChar w:fldCharType="separate"/>
      </w:r>
      <w:r>
        <w:t>30</w:t>
      </w:r>
      <w:r>
        <w:fldChar w:fldCharType="end"/>
      </w:r>
      <w:r>
        <w:rPr>
          <w:rFonts w:hint="eastAsia"/>
          <w:color w:val="auto"/>
          <w:szCs w:val="21"/>
          <w:lang w:val="en-US" w:eastAsia="zh-CN"/>
        </w:rPr>
        <w:fldChar w:fldCharType="end"/>
      </w:r>
    </w:p>
    <w:p w14:paraId="3378B00C">
      <w:pPr>
        <w:pStyle w:val="27"/>
        <w:tabs>
          <w:tab w:val="right" w:leader="dot" w:pos="8306"/>
        </w:tabs>
      </w:pPr>
      <w:r>
        <w:rPr>
          <w:rFonts w:hint="eastAsia"/>
          <w:color w:val="auto"/>
          <w:szCs w:val="21"/>
          <w:lang w:val="en-US" w:eastAsia="zh-CN"/>
        </w:rPr>
        <w:fldChar w:fldCharType="begin"/>
      </w:r>
      <w:r>
        <w:rPr>
          <w:rFonts w:hint="eastAsia"/>
          <w:szCs w:val="21"/>
          <w:lang w:val="en-US" w:eastAsia="zh-CN"/>
        </w:rPr>
        <w:instrText xml:space="preserve"> HYPERLINK \l _Toc18158 </w:instrText>
      </w:r>
      <w:r>
        <w:rPr>
          <w:rFonts w:hint="eastAsia"/>
          <w:szCs w:val="21"/>
          <w:lang w:val="en-US" w:eastAsia="zh-CN"/>
        </w:rPr>
        <w:fldChar w:fldCharType="separate"/>
      </w:r>
      <w:r>
        <w:rPr>
          <w:rFonts w:hint="eastAsia" w:ascii="宋体" w:hAnsi="宋体" w:eastAsia="宋体" w:cs="宋体"/>
          <w:szCs w:val="28"/>
          <w:lang w:eastAsia="zh-CN"/>
        </w:rPr>
        <w:t>附件</w:t>
      </w:r>
      <w:r>
        <w:rPr>
          <w:rFonts w:hint="eastAsia" w:ascii="宋体" w:hAnsi="宋体" w:eastAsia="宋体" w:cs="宋体"/>
          <w:bCs/>
          <w:szCs w:val="28"/>
          <w:lang w:eastAsia="zh-CN"/>
        </w:rPr>
        <w:t>六：差异表</w:t>
      </w:r>
      <w:r>
        <w:tab/>
      </w:r>
      <w:r>
        <w:fldChar w:fldCharType="begin"/>
      </w:r>
      <w:r>
        <w:instrText xml:space="preserve"> PAGEREF _Toc18158 \h </w:instrText>
      </w:r>
      <w:r>
        <w:fldChar w:fldCharType="separate"/>
      </w:r>
      <w:r>
        <w:t>32</w:t>
      </w:r>
      <w:r>
        <w:fldChar w:fldCharType="end"/>
      </w:r>
      <w:r>
        <w:rPr>
          <w:rFonts w:hint="eastAsia"/>
          <w:color w:val="auto"/>
          <w:szCs w:val="21"/>
          <w:lang w:val="en-US" w:eastAsia="zh-CN"/>
        </w:rPr>
        <w:fldChar w:fldCharType="end"/>
      </w:r>
    </w:p>
    <w:p w14:paraId="3673284C">
      <w:pPr>
        <w:pStyle w:val="39"/>
        <w:tabs>
          <w:tab w:val="left" w:pos="950"/>
          <w:tab w:val="left" w:pos="2150"/>
          <w:tab w:val="left" w:pos="3350"/>
        </w:tabs>
        <w:spacing w:line="240" w:lineRule="auto"/>
        <w:ind w:firstLine="0"/>
        <w:rPr>
          <w:color w:val="auto"/>
          <w:szCs w:val="21"/>
          <w:lang w:val="en-US" w:eastAsia="zh-CN"/>
        </w:rPr>
      </w:pPr>
      <w:r>
        <w:rPr>
          <w:rFonts w:hint="eastAsia"/>
          <w:color w:val="auto"/>
          <w:szCs w:val="21"/>
          <w:lang w:val="en-US" w:eastAsia="zh-CN"/>
        </w:rPr>
        <w:fldChar w:fldCharType="end"/>
      </w:r>
      <w:bookmarkStart w:id="3" w:name="_Toc28399"/>
      <w:bookmarkStart w:id="4" w:name="_Toc11830"/>
    </w:p>
    <w:p w14:paraId="7ADDA946">
      <w:pPr>
        <w:rPr>
          <w:rFonts w:ascii="宋体" w:hAnsi="宋体" w:eastAsia="宋体" w:cs="宋体"/>
          <w:color w:val="auto"/>
          <w:sz w:val="22"/>
          <w:lang w:eastAsia="zh-CN" w:bidi="zh-TW"/>
        </w:rPr>
      </w:pPr>
      <w:r>
        <w:rPr>
          <w:color w:val="auto"/>
          <w:lang w:eastAsia="zh-CN"/>
        </w:rPr>
        <w:br w:type="page"/>
      </w:r>
    </w:p>
    <w:p w14:paraId="24B3CF14">
      <w:pPr>
        <w:pStyle w:val="39"/>
        <w:tabs>
          <w:tab w:val="left" w:pos="950"/>
          <w:tab w:val="left" w:pos="2150"/>
          <w:tab w:val="left" w:pos="3350"/>
        </w:tabs>
        <w:spacing w:line="240" w:lineRule="auto"/>
        <w:ind w:firstLine="0"/>
        <w:rPr>
          <w:color w:val="auto"/>
          <w:sz w:val="52"/>
          <w:szCs w:val="52"/>
          <w:lang w:eastAsia="zh-CN"/>
        </w:rPr>
        <w:sectPr>
          <w:headerReference r:id="rId9" w:type="default"/>
          <w:footerReference r:id="rId10" w:type="default"/>
          <w:pgSz w:w="11906" w:h="16838"/>
          <w:pgMar w:top="1440" w:right="1800" w:bottom="1440" w:left="1800" w:header="1134" w:footer="1134" w:gutter="0"/>
          <w:cols w:space="720" w:num="1"/>
          <w:docGrid w:linePitch="360" w:charSpace="0"/>
        </w:sectPr>
      </w:pPr>
    </w:p>
    <w:bookmarkEnd w:id="0"/>
    <w:bookmarkEnd w:id="1"/>
    <w:bookmarkEnd w:id="2"/>
    <w:bookmarkEnd w:id="3"/>
    <w:bookmarkEnd w:id="4"/>
    <w:p w14:paraId="211BF46E">
      <w:pPr>
        <w:pStyle w:val="3"/>
        <w:spacing w:before="260" w:after="0" w:line="360" w:lineRule="auto"/>
        <w:jc w:val="center"/>
        <w:rPr>
          <w:rFonts w:ascii="宋体" w:hAnsi="宋体" w:eastAsia="宋体" w:cs="宋体"/>
          <w:color w:val="auto"/>
          <w:szCs w:val="44"/>
          <w:lang w:eastAsia="zh-CN"/>
        </w:rPr>
      </w:pPr>
      <w:bookmarkStart w:id="5" w:name="_Toc20713"/>
      <w:bookmarkStart w:id="6" w:name="bookmark212"/>
      <w:bookmarkStart w:id="7" w:name="bookmark210"/>
      <w:bookmarkStart w:id="8" w:name="bookmark211"/>
      <w:r>
        <w:rPr>
          <w:rFonts w:hint="eastAsia" w:ascii="宋体" w:hAnsi="宋体" w:eastAsia="宋体" w:cs="宋体"/>
          <w:color w:val="auto"/>
          <w:szCs w:val="44"/>
          <w:lang w:eastAsia="zh-CN"/>
        </w:rPr>
        <w:t>竞价采购公告</w:t>
      </w:r>
      <w:bookmarkEnd w:id="5"/>
      <w:bookmarkEnd w:id="6"/>
      <w:bookmarkEnd w:id="7"/>
      <w:bookmarkEnd w:id="8"/>
      <w:bookmarkStart w:id="9" w:name="bookmark258"/>
      <w:bookmarkStart w:id="10" w:name="bookmark257"/>
      <w:bookmarkStart w:id="11" w:name="bookmark259"/>
    </w:p>
    <w:p w14:paraId="487CE259">
      <w:pPr>
        <w:spacing w:line="360" w:lineRule="auto"/>
        <w:jc w:val="center"/>
        <w:rPr>
          <w:rFonts w:ascii="宋体" w:hAnsi="宋体" w:eastAsia="宋体" w:cs="宋体"/>
          <w:color w:val="auto"/>
          <w:sz w:val="28"/>
          <w:szCs w:val="28"/>
          <w:u w:val="single"/>
          <w:lang w:eastAsia="zh-CN"/>
        </w:rPr>
      </w:pPr>
      <w:bookmarkStart w:id="12" w:name="_Toc14492"/>
      <w:bookmarkStart w:id="13" w:name="_Toc14848"/>
      <w:r>
        <w:rPr>
          <w:rFonts w:hint="eastAsia" w:ascii="宋体" w:hAnsi="宋体" w:eastAsia="宋体" w:cs="宋体"/>
          <w:color w:val="auto"/>
          <w:sz w:val="28"/>
          <w:szCs w:val="28"/>
          <w:u w:val="single"/>
          <w:lang w:eastAsia="zh-CN"/>
        </w:rPr>
        <w:t>抚州市中心城区排水防涝建设工程（二标段）</w:t>
      </w:r>
      <w:r>
        <w:rPr>
          <w:rFonts w:ascii="宋体" w:hAnsi="宋体" w:eastAsia="宋体" w:cs="宋体"/>
          <w:color w:val="auto"/>
          <w:sz w:val="28"/>
          <w:szCs w:val="28"/>
          <w:u w:val="single"/>
          <w:lang w:eastAsia="zh-CN"/>
        </w:rPr>
        <w:t>EPC</w:t>
      </w:r>
      <w:r>
        <w:rPr>
          <w:rFonts w:hint="eastAsia" w:ascii="宋体" w:hAnsi="宋体" w:eastAsia="宋体" w:cs="宋体"/>
          <w:color w:val="auto"/>
          <w:sz w:val="28"/>
          <w:szCs w:val="28"/>
          <w:u w:val="single"/>
          <w:lang w:eastAsia="zh-CN"/>
        </w:rPr>
        <w:t>总承包项目</w:t>
      </w:r>
      <w:r>
        <w:rPr>
          <w:rFonts w:hint="eastAsia" w:ascii="宋体" w:hAnsi="宋体" w:eastAsia="宋体" w:cs="宋体"/>
          <w:color w:val="auto"/>
          <w:sz w:val="28"/>
          <w:szCs w:val="28"/>
          <w:u w:val="single"/>
          <w:lang w:val="en-US" w:eastAsia="zh-CN"/>
        </w:rPr>
        <w:t>机制砂</w:t>
      </w:r>
      <w:r>
        <w:rPr>
          <w:rFonts w:hint="eastAsia" w:ascii="宋体" w:hAnsi="宋体" w:eastAsia="宋体" w:cs="宋体"/>
          <w:color w:val="auto"/>
          <w:sz w:val="28"/>
          <w:szCs w:val="28"/>
          <w:u w:val="single"/>
          <w:lang w:eastAsia="zh-CN"/>
        </w:rPr>
        <w:t>采购</w:t>
      </w:r>
      <w:bookmarkStart w:id="14" w:name="_Hlk201685988"/>
    </w:p>
    <w:bookmarkEnd w:id="14"/>
    <w:p w14:paraId="113C900E">
      <w:pPr>
        <w:spacing w:line="360" w:lineRule="auto"/>
        <w:jc w:val="center"/>
        <w:rPr>
          <w:rFonts w:ascii="宋体" w:hAnsi="宋体" w:eastAsia="宋体" w:cs="宋体"/>
          <w:color w:val="auto"/>
          <w:kern w:val="44"/>
          <w:sz w:val="28"/>
          <w:szCs w:val="28"/>
          <w:lang w:eastAsia="zh-CN"/>
        </w:rPr>
      </w:pPr>
      <w:r>
        <w:rPr>
          <w:rFonts w:hint="eastAsia" w:ascii="宋体" w:hAnsi="宋体" w:eastAsia="宋体" w:cs="宋体"/>
          <w:color w:val="auto"/>
          <w:kern w:val="44"/>
          <w:sz w:val="28"/>
          <w:szCs w:val="28"/>
          <w:lang w:eastAsia="zh-CN"/>
        </w:rPr>
        <w:t>竞价采购公告</w:t>
      </w:r>
      <w:bookmarkEnd w:id="12"/>
      <w:bookmarkEnd w:id="13"/>
    </w:p>
    <w:p w14:paraId="5B6F3523">
      <w:pPr>
        <w:pStyle w:val="2"/>
        <w:spacing w:line="240" w:lineRule="auto"/>
        <w:rPr>
          <w:rFonts w:ascii="宋体" w:hAnsi="宋体" w:eastAsia="宋体" w:cs="宋体"/>
          <w:color w:val="auto"/>
          <w:lang w:eastAsia="zh-CN"/>
        </w:rPr>
      </w:pPr>
      <w:bookmarkStart w:id="15" w:name="_Toc25211"/>
      <w:bookmarkStart w:id="16" w:name="_Toc43143981"/>
      <w:bookmarkStart w:id="17" w:name="_Toc22525"/>
      <w:bookmarkStart w:id="18" w:name="_Toc17030"/>
      <w:bookmarkStart w:id="19" w:name="_Toc8247"/>
      <w:bookmarkStart w:id="20" w:name="_Toc22572"/>
      <w:bookmarkStart w:id="21" w:name="_Toc5027"/>
      <w:bookmarkStart w:id="22" w:name="_Toc43143917"/>
      <w:bookmarkStart w:id="23" w:name="_Toc31863"/>
      <w:bookmarkStart w:id="24" w:name="_Toc12407"/>
      <w:bookmarkStart w:id="25" w:name="_Toc531861199"/>
      <w:bookmarkStart w:id="26" w:name="_Toc25633"/>
      <w:bookmarkStart w:id="27" w:name="_Toc23380"/>
      <w:bookmarkStart w:id="28" w:name="_Toc174302041"/>
      <w:r>
        <w:rPr>
          <w:rFonts w:hint="eastAsia" w:ascii="宋体" w:hAnsi="宋体" w:eastAsia="宋体" w:cs="宋体"/>
          <w:color w:val="auto"/>
          <w:lang w:eastAsia="zh-CN"/>
        </w:rPr>
        <w:t xml:space="preserve">1 </w:t>
      </w:r>
      <w:r>
        <w:rPr>
          <w:rFonts w:hint="eastAsia" w:ascii="宋体" w:hAnsi="宋体" w:eastAsia="宋体" w:cs="宋体"/>
          <w:bCs/>
          <w:color w:val="auto"/>
          <w:kern w:val="44"/>
          <w:sz w:val="28"/>
          <w:szCs w:val="28"/>
          <w:lang w:eastAsia="zh-CN"/>
        </w:rPr>
        <w:t>采购</w:t>
      </w:r>
      <w:r>
        <w:rPr>
          <w:rFonts w:hint="eastAsia" w:ascii="宋体" w:hAnsi="宋体" w:eastAsia="宋体" w:cs="宋体"/>
          <w:color w:val="auto"/>
          <w:sz w:val="28"/>
          <w:szCs w:val="28"/>
          <w:lang w:eastAsia="zh-CN"/>
        </w:rPr>
        <w:t>条件</w:t>
      </w:r>
      <w:bookmarkEnd w:id="15"/>
      <w:bookmarkEnd w:id="16"/>
      <w:bookmarkEnd w:id="17"/>
      <w:bookmarkEnd w:id="18"/>
      <w:bookmarkEnd w:id="19"/>
      <w:bookmarkEnd w:id="20"/>
      <w:bookmarkEnd w:id="21"/>
      <w:bookmarkEnd w:id="22"/>
      <w:bookmarkEnd w:id="23"/>
      <w:bookmarkEnd w:id="24"/>
      <w:bookmarkEnd w:id="25"/>
    </w:p>
    <w:p w14:paraId="54566791">
      <w:pPr>
        <w:wordWrap w:val="0"/>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本竞价采购项目为</w:t>
      </w:r>
      <w:r>
        <w:rPr>
          <w:rFonts w:hint="eastAsia"/>
          <w:color w:val="auto"/>
          <w:u w:val="single"/>
          <w:lang w:eastAsia="zh-CN"/>
        </w:rPr>
        <w:t>抚州市中心城区排水防涝建设工程（二标段）EPC总承包项目</w:t>
      </w:r>
      <w:r>
        <w:rPr>
          <w:rFonts w:hint="eastAsia"/>
          <w:color w:val="auto"/>
          <w:u w:val="single"/>
          <w:lang w:val="en-US" w:eastAsia="zh-CN"/>
        </w:rPr>
        <w:t>机制砂</w:t>
      </w:r>
      <w:r>
        <w:rPr>
          <w:rFonts w:hint="eastAsia"/>
          <w:color w:val="auto"/>
          <w:u w:val="single"/>
          <w:lang w:eastAsia="zh-CN"/>
        </w:rPr>
        <w:t>采购</w:t>
      </w:r>
      <w:r>
        <w:rPr>
          <w:rFonts w:hint="eastAsia" w:ascii="宋体" w:hAnsi="宋体" w:eastAsia="宋体" w:cs="宋体"/>
          <w:color w:val="auto"/>
          <w:u w:val="single"/>
          <w:lang w:eastAsia="zh-CN"/>
        </w:rPr>
        <w:t>项目</w:t>
      </w:r>
      <w:r>
        <w:rPr>
          <w:rFonts w:hint="eastAsia" w:ascii="宋体" w:hAnsi="宋体" w:eastAsia="宋体" w:cs="宋体"/>
          <w:color w:val="auto"/>
          <w:spacing w:val="-3"/>
          <w:lang w:eastAsia="zh-CN"/>
        </w:rPr>
        <w:t>。该项目已具备</w:t>
      </w:r>
      <w:r>
        <w:rPr>
          <w:rFonts w:hint="eastAsia" w:ascii="宋体" w:hAnsi="宋体" w:eastAsia="宋体" w:cs="宋体"/>
          <w:color w:val="auto"/>
          <w:spacing w:val="-2"/>
          <w:lang w:eastAsia="zh-CN"/>
        </w:rPr>
        <w:t>采购条</w:t>
      </w:r>
      <w:r>
        <w:rPr>
          <w:rFonts w:hint="eastAsia" w:ascii="宋体" w:hAnsi="宋体" w:eastAsia="宋体" w:cs="宋体"/>
          <w:color w:val="auto"/>
          <w:lang w:eastAsia="zh-CN"/>
        </w:rPr>
        <w:t>件，现对</w:t>
      </w:r>
      <w:r>
        <w:rPr>
          <w:rFonts w:hint="eastAsia" w:ascii="宋体" w:hAnsi="宋体" w:eastAsia="宋体" w:cs="宋体"/>
          <w:color w:val="auto"/>
          <w:u w:val="single"/>
          <w:lang w:val="en-US" w:eastAsia="zh-CN"/>
        </w:rPr>
        <w:t>机制砂</w:t>
      </w:r>
      <w:r>
        <w:rPr>
          <w:rFonts w:hint="eastAsia" w:ascii="宋体" w:hAnsi="宋体" w:eastAsia="宋体" w:cs="宋体"/>
          <w:color w:val="auto"/>
          <w:lang w:eastAsia="zh-CN"/>
        </w:rPr>
        <w:t>采购进行公开竞价。</w:t>
      </w:r>
    </w:p>
    <w:p w14:paraId="11CFF614">
      <w:pPr>
        <w:pStyle w:val="2"/>
        <w:spacing w:line="240" w:lineRule="auto"/>
        <w:rPr>
          <w:rFonts w:ascii="宋体" w:hAnsi="宋体" w:eastAsia="宋体" w:cs="宋体"/>
          <w:bCs/>
          <w:color w:val="auto"/>
          <w:kern w:val="44"/>
          <w:sz w:val="28"/>
          <w:szCs w:val="28"/>
          <w:lang w:eastAsia="zh-CN"/>
        </w:rPr>
      </w:pPr>
      <w:bookmarkStart w:id="29" w:name="_Toc7488"/>
      <w:r>
        <w:rPr>
          <w:rFonts w:hint="eastAsia" w:ascii="宋体" w:hAnsi="宋体" w:eastAsia="宋体" w:cs="宋体"/>
          <w:bCs/>
          <w:color w:val="auto"/>
          <w:kern w:val="44"/>
          <w:sz w:val="28"/>
          <w:szCs w:val="28"/>
          <w:lang w:eastAsia="zh-CN"/>
        </w:rPr>
        <w:t>2 采购项目简介</w:t>
      </w:r>
      <w:bookmarkEnd w:id="26"/>
      <w:bookmarkEnd w:id="27"/>
      <w:bookmarkEnd w:id="28"/>
      <w:bookmarkEnd w:id="29"/>
    </w:p>
    <w:p w14:paraId="72200CEB">
      <w:pPr>
        <w:pStyle w:val="39"/>
        <w:tabs>
          <w:tab w:val="left" w:pos="9029"/>
        </w:tabs>
        <w:spacing w:line="360" w:lineRule="auto"/>
        <w:ind w:firstLine="480" w:firstLineChars="200"/>
        <w:jc w:val="both"/>
        <w:rPr>
          <w:color w:val="auto"/>
          <w:sz w:val="24"/>
          <w:szCs w:val="24"/>
          <w:u w:val="single"/>
          <w:lang w:val="en-US" w:eastAsia="zh-CN"/>
        </w:rPr>
      </w:pPr>
      <w:bookmarkStart w:id="30" w:name="bookmark170"/>
      <w:bookmarkEnd w:id="30"/>
      <w:bookmarkStart w:id="31" w:name="_Toc15579"/>
      <w:bookmarkStart w:id="32" w:name="_Toc32030"/>
      <w:bookmarkStart w:id="33" w:name="_Toc174302042"/>
      <w:r>
        <w:rPr>
          <w:rFonts w:hint="eastAsia"/>
          <w:color w:val="auto"/>
          <w:sz w:val="24"/>
          <w:szCs w:val="24"/>
          <w:lang w:val="en-US" w:eastAsia="zh-CN"/>
        </w:rPr>
        <w:t>2.1采购范围及标段划分：</w:t>
      </w:r>
      <w:r>
        <w:rPr>
          <w:rFonts w:hint="eastAsia"/>
          <w:color w:val="auto"/>
          <w:sz w:val="24"/>
          <w:szCs w:val="24"/>
          <w:u w:val="single"/>
        </w:rPr>
        <w:t>抚州市中心城区排水防涝建设工程（二标段）EPC总承包项目</w:t>
      </w:r>
      <w:r>
        <w:rPr>
          <w:rFonts w:hint="eastAsia"/>
          <w:color w:val="auto"/>
          <w:sz w:val="24"/>
          <w:szCs w:val="24"/>
          <w:u w:val="single"/>
          <w:lang w:val="en-US" w:eastAsia="zh-CN"/>
        </w:rPr>
        <w:t>机制砂</w:t>
      </w:r>
      <w:r>
        <w:rPr>
          <w:rFonts w:hint="eastAsia"/>
          <w:color w:val="auto"/>
          <w:sz w:val="24"/>
          <w:szCs w:val="24"/>
          <w:u w:val="single"/>
        </w:rPr>
        <w:t>采购</w:t>
      </w:r>
      <w:r>
        <w:rPr>
          <w:rFonts w:hint="eastAsia"/>
          <w:color w:val="auto"/>
          <w:sz w:val="24"/>
          <w:szCs w:val="24"/>
          <w:u w:val="single"/>
          <w:lang w:eastAsia="zh-CN"/>
        </w:rPr>
        <w:t>。</w:t>
      </w:r>
    </w:p>
    <w:p w14:paraId="529C814A">
      <w:pPr>
        <w:pStyle w:val="39"/>
        <w:tabs>
          <w:tab w:val="left" w:pos="9029"/>
        </w:tabs>
        <w:spacing w:line="360" w:lineRule="auto"/>
        <w:ind w:firstLine="480" w:firstLineChars="200"/>
        <w:jc w:val="both"/>
        <w:rPr>
          <w:color w:val="auto"/>
          <w:sz w:val="24"/>
          <w:szCs w:val="24"/>
          <w:u w:val="single"/>
          <w:lang w:val="en-US" w:eastAsia="zh-CN"/>
        </w:rPr>
      </w:pPr>
      <w:r>
        <w:rPr>
          <w:rFonts w:hint="eastAsia"/>
          <w:color w:val="auto"/>
          <w:sz w:val="24"/>
          <w:szCs w:val="24"/>
          <w:lang w:val="en-US" w:eastAsia="zh-CN"/>
        </w:rPr>
        <w:t>2.2交货期：</w:t>
      </w:r>
      <w:r>
        <w:rPr>
          <w:rFonts w:hint="eastAsia"/>
          <w:color w:val="auto"/>
          <w:sz w:val="24"/>
          <w:szCs w:val="24"/>
          <w:u w:val="single"/>
          <w:lang w:val="en-US" w:eastAsia="zh-CN"/>
        </w:rPr>
        <w:t xml:space="preserve">合同签订后至项目完工 </w:t>
      </w:r>
    </w:p>
    <w:p w14:paraId="5918DFB4">
      <w:pPr>
        <w:pStyle w:val="39"/>
        <w:tabs>
          <w:tab w:val="left" w:pos="9029"/>
        </w:tabs>
        <w:spacing w:line="360" w:lineRule="auto"/>
        <w:ind w:firstLine="480" w:firstLineChars="200"/>
        <w:jc w:val="both"/>
        <w:rPr>
          <w:color w:val="auto"/>
          <w:sz w:val="24"/>
          <w:szCs w:val="24"/>
          <w:u w:val="single"/>
          <w:lang w:val="en-US" w:eastAsia="zh-CN"/>
        </w:rPr>
      </w:pPr>
      <w:r>
        <w:rPr>
          <w:rFonts w:hint="eastAsia"/>
          <w:color w:val="auto"/>
          <w:sz w:val="24"/>
          <w:szCs w:val="24"/>
          <w:lang w:val="en-US" w:eastAsia="zh-CN"/>
        </w:rPr>
        <w:t>2.3交货地点：</w:t>
      </w:r>
      <w:r>
        <w:rPr>
          <w:rFonts w:hint="eastAsia"/>
          <w:color w:val="auto"/>
          <w:sz w:val="24"/>
          <w:szCs w:val="24"/>
          <w:u w:val="single"/>
          <w:lang w:val="en-US" w:eastAsia="zh-CN"/>
        </w:rPr>
        <w:t xml:space="preserve"> 采购人指定地点 </w:t>
      </w:r>
    </w:p>
    <w:p w14:paraId="2A4AE4D8">
      <w:pPr>
        <w:pStyle w:val="39"/>
        <w:tabs>
          <w:tab w:val="left" w:pos="9029"/>
        </w:tabs>
        <w:spacing w:line="360" w:lineRule="auto"/>
        <w:ind w:firstLine="480" w:firstLineChars="200"/>
        <w:jc w:val="both"/>
        <w:rPr>
          <w:color w:val="auto"/>
          <w:sz w:val="24"/>
          <w:szCs w:val="24"/>
          <w:lang w:val="en-US" w:eastAsia="zh-CN"/>
        </w:rPr>
      </w:pPr>
      <w:r>
        <w:rPr>
          <w:rFonts w:hint="eastAsia"/>
          <w:color w:val="auto"/>
          <w:sz w:val="24"/>
          <w:szCs w:val="24"/>
          <w:lang w:val="en-US" w:eastAsia="zh-CN"/>
        </w:rPr>
        <w:t>2.4 供货单位数量：</w:t>
      </w:r>
      <w:r>
        <w:rPr>
          <w:rFonts w:hint="eastAsia"/>
          <w:color w:val="auto"/>
          <w:sz w:val="24"/>
          <w:szCs w:val="24"/>
          <w:u w:val="single"/>
          <w:lang w:val="en-US" w:eastAsia="zh-CN"/>
        </w:rPr>
        <w:t>3家</w:t>
      </w:r>
    </w:p>
    <w:p w14:paraId="6A1A3AEF">
      <w:pPr>
        <w:pStyle w:val="39"/>
        <w:tabs>
          <w:tab w:val="left" w:pos="9029"/>
        </w:tabs>
        <w:spacing w:line="360" w:lineRule="auto"/>
        <w:ind w:firstLine="480" w:firstLineChars="200"/>
        <w:jc w:val="both"/>
        <w:rPr>
          <w:color w:val="auto"/>
          <w:sz w:val="24"/>
          <w:szCs w:val="24"/>
          <w:lang w:val="en-US" w:eastAsia="zh-CN"/>
        </w:rPr>
      </w:pPr>
      <w:bookmarkStart w:id="34" w:name="_Hlk201686017"/>
      <w:r>
        <w:rPr>
          <w:rFonts w:hint="eastAsia"/>
          <w:color w:val="auto"/>
          <w:sz w:val="24"/>
          <w:szCs w:val="24"/>
          <w:lang w:val="en-US" w:eastAsia="zh-CN"/>
        </w:rPr>
        <w:t>备注：</w:t>
      </w:r>
    </w:p>
    <w:p w14:paraId="13E22315">
      <w:pPr>
        <w:pStyle w:val="39"/>
        <w:tabs>
          <w:tab w:val="left" w:pos="9029"/>
        </w:tabs>
        <w:spacing w:line="360" w:lineRule="auto"/>
        <w:ind w:firstLine="480" w:firstLineChars="200"/>
        <w:jc w:val="both"/>
        <w:rPr>
          <w:color w:val="C00000"/>
          <w:sz w:val="24"/>
          <w:szCs w:val="24"/>
          <w:u w:val="single"/>
          <w:lang w:val="en-US" w:eastAsia="zh-CN"/>
        </w:rPr>
      </w:pPr>
      <w:r>
        <w:rPr>
          <w:rFonts w:hint="eastAsia"/>
          <w:color w:val="auto"/>
          <w:sz w:val="24"/>
          <w:szCs w:val="24"/>
          <w:lang w:val="en-US" w:eastAsia="zh-CN"/>
        </w:rPr>
        <w:t>1.</w:t>
      </w:r>
      <w:r>
        <w:rPr>
          <w:rFonts w:hint="eastAsia"/>
          <w:color w:val="auto"/>
          <w:sz w:val="24"/>
          <w:szCs w:val="24"/>
          <w:u w:val="single"/>
        </w:rPr>
        <w:t>抚州市中心城区排水防涝建设工程（二标段）EPC总承包项目</w:t>
      </w:r>
      <w:r>
        <w:rPr>
          <w:rFonts w:hint="eastAsia"/>
          <w:color w:val="auto"/>
          <w:sz w:val="24"/>
          <w:szCs w:val="24"/>
          <w:u w:val="single"/>
          <w:lang w:eastAsia="zh-CN"/>
        </w:rPr>
        <w:t>因施工需求，整体项目体量大，</w:t>
      </w:r>
      <w:r>
        <w:rPr>
          <w:rFonts w:hint="eastAsia"/>
          <w:color w:val="auto"/>
          <w:sz w:val="24"/>
          <w:szCs w:val="24"/>
          <w:u w:val="single"/>
          <w:lang w:val="en-US" w:eastAsia="zh-CN"/>
        </w:rPr>
        <w:t>为</w:t>
      </w:r>
      <w:r>
        <w:rPr>
          <w:rFonts w:hint="eastAsia"/>
          <w:color w:val="auto"/>
          <w:sz w:val="24"/>
          <w:szCs w:val="24"/>
          <w:u w:val="single"/>
          <w:lang w:eastAsia="zh-CN"/>
        </w:rPr>
        <w:t>保证供货不间断，每个项目中标候选排序第一的为主供单位，后续</w:t>
      </w:r>
      <w:r>
        <w:rPr>
          <w:rFonts w:hint="eastAsia"/>
          <w:color w:val="auto"/>
          <w:sz w:val="24"/>
          <w:szCs w:val="24"/>
          <w:u w:val="single"/>
          <w:lang w:val="en-US" w:eastAsia="zh-CN"/>
        </w:rPr>
        <w:t>其他竞价供应商如可接受中标单价供货,将根据供应商须知“11.竞价人必须具备的资格及要求”第6条，本标段专项运输车辆数量作为依据评审，排序第一的为第一备供单位，排序第二的为第二备供单位，不</w:t>
      </w:r>
      <w:r>
        <w:rPr>
          <w:rFonts w:hint="eastAsia"/>
          <w:color w:val="auto"/>
          <w:sz w:val="24"/>
          <w:szCs w:val="24"/>
          <w:u w:val="single"/>
          <w:lang w:eastAsia="zh-CN"/>
        </w:rPr>
        <w:t>承诺主供单位及备供单位一定的供货份额，由供货单位自行进行价值评估和承担参与竞价所产生的费用及风险。</w:t>
      </w:r>
    </w:p>
    <w:bookmarkEnd w:id="31"/>
    <w:bookmarkEnd w:id="32"/>
    <w:bookmarkEnd w:id="33"/>
    <w:bookmarkEnd w:id="34"/>
    <w:p w14:paraId="36F69488">
      <w:pPr>
        <w:pStyle w:val="2"/>
        <w:spacing w:line="240" w:lineRule="auto"/>
        <w:rPr>
          <w:rFonts w:ascii="宋体" w:hAnsi="宋体" w:eastAsia="宋体" w:cs="宋体"/>
          <w:bCs/>
          <w:color w:val="auto"/>
          <w:kern w:val="44"/>
          <w:sz w:val="28"/>
          <w:szCs w:val="28"/>
          <w:lang w:eastAsia="zh-CN"/>
        </w:rPr>
      </w:pPr>
      <w:bookmarkStart w:id="35" w:name="bookmark176"/>
      <w:bookmarkStart w:id="36" w:name="_Toc31358"/>
      <w:bookmarkStart w:id="37" w:name="_Toc6575"/>
      <w:bookmarkStart w:id="38" w:name="bookmark174"/>
      <w:bookmarkStart w:id="39" w:name="bookmark175"/>
      <w:bookmarkStart w:id="40" w:name="_Toc174302043"/>
      <w:bookmarkStart w:id="41" w:name="_Toc31227"/>
      <w:r>
        <w:rPr>
          <w:rFonts w:hint="eastAsia" w:ascii="宋体" w:hAnsi="宋体" w:eastAsia="宋体" w:cs="宋体"/>
          <w:bCs/>
          <w:color w:val="auto"/>
          <w:kern w:val="44"/>
          <w:sz w:val="28"/>
          <w:szCs w:val="28"/>
          <w:lang w:eastAsia="zh-CN"/>
        </w:rPr>
        <w:t>3 供应商申请资格</w:t>
      </w:r>
      <w:bookmarkEnd w:id="35"/>
      <w:bookmarkEnd w:id="36"/>
      <w:bookmarkEnd w:id="37"/>
      <w:bookmarkEnd w:id="38"/>
      <w:bookmarkEnd w:id="39"/>
      <w:bookmarkEnd w:id="40"/>
      <w:r>
        <w:rPr>
          <w:rFonts w:hint="eastAsia" w:ascii="宋体" w:hAnsi="宋体" w:eastAsia="宋体" w:cs="宋体"/>
          <w:bCs/>
          <w:color w:val="auto"/>
          <w:kern w:val="44"/>
          <w:sz w:val="28"/>
          <w:szCs w:val="28"/>
          <w:lang w:eastAsia="zh-CN"/>
        </w:rPr>
        <w:t>条件</w:t>
      </w:r>
      <w:bookmarkEnd w:id="41"/>
    </w:p>
    <w:p w14:paraId="2CAD01DF">
      <w:pPr>
        <w:spacing w:line="360" w:lineRule="auto"/>
        <w:ind w:firstLine="480" w:firstLineChars="200"/>
        <w:rPr>
          <w:rFonts w:ascii="宋体" w:hAnsi="宋体" w:eastAsia="宋体" w:cs="宋体"/>
          <w:color w:val="auto"/>
          <w:lang w:eastAsia="zh-CN"/>
        </w:rPr>
      </w:pPr>
      <w:bookmarkStart w:id="42" w:name="_Toc174302044"/>
      <w:bookmarkStart w:id="43" w:name="_Toc867"/>
      <w:bookmarkStart w:id="44" w:name="_Toc11049"/>
      <w:bookmarkStart w:id="45" w:name="bookmark202"/>
      <w:bookmarkStart w:id="46" w:name="bookmark203"/>
      <w:bookmarkStart w:id="47" w:name="bookmark201"/>
      <w:r>
        <w:rPr>
          <w:rFonts w:hint="eastAsia" w:ascii="宋体" w:hAnsi="宋体" w:eastAsia="宋体" w:cs="宋体"/>
          <w:color w:val="auto"/>
          <w:lang w:eastAsia="zh-CN"/>
        </w:rPr>
        <w:t>3.1须为在中华人民共和国境内依法注册且具备独立法人资格的单位；</w:t>
      </w:r>
    </w:p>
    <w:p w14:paraId="042D8109">
      <w:pPr>
        <w:spacing w:line="360" w:lineRule="auto"/>
        <w:ind w:firstLine="480" w:firstLineChars="200"/>
        <w:rPr>
          <w:bCs/>
          <w:color w:val="auto"/>
          <w:lang w:eastAsia="zh-CN"/>
        </w:rPr>
      </w:pPr>
      <w:r>
        <w:rPr>
          <w:rFonts w:hint="eastAsia" w:ascii="宋体" w:hAnsi="宋体" w:eastAsia="宋体" w:cs="宋体"/>
          <w:color w:val="auto"/>
          <w:lang w:eastAsia="zh-CN"/>
        </w:rPr>
        <w:t>3.2营业执照以及提供前近两年(不含</w:t>
      </w:r>
      <w:r>
        <w:rPr>
          <w:rFonts w:hint="eastAsia" w:ascii="宋体" w:hAnsi="宋体" w:eastAsia="宋体" w:cs="宋体"/>
          <w:color w:val="auto"/>
          <w:lang w:val="en-US" w:eastAsia="zh-CN"/>
        </w:rPr>
        <w:t>竞价</w:t>
      </w:r>
      <w:r>
        <w:rPr>
          <w:rFonts w:hint="eastAsia" w:ascii="宋体" w:hAnsi="宋体" w:eastAsia="宋体" w:cs="宋体"/>
          <w:color w:val="auto"/>
          <w:lang w:eastAsia="zh-CN"/>
        </w:rPr>
        <w:t>当月，不得早于2023年6月30日)与碎石相关业绩(必须提供合同及对应发票等扫描件加盖竞价单位公章)；</w:t>
      </w:r>
    </w:p>
    <w:p w14:paraId="60BBF283">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3.3在竞价截止日不处于被责令停业、被吊销营业执照、被宣告破产、财产被接管、冻结等状态，不存在不符合法律法规规定的其他竞价资格条件的情形；</w:t>
      </w:r>
    </w:p>
    <w:p w14:paraId="255366EE">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3.4单位负责人为同一人或者存在控股、管理关系的不同单位，不得参加同一项目竞价；</w:t>
      </w:r>
    </w:p>
    <w:p w14:paraId="0BA07C0D">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3.5本项目不接受联合体，成交后不得转包和分包；</w:t>
      </w:r>
    </w:p>
    <w:p w14:paraId="26C3AC0E">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3.6 竞价人被“信用|中国”列入“重大税收违法失信主体”、“政府采购严重违法失信行为记录名单”的、被“中国执行信息公开网”列入“失信被执行人”(处罚期限尚未届满的)的，不得参与本项目的竞价;</w:t>
      </w:r>
    </w:p>
    <w:p w14:paraId="3BAC6ACE">
      <w:pPr>
        <w:pStyle w:val="2"/>
        <w:spacing w:line="240" w:lineRule="auto"/>
        <w:rPr>
          <w:rFonts w:ascii="宋体" w:hAnsi="宋体" w:eastAsia="宋体" w:cs="宋体"/>
          <w:bCs/>
          <w:color w:val="auto"/>
          <w:kern w:val="44"/>
          <w:sz w:val="28"/>
          <w:szCs w:val="28"/>
          <w:lang w:eastAsia="zh-CN"/>
        </w:rPr>
      </w:pPr>
      <w:bookmarkStart w:id="48" w:name="_Toc27185"/>
      <w:r>
        <w:rPr>
          <w:rFonts w:hint="eastAsia" w:ascii="宋体" w:hAnsi="宋体" w:eastAsia="宋体" w:cs="宋体"/>
          <w:bCs/>
          <w:color w:val="auto"/>
          <w:kern w:val="44"/>
          <w:sz w:val="28"/>
          <w:szCs w:val="28"/>
          <w:lang w:eastAsia="zh-CN"/>
        </w:rPr>
        <w:t>4 竞价保证金</w:t>
      </w:r>
      <w:bookmarkEnd w:id="42"/>
      <w:bookmarkEnd w:id="48"/>
    </w:p>
    <w:p w14:paraId="608A32E1">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rPr>
        <w:sym w:font="Wingdings" w:char="00A8"/>
      </w:r>
      <w:r>
        <w:rPr>
          <w:rFonts w:hint="eastAsia"/>
          <w:color w:val="auto"/>
          <w:sz w:val="24"/>
          <w:szCs w:val="24"/>
          <w:lang w:eastAsia="zh-CN"/>
        </w:rPr>
        <w:t>不</w:t>
      </w:r>
      <w:r>
        <w:rPr>
          <w:rFonts w:hint="eastAsia"/>
          <w:color w:val="auto"/>
          <w:sz w:val="24"/>
          <w:szCs w:val="24"/>
          <w:lang w:val="en-US" w:eastAsia="zh-CN"/>
        </w:rPr>
        <w:t xml:space="preserve">需要   </w:t>
      </w:r>
      <w:r>
        <w:rPr>
          <w:rFonts w:hint="eastAsia"/>
          <w:color w:val="auto"/>
          <w:sz w:val="24"/>
          <w:szCs w:val="24"/>
        </w:rPr>
        <w:sym w:font="Wingdings" w:char="00FE"/>
      </w:r>
      <w:r>
        <w:rPr>
          <w:rFonts w:hint="eastAsia"/>
          <w:color w:val="auto"/>
          <w:sz w:val="24"/>
          <w:szCs w:val="24"/>
          <w:lang w:val="en-US" w:eastAsia="zh-CN"/>
        </w:rPr>
        <w:t>需要</w:t>
      </w:r>
    </w:p>
    <w:p w14:paraId="30CEDDF8">
      <w:pPr>
        <w:pStyle w:val="2"/>
        <w:spacing w:line="240" w:lineRule="auto"/>
        <w:rPr>
          <w:rFonts w:ascii="宋体" w:hAnsi="宋体" w:eastAsia="宋体" w:cs="宋体"/>
          <w:bCs/>
          <w:color w:val="auto"/>
          <w:kern w:val="44"/>
          <w:sz w:val="28"/>
          <w:szCs w:val="28"/>
          <w:lang w:eastAsia="zh-CN"/>
        </w:rPr>
      </w:pPr>
      <w:bookmarkStart w:id="49" w:name="_Toc174302045"/>
      <w:bookmarkStart w:id="50" w:name="_Toc30537"/>
      <w:r>
        <w:rPr>
          <w:rFonts w:hint="eastAsia" w:ascii="宋体" w:hAnsi="宋体" w:eastAsia="宋体" w:cs="宋体"/>
          <w:bCs/>
          <w:color w:val="auto"/>
          <w:kern w:val="44"/>
          <w:sz w:val="28"/>
          <w:szCs w:val="28"/>
          <w:lang w:eastAsia="zh-CN"/>
        </w:rPr>
        <w:t>5 确定成交供应商的方法</w:t>
      </w:r>
      <w:bookmarkEnd w:id="49"/>
      <w:bookmarkEnd w:id="50"/>
    </w:p>
    <w:p w14:paraId="0B265315">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eastAsia="zh-CN"/>
        </w:rPr>
        <w:t>5.1 电子竞价平台自动按照价格</w:t>
      </w:r>
      <w:r>
        <w:rPr>
          <w:rFonts w:hint="eastAsia"/>
          <w:color w:val="auto"/>
          <w:sz w:val="24"/>
          <w:szCs w:val="24"/>
          <w:u w:val="single"/>
          <w:lang w:eastAsia="zh-CN"/>
        </w:rPr>
        <w:t>由低至高</w:t>
      </w:r>
      <w:r>
        <w:rPr>
          <w:rFonts w:hint="eastAsia"/>
          <w:color w:val="auto"/>
          <w:sz w:val="24"/>
          <w:szCs w:val="24"/>
          <w:lang w:eastAsia="zh-CN"/>
        </w:rPr>
        <w:t>对供应商进行排序，并推荐候选成交供应商</w:t>
      </w:r>
      <w:r>
        <w:rPr>
          <w:rFonts w:hint="eastAsia"/>
          <w:color w:val="auto"/>
          <w:sz w:val="24"/>
          <w:szCs w:val="24"/>
          <w:lang w:val="en-US" w:eastAsia="zh-CN"/>
        </w:rPr>
        <w:t>名单</w:t>
      </w:r>
      <w:r>
        <w:rPr>
          <w:rFonts w:hint="eastAsia"/>
          <w:color w:val="auto"/>
          <w:sz w:val="24"/>
          <w:szCs w:val="24"/>
          <w:lang w:eastAsia="zh-CN"/>
        </w:rPr>
        <w:t>。</w:t>
      </w:r>
    </w:p>
    <w:p w14:paraId="584DF3E4">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eastAsia="zh-CN"/>
        </w:rPr>
        <w:t>5.2 釆购人应当确定排名第一的候选成交供应商为成交供应商。若排名第一的候选成交供应商未通过履约能力和价格核查，采购人应按电子竞价平台推荐的名单排序依次确定其他候选成交供应商为成交供应商。</w:t>
      </w:r>
    </w:p>
    <w:p w14:paraId="41925290">
      <w:pPr>
        <w:pStyle w:val="2"/>
        <w:spacing w:line="240" w:lineRule="auto"/>
        <w:rPr>
          <w:rFonts w:ascii="宋体" w:hAnsi="宋体" w:eastAsia="宋体" w:cs="宋体"/>
          <w:bCs/>
          <w:color w:val="auto"/>
          <w:kern w:val="44"/>
          <w:sz w:val="28"/>
          <w:szCs w:val="28"/>
          <w:lang w:eastAsia="zh-CN"/>
        </w:rPr>
      </w:pPr>
      <w:bookmarkStart w:id="51" w:name="_Toc9223"/>
      <w:bookmarkStart w:id="52" w:name="_Toc174302047"/>
      <w:r>
        <w:rPr>
          <w:rFonts w:hint="eastAsia" w:ascii="宋体" w:hAnsi="宋体" w:eastAsia="宋体" w:cs="宋体"/>
          <w:bCs/>
          <w:color w:val="auto"/>
          <w:kern w:val="44"/>
          <w:sz w:val="28"/>
          <w:szCs w:val="28"/>
          <w:lang w:eastAsia="zh-CN"/>
        </w:rPr>
        <w:t>6 电子竞价平台注册及资格申请</w:t>
      </w:r>
      <w:bookmarkEnd w:id="51"/>
      <w:bookmarkEnd w:id="52"/>
    </w:p>
    <w:p w14:paraId="257624E6">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6</w:t>
      </w:r>
      <w:r>
        <w:rPr>
          <w:rFonts w:hint="eastAsia"/>
          <w:color w:val="auto"/>
          <w:sz w:val="24"/>
          <w:szCs w:val="24"/>
          <w:lang w:eastAsia="zh-CN"/>
        </w:rPr>
        <w:t>.1 参加竞价采购活动前，供应商应当在精彩纵横云采购平台网站（网址：https://www.yingcaicheng.com)按规定完成注册。</w:t>
      </w:r>
    </w:p>
    <w:p w14:paraId="40724314">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6</w:t>
      </w:r>
      <w:r>
        <w:rPr>
          <w:rFonts w:hint="eastAsia"/>
          <w:color w:val="auto"/>
          <w:sz w:val="24"/>
          <w:szCs w:val="24"/>
          <w:lang w:eastAsia="zh-CN"/>
        </w:rPr>
        <w:t xml:space="preserve">.2 </w:t>
      </w:r>
      <w:r>
        <w:rPr>
          <w:rFonts w:hint="eastAsia"/>
          <w:color w:val="auto"/>
          <w:sz w:val="24"/>
          <w:szCs w:val="24"/>
        </w:rPr>
        <w:t>有意向的</w:t>
      </w:r>
      <w:r>
        <w:rPr>
          <w:rFonts w:hint="eastAsia"/>
          <w:color w:val="auto"/>
          <w:sz w:val="24"/>
          <w:szCs w:val="24"/>
          <w:lang w:eastAsia="zh-CN"/>
        </w:rPr>
        <w:t>供应商</w:t>
      </w:r>
      <w:r>
        <w:rPr>
          <w:rFonts w:hint="eastAsia"/>
          <w:color w:val="auto"/>
          <w:sz w:val="24"/>
          <w:szCs w:val="24"/>
          <w:lang w:val="en-US" w:eastAsia="zh-CN"/>
        </w:rPr>
        <w:t>请</w:t>
      </w:r>
      <w:r>
        <w:rPr>
          <w:rFonts w:hint="eastAsia"/>
          <w:color w:val="auto"/>
          <w:sz w:val="24"/>
          <w:szCs w:val="24"/>
          <w:lang w:eastAsia="zh-CN"/>
        </w:rPr>
        <w:t>于</w:t>
      </w:r>
      <w:r>
        <w:rPr>
          <w:rFonts w:hint="eastAsia"/>
          <w:color w:val="auto"/>
          <w:sz w:val="24"/>
          <w:szCs w:val="24"/>
          <w:lang w:val="en-US" w:eastAsia="zh-CN"/>
        </w:rPr>
        <w:t>2025年7月15日01:00时至2025年7月17日24时</w:t>
      </w:r>
      <w:r>
        <w:rPr>
          <w:rFonts w:hint="eastAsia"/>
          <w:color w:val="auto"/>
          <w:sz w:val="24"/>
          <w:szCs w:val="24"/>
          <w:lang w:eastAsia="zh-CN"/>
        </w:rPr>
        <w:t>，登录精彩纵横云采购平台网站（网址：https://www.yingcaicheng.com)填写相关信息，递交资格申请资料。供应商资格申请</w:t>
      </w:r>
      <w:r>
        <w:rPr>
          <w:rFonts w:hint="eastAsia"/>
          <w:color w:val="auto"/>
          <w:sz w:val="24"/>
          <w:szCs w:val="24"/>
          <w:lang w:val="en-US" w:eastAsia="zh-CN"/>
        </w:rPr>
        <w:t>经采购人审核通过</w:t>
      </w:r>
      <w:r>
        <w:rPr>
          <w:rFonts w:hint="eastAsia"/>
          <w:color w:val="auto"/>
          <w:sz w:val="24"/>
          <w:szCs w:val="24"/>
          <w:lang w:eastAsia="zh-CN"/>
        </w:rPr>
        <w:t>后，方可</w:t>
      </w:r>
      <w:r>
        <w:rPr>
          <w:rFonts w:hint="eastAsia"/>
          <w:color w:val="auto"/>
          <w:sz w:val="24"/>
          <w:szCs w:val="24"/>
          <w:lang w:val="en-US" w:eastAsia="zh-CN"/>
        </w:rPr>
        <w:t>获取竞价文件及</w:t>
      </w:r>
      <w:r>
        <w:rPr>
          <w:rFonts w:hint="eastAsia"/>
          <w:color w:val="auto"/>
          <w:sz w:val="24"/>
          <w:szCs w:val="24"/>
          <w:lang w:eastAsia="zh-CN"/>
        </w:rPr>
        <w:t>参与本次竞价</w:t>
      </w:r>
      <w:r>
        <w:rPr>
          <w:rFonts w:hint="eastAsia"/>
          <w:color w:val="auto"/>
          <w:sz w:val="24"/>
          <w:szCs w:val="24"/>
          <w:lang w:val="en-US" w:eastAsia="zh-CN"/>
        </w:rPr>
        <w:t>活动</w:t>
      </w:r>
      <w:r>
        <w:rPr>
          <w:rFonts w:hint="eastAsia"/>
          <w:color w:val="auto"/>
          <w:sz w:val="24"/>
          <w:szCs w:val="24"/>
          <w:lang w:eastAsia="zh-CN"/>
        </w:rPr>
        <w:t>。</w:t>
      </w:r>
    </w:p>
    <w:p w14:paraId="7A842097">
      <w:pPr>
        <w:pStyle w:val="39"/>
        <w:tabs>
          <w:tab w:val="left" w:pos="9029"/>
        </w:tabs>
        <w:spacing w:line="360" w:lineRule="auto"/>
        <w:ind w:firstLine="480" w:firstLineChars="200"/>
        <w:jc w:val="both"/>
        <w:rPr>
          <w:b/>
          <w:bCs/>
          <w:color w:val="auto"/>
          <w:sz w:val="24"/>
          <w:szCs w:val="24"/>
        </w:rPr>
      </w:pPr>
      <w:r>
        <w:rPr>
          <w:rFonts w:hint="eastAsia"/>
          <w:color w:val="auto"/>
          <w:sz w:val="24"/>
          <w:szCs w:val="24"/>
          <w:lang w:val="en-US"/>
        </w:rPr>
        <w:t>6</w:t>
      </w:r>
      <w:r>
        <w:rPr>
          <w:rFonts w:hint="eastAsia"/>
          <w:color w:val="auto"/>
          <w:sz w:val="24"/>
          <w:szCs w:val="24"/>
        </w:rPr>
        <w:t>.3 釆购文件的获取：</w:t>
      </w:r>
      <w:r>
        <w:rPr>
          <w:rFonts w:hint="eastAsia"/>
          <w:color w:val="auto"/>
          <w:sz w:val="24"/>
          <w:szCs w:val="24"/>
          <w:lang w:val="en-US"/>
        </w:rPr>
        <w:t>竞价开始时间前，供应商</w:t>
      </w:r>
      <w:r>
        <w:rPr>
          <w:rFonts w:hint="eastAsia"/>
          <w:color w:val="auto"/>
          <w:sz w:val="24"/>
          <w:szCs w:val="24"/>
        </w:rPr>
        <w:t>登录精彩纵横云采购平台网站（网址：https://www.yingcaicheng.com)公告查看页面点击“立即参与”</w:t>
      </w:r>
      <w:r>
        <w:rPr>
          <w:rFonts w:hint="eastAsia"/>
          <w:b/>
          <w:bCs/>
          <w:color w:val="auto"/>
          <w:sz w:val="24"/>
          <w:szCs w:val="24"/>
        </w:rPr>
        <w:t>，缴纳平台使用费</w:t>
      </w:r>
      <w:r>
        <w:rPr>
          <w:rFonts w:hint="eastAsia"/>
          <w:b/>
          <w:bCs/>
          <w:color w:val="auto"/>
          <w:sz w:val="24"/>
          <w:szCs w:val="24"/>
          <w:u w:val="single"/>
          <w:lang w:val="en-US"/>
        </w:rPr>
        <w:t>0</w:t>
      </w:r>
      <w:r>
        <w:rPr>
          <w:rFonts w:hint="eastAsia"/>
          <w:b/>
          <w:bCs/>
          <w:color w:val="auto"/>
          <w:sz w:val="24"/>
          <w:szCs w:val="24"/>
        </w:rPr>
        <w:t>元，获取电子采购文件及其它资料。</w:t>
      </w:r>
    </w:p>
    <w:p w14:paraId="39E34840">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6</w:t>
      </w:r>
      <w:r>
        <w:rPr>
          <w:rFonts w:hint="eastAsia"/>
          <w:color w:val="auto"/>
          <w:sz w:val="24"/>
          <w:szCs w:val="24"/>
          <w:lang w:eastAsia="zh-CN"/>
        </w:rPr>
        <w:t>.4 供应商对本竞价</w:t>
      </w:r>
      <w:r>
        <w:rPr>
          <w:rFonts w:hint="eastAsia"/>
          <w:color w:val="auto"/>
          <w:sz w:val="24"/>
          <w:szCs w:val="24"/>
          <w:lang w:val="en-US" w:eastAsia="zh-CN"/>
        </w:rPr>
        <w:t>采购</w:t>
      </w:r>
      <w:r>
        <w:rPr>
          <w:rFonts w:hint="eastAsia"/>
          <w:color w:val="auto"/>
          <w:sz w:val="24"/>
          <w:szCs w:val="24"/>
          <w:lang w:eastAsia="zh-CN"/>
        </w:rPr>
        <w:t>项目</w:t>
      </w:r>
      <w:r>
        <w:rPr>
          <w:rFonts w:hint="eastAsia"/>
          <w:color w:val="auto"/>
          <w:sz w:val="24"/>
          <w:szCs w:val="24"/>
          <w:lang w:val="en-US" w:eastAsia="zh-CN"/>
        </w:rPr>
        <w:t>的</w:t>
      </w:r>
      <w:r>
        <w:rPr>
          <w:rFonts w:hint="eastAsia"/>
          <w:color w:val="auto"/>
          <w:sz w:val="24"/>
          <w:szCs w:val="24"/>
          <w:lang w:eastAsia="zh-CN"/>
        </w:rPr>
        <w:t>采购需求、</w:t>
      </w:r>
      <w:r>
        <w:rPr>
          <w:rFonts w:hint="eastAsia"/>
          <w:color w:val="auto"/>
          <w:sz w:val="24"/>
          <w:szCs w:val="24"/>
          <w:lang w:val="en-US" w:eastAsia="zh-CN"/>
        </w:rPr>
        <w:t>申请</w:t>
      </w:r>
      <w:r>
        <w:rPr>
          <w:rFonts w:hint="eastAsia"/>
          <w:color w:val="auto"/>
          <w:sz w:val="24"/>
          <w:szCs w:val="24"/>
          <w:lang w:eastAsia="zh-CN"/>
        </w:rPr>
        <w:t>资格</w:t>
      </w:r>
      <w:r>
        <w:rPr>
          <w:rFonts w:hint="eastAsia"/>
          <w:color w:val="auto"/>
          <w:sz w:val="24"/>
          <w:szCs w:val="24"/>
          <w:lang w:val="en-US" w:eastAsia="zh-CN"/>
        </w:rPr>
        <w:t>条件</w:t>
      </w:r>
      <w:r>
        <w:rPr>
          <w:rFonts w:hint="eastAsia"/>
          <w:color w:val="auto"/>
          <w:sz w:val="24"/>
          <w:szCs w:val="24"/>
          <w:lang w:eastAsia="zh-CN"/>
        </w:rPr>
        <w:t>等</w:t>
      </w:r>
      <w:r>
        <w:rPr>
          <w:rFonts w:hint="eastAsia"/>
          <w:color w:val="auto"/>
          <w:sz w:val="24"/>
          <w:szCs w:val="24"/>
          <w:lang w:val="en-US" w:eastAsia="zh-CN"/>
        </w:rPr>
        <w:t>存</w:t>
      </w:r>
      <w:r>
        <w:rPr>
          <w:rFonts w:hint="eastAsia"/>
          <w:color w:val="auto"/>
          <w:sz w:val="24"/>
          <w:szCs w:val="24"/>
          <w:lang w:eastAsia="zh-CN"/>
        </w:rPr>
        <w:t>疑的，应当于</w:t>
      </w:r>
      <w:r>
        <w:rPr>
          <w:rFonts w:hint="eastAsia"/>
          <w:color w:val="auto"/>
          <w:sz w:val="24"/>
          <w:szCs w:val="24"/>
          <w:u w:val="single"/>
          <w:lang w:val="en-US" w:eastAsia="zh-CN"/>
        </w:rPr>
        <w:t>2025</w:t>
      </w:r>
      <w:r>
        <w:rPr>
          <w:rFonts w:hint="eastAsia"/>
          <w:color w:val="auto"/>
          <w:sz w:val="24"/>
          <w:szCs w:val="24"/>
        </w:rPr>
        <w:t>年</w:t>
      </w:r>
      <w:r>
        <w:rPr>
          <w:rFonts w:hint="eastAsia"/>
          <w:color w:val="auto"/>
          <w:sz w:val="24"/>
          <w:szCs w:val="24"/>
          <w:u w:val="single"/>
          <w:lang w:val="en-US" w:eastAsia="zh-CN"/>
        </w:rPr>
        <w:t>7</w:t>
      </w:r>
      <w:r>
        <w:rPr>
          <w:rFonts w:hint="eastAsia"/>
          <w:color w:val="auto"/>
          <w:sz w:val="24"/>
          <w:szCs w:val="24"/>
        </w:rPr>
        <w:t>月</w:t>
      </w:r>
      <w:r>
        <w:rPr>
          <w:rFonts w:hint="eastAsia"/>
          <w:color w:val="auto"/>
          <w:sz w:val="24"/>
          <w:szCs w:val="24"/>
          <w:u w:val="single"/>
          <w:lang w:val="en-US" w:eastAsia="zh-CN"/>
        </w:rPr>
        <w:t>17</w:t>
      </w:r>
      <w:r>
        <w:rPr>
          <w:rFonts w:hint="eastAsia"/>
          <w:color w:val="auto"/>
          <w:sz w:val="24"/>
          <w:szCs w:val="24"/>
        </w:rPr>
        <w:t>日</w:t>
      </w:r>
      <w:r>
        <w:rPr>
          <w:rFonts w:hint="eastAsia"/>
          <w:color w:val="auto"/>
          <w:sz w:val="24"/>
          <w:szCs w:val="24"/>
          <w:u w:val="single"/>
          <w:lang w:val="en-US" w:eastAsia="zh-CN"/>
        </w:rPr>
        <w:t>17</w:t>
      </w:r>
      <w:bookmarkStart w:id="476" w:name="_GoBack"/>
      <w:bookmarkEnd w:id="476"/>
      <w:r>
        <w:rPr>
          <w:rFonts w:hint="eastAsia"/>
          <w:color w:val="auto"/>
          <w:sz w:val="24"/>
          <w:szCs w:val="24"/>
        </w:rPr>
        <w:t>时</w:t>
      </w:r>
      <w:r>
        <w:rPr>
          <w:rFonts w:hint="eastAsia"/>
          <w:color w:val="auto"/>
          <w:sz w:val="24"/>
          <w:szCs w:val="24"/>
          <w:lang w:eastAsia="zh-CN"/>
        </w:rPr>
        <w:t>前通过电子竞价平台向采购人提岀澄清要求。</w:t>
      </w:r>
    </w:p>
    <w:p w14:paraId="5F57A1C7">
      <w:pPr>
        <w:pStyle w:val="2"/>
        <w:spacing w:line="240" w:lineRule="auto"/>
        <w:rPr>
          <w:rFonts w:ascii="宋体" w:hAnsi="宋体" w:eastAsia="宋体" w:cs="宋体"/>
          <w:bCs/>
          <w:color w:val="auto"/>
          <w:kern w:val="44"/>
          <w:sz w:val="28"/>
          <w:szCs w:val="28"/>
          <w:lang w:eastAsia="zh-CN"/>
        </w:rPr>
      </w:pPr>
      <w:bookmarkStart w:id="53" w:name="_Toc6706"/>
      <w:bookmarkStart w:id="54" w:name="_Toc174302048"/>
      <w:r>
        <w:rPr>
          <w:rFonts w:hint="eastAsia" w:ascii="宋体" w:hAnsi="宋体" w:eastAsia="宋体" w:cs="宋体"/>
          <w:bCs/>
          <w:color w:val="auto"/>
          <w:kern w:val="44"/>
          <w:sz w:val="28"/>
          <w:szCs w:val="28"/>
          <w:lang w:eastAsia="zh-CN"/>
        </w:rPr>
        <w:t>7 竞价时间及竞价规则</w:t>
      </w:r>
      <w:bookmarkEnd w:id="53"/>
      <w:bookmarkEnd w:id="54"/>
    </w:p>
    <w:p w14:paraId="3FE64A07">
      <w:pPr>
        <w:pStyle w:val="39"/>
        <w:tabs>
          <w:tab w:val="left" w:pos="9029"/>
        </w:tabs>
        <w:spacing w:line="360" w:lineRule="auto"/>
        <w:ind w:firstLine="480" w:firstLineChars="200"/>
        <w:jc w:val="both"/>
        <w:rPr>
          <w:color w:val="auto"/>
          <w:sz w:val="24"/>
          <w:szCs w:val="24"/>
          <w:lang w:val="en-US" w:eastAsia="zh-CN"/>
        </w:rPr>
      </w:pPr>
      <w:r>
        <w:rPr>
          <w:rFonts w:hint="eastAsia"/>
          <w:color w:val="auto"/>
          <w:sz w:val="24"/>
          <w:szCs w:val="24"/>
          <w:lang w:val="en-US" w:eastAsia="zh-CN"/>
        </w:rPr>
        <w:t>7.1 竞价开始时间为</w:t>
      </w:r>
      <w:r>
        <w:rPr>
          <w:rFonts w:hint="eastAsia"/>
          <w:color w:val="auto"/>
          <w:sz w:val="24"/>
          <w:szCs w:val="24"/>
          <w:u w:val="single"/>
          <w:lang w:val="en-US" w:eastAsia="zh-CN"/>
        </w:rPr>
        <w:t>2025年7月18日14时30分</w:t>
      </w:r>
      <w:r>
        <w:rPr>
          <w:rFonts w:hint="eastAsia"/>
          <w:color w:val="auto"/>
          <w:sz w:val="24"/>
          <w:szCs w:val="24"/>
          <w:lang w:val="en-US" w:eastAsia="zh-CN"/>
        </w:rPr>
        <w:t>。</w:t>
      </w:r>
    </w:p>
    <w:p w14:paraId="00B2B641">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7.2 竞价截止时间为</w:t>
      </w:r>
      <w:r>
        <w:rPr>
          <w:rFonts w:hint="eastAsia"/>
          <w:color w:val="auto"/>
          <w:sz w:val="24"/>
          <w:szCs w:val="24"/>
          <w:u w:val="single"/>
          <w:lang w:val="en-US" w:eastAsia="zh-CN"/>
        </w:rPr>
        <w:t>2025年7月18日15时00分</w:t>
      </w:r>
      <w:r>
        <w:rPr>
          <w:rFonts w:hint="eastAsia"/>
          <w:color w:val="auto"/>
          <w:sz w:val="24"/>
          <w:szCs w:val="24"/>
          <w:lang w:val="en-US" w:eastAsia="zh-CN"/>
        </w:rPr>
        <w:t>。</w:t>
      </w:r>
    </w:p>
    <w:p w14:paraId="63068892">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7</w:t>
      </w:r>
      <w:r>
        <w:rPr>
          <w:rFonts w:hint="eastAsia"/>
          <w:color w:val="auto"/>
          <w:sz w:val="24"/>
          <w:szCs w:val="24"/>
          <w:lang w:eastAsia="zh-CN"/>
        </w:rPr>
        <w:t>.3 报价方式：</w:t>
      </w:r>
      <w:r>
        <w:rPr>
          <w:rFonts w:hint="eastAsia"/>
          <w:color w:val="auto"/>
          <w:sz w:val="24"/>
          <w:szCs w:val="24"/>
          <w:lang w:eastAsia="zh-CN"/>
        </w:rPr>
        <w:sym w:font="Wingdings" w:char="00FE"/>
      </w:r>
      <w:r>
        <w:rPr>
          <w:rFonts w:hint="eastAsia"/>
          <w:color w:val="auto"/>
          <w:sz w:val="24"/>
          <w:szCs w:val="24"/>
          <w:lang w:eastAsia="zh-CN"/>
        </w:rPr>
        <w:t>含税价</w:t>
      </w:r>
      <w:r>
        <w:rPr>
          <w:rFonts w:hint="eastAsia"/>
          <w:color w:val="auto"/>
          <w:sz w:val="24"/>
          <w:szCs w:val="24"/>
          <w:lang w:val="en-US" w:eastAsia="zh-CN"/>
        </w:rPr>
        <w:t xml:space="preserve">  </w:t>
      </w:r>
      <w:r>
        <w:rPr>
          <w:rFonts w:hint="eastAsia"/>
          <w:color w:val="auto"/>
          <w:sz w:val="24"/>
          <w:szCs w:val="24"/>
          <w:lang w:eastAsia="zh-CN"/>
        </w:rPr>
        <w:sym w:font="Wingdings" w:char="00A8"/>
      </w:r>
      <w:r>
        <w:rPr>
          <w:rFonts w:hint="eastAsia"/>
          <w:color w:val="auto"/>
          <w:sz w:val="24"/>
          <w:szCs w:val="24"/>
          <w:lang w:eastAsia="zh-CN"/>
        </w:rPr>
        <w:t>不含税价</w:t>
      </w:r>
    </w:p>
    <w:p w14:paraId="0CB22249">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7</w:t>
      </w:r>
      <w:r>
        <w:rPr>
          <w:rFonts w:hint="eastAsia"/>
          <w:color w:val="auto"/>
          <w:sz w:val="24"/>
          <w:szCs w:val="24"/>
          <w:lang w:eastAsia="zh-CN"/>
        </w:rPr>
        <w:t>.4 起始价:</w:t>
      </w:r>
      <w:r>
        <w:rPr>
          <w:rFonts w:hint="eastAsia" w:ascii="宋体" w:hAnsi="宋体" w:eastAsia="宋体" w:cs="宋体"/>
          <w:color w:val="auto"/>
          <w:u w:val="single"/>
          <w:lang w:eastAsia="zh-CN"/>
        </w:rPr>
        <w:t>7</w:t>
      </w:r>
      <w:r>
        <w:rPr>
          <w:rFonts w:hint="eastAsia" w:ascii="宋体" w:hAnsi="宋体" w:eastAsia="宋体" w:cs="宋体"/>
          <w:color w:val="auto"/>
          <w:u w:val="single"/>
          <w:lang w:val="en-US" w:eastAsia="zh-CN"/>
        </w:rPr>
        <w:t>2</w:t>
      </w:r>
      <w:r>
        <w:rPr>
          <w:rFonts w:hint="eastAsia" w:ascii="宋体" w:hAnsi="宋体" w:eastAsia="宋体" w:cs="宋体"/>
          <w:color w:val="auto"/>
          <w:u w:val="single"/>
          <w:lang w:eastAsia="zh-CN"/>
        </w:rPr>
        <w:t>.4</w:t>
      </w:r>
      <w:r>
        <w:rPr>
          <w:rFonts w:hint="eastAsia"/>
          <w:color w:val="auto"/>
          <w:sz w:val="24"/>
          <w:szCs w:val="24"/>
          <w:u w:val="none"/>
          <w:lang w:val="en-US" w:eastAsia="zh-CN"/>
        </w:rPr>
        <w:t>元</w:t>
      </w:r>
      <w:r>
        <w:rPr>
          <w:rFonts w:hint="eastAsia"/>
          <w:color w:val="auto"/>
          <w:sz w:val="24"/>
          <w:szCs w:val="24"/>
          <w:lang w:eastAsia="zh-CN"/>
        </w:rPr>
        <w:t xml:space="preserve">         </w:t>
      </w:r>
    </w:p>
    <w:p w14:paraId="28D9EFE9">
      <w:pPr>
        <w:pStyle w:val="39"/>
        <w:tabs>
          <w:tab w:val="left" w:pos="9029"/>
        </w:tabs>
        <w:spacing w:line="360" w:lineRule="auto"/>
        <w:ind w:firstLine="480" w:firstLineChars="200"/>
        <w:jc w:val="both"/>
        <w:rPr>
          <w:color w:val="auto"/>
          <w:sz w:val="24"/>
          <w:szCs w:val="24"/>
          <w:lang w:eastAsia="zh-CN"/>
        </w:rPr>
      </w:pPr>
      <w:bookmarkStart w:id="55" w:name="bookmark1381"/>
      <w:bookmarkStart w:id="56" w:name="bookmark1380"/>
      <w:bookmarkStart w:id="57" w:name="_Toc174302049"/>
      <w:bookmarkStart w:id="58" w:name="bookmark1382"/>
      <w:r>
        <w:rPr>
          <w:rFonts w:hint="eastAsia"/>
          <w:color w:val="auto"/>
          <w:sz w:val="24"/>
          <w:szCs w:val="24"/>
          <w:lang w:val="en-US" w:eastAsia="zh-CN"/>
        </w:rPr>
        <w:t>7</w:t>
      </w: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 xml:space="preserve"> </w:t>
      </w:r>
      <w:r>
        <w:rPr>
          <w:rFonts w:hint="eastAsia"/>
          <w:color w:val="auto"/>
          <w:sz w:val="24"/>
          <w:szCs w:val="24"/>
          <w:lang w:val="en-US" w:eastAsia="zh-CN"/>
        </w:rPr>
        <w:t>降</w:t>
      </w:r>
      <w:r>
        <w:rPr>
          <w:rFonts w:hint="eastAsia"/>
          <w:color w:val="auto"/>
          <w:sz w:val="24"/>
          <w:szCs w:val="24"/>
          <w:lang w:eastAsia="zh-CN"/>
        </w:rPr>
        <w:t>价最小幅度:</w:t>
      </w:r>
      <w:r>
        <w:rPr>
          <w:color w:val="auto"/>
        </w:rPr>
        <w:t xml:space="preserve"> </w:t>
      </w:r>
      <w:r>
        <w:rPr>
          <w:rFonts w:hint="eastAsia"/>
          <w:color w:val="auto"/>
          <w:sz w:val="24"/>
          <w:szCs w:val="24"/>
          <w:lang w:val="en-US" w:eastAsia="zh-CN"/>
        </w:rPr>
        <w:t>0.1</w:t>
      </w:r>
      <w:r>
        <w:rPr>
          <w:rFonts w:hint="eastAsia"/>
          <w:color w:val="auto"/>
          <w:sz w:val="24"/>
          <w:szCs w:val="24"/>
          <w:lang w:eastAsia="zh-CN"/>
        </w:rPr>
        <w:t>元人民币</w:t>
      </w:r>
    </w:p>
    <w:p w14:paraId="4BD5899F">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7</w:t>
      </w: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 xml:space="preserve"> 竞价时长:</w:t>
      </w:r>
      <w:r>
        <w:rPr>
          <w:rFonts w:hint="eastAsia"/>
          <w:color w:val="auto"/>
          <w:sz w:val="24"/>
          <w:szCs w:val="24"/>
          <w:lang w:val="en-US" w:eastAsia="zh-CN"/>
        </w:rPr>
        <w:t>20</w:t>
      </w:r>
      <w:r>
        <w:rPr>
          <w:rFonts w:hint="eastAsia"/>
          <w:color w:val="auto"/>
          <w:sz w:val="24"/>
          <w:szCs w:val="24"/>
          <w:lang w:eastAsia="zh-CN"/>
        </w:rPr>
        <w:t>分钟</w:t>
      </w:r>
    </w:p>
    <w:p w14:paraId="5A0D79A5">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7</w:t>
      </w:r>
      <w:r>
        <w:rPr>
          <w:rFonts w:hint="eastAsia"/>
          <w:color w:val="auto"/>
          <w:sz w:val="24"/>
          <w:szCs w:val="24"/>
          <w:lang w:eastAsia="zh-CN"/>
        </w:rPr>
        <w:t>.</w:t>
      </w:r>
      <w:r>
        <w:rPr>
          <w:rFonts w:hint="eastAsia"/>
          <w:color w:val="auto"/>
          <w:sz w:val="24"/>
          <w:szCs w:val="24"/>
          <w:lang w:val="en-US" w:eastAsia="zh-CN"/>
        </w:rPr>
        <w:t>7</w:t>
      </w:r>
      <w:r>
        <w:rPr>
          <w:rFonts w:hint="eastAsia"/>
          <w:color w:val="auto"/>
          <w:sz w:val="24"/>
          <w:szCs w:val="24"/>
          <w:lang w:eastAsia="zh-CN"/>
        </w:rPr>
        <w:t xml:space="preserve"> 超时竞价延长:</w:t>
      </w:r>
      <w:r>
        <w:rPr>
          <w:rFonts w:hint="eastAsia"/>
          <w:color w:val="auto"/>
          <w:sz w:val="24"/>
          <w:szCs w:val="24"/>
          <w:lang w:val="en-US" w:eastAsia="zh-CN"/>
        </w:rPr>
        <w:t>2</w:t>
      </w:r>
      <w:r>
        <w:rPr>
          <w:rFonts w:hint="eastAsia"/>
          <w:color w:val="auto"/>
          <w:sz w:val="24"/>
          <w:szCs w:val="24"/>
          <w:lang w:eastAsia="zh-CN"/>
        </w:rPr>
        <w:t xml:space="preserve"> 分钟</w:t>
      </w:r>
    </w:p>
    <w:p w14:paraId="52008376">
      <w:pPr>
        <w:pStyle w:val="39"/>
        <w:tabs>
          <w:tab w:val="left" w:pos="9029"/>
        </w:tabs>
        <w:spacing w:line="360" w:lineRule="auto"/>
        <w:ind w:firstLine="480" w:firstLineChars="200"/>
        <w:jc w:val="both"/>
        <w:rPr>
          <w:color w:val="auto"/>
          <w:sz w:val="24"/>
          <w:szCs w:val="24"/>
          <w:lang w:val="en-US" w:eastAsia="zh-CN"/>
        </w:rPr>
      </w:pPr>
      <w:r>
        <w:rPr>
          <w:rFonts w:hint="eastAsia"/>
          <w:color w:val="auto"/>
          <w:sz w:val="24"/>
          <w:szCs w:val="24"/>
          <w:lang w:val="en-US" w:eastAsia="zh-CN"/>
        </w:rPr>
        <w:t>7.8 总延长时间:10分钟</w:t>
      </w:r>
    </w:p>
    <w:p w14:paraId="78C01B82">
      <w:pPr>
        <w:pStyle w:val="2"/>
        <w:spacing w:line="240" w:lineRule="auto"/>
        <w:rPr>
          <w:rFonts w:ascii="宋体" w:hAnsi="宋体" w:eastAsia="宋体" w:cs="宋体"/>
          <w:bCs/>
          <w:color w:val="auto"/>
          <w:kern w:val="44"/>
          <w:sz w:val="28"/>
          <w:szCs w:val="28"/>
          <w:lang w:eastAsia="zh-CN"/>
        </w:rPr>
      </w:pPr>
      <w:bookmarkStart w:id="59" w:name="_Toc6446"/>
      <w:r>
        <w:rPr>
          <w:rFonts w:hint="eastAsia" w:ascii="宋体" w:hAnsi="宋体" w:eastAsia="宋体" w:cs="宋体"/>
          <w:bCs/>
          <w:color w:val="auto"/>
          <w:kern w:val="44"/>
          <w:sz w:val="28"/>
          <w:szCs w:val="28"/>
          <w:lang w:eastAsia="zh-CN"/>
        </w:rPr>
        <w:t>8 项目公告和公示</w:t>
      </w:r>
      <w:bookmarkEnd w:id="55"/>
      <w:bookmarkEnd w:id="56"/>
      <w:bookmarkEnd w:id="57"/>
      <w:bookmarkEnd w:id="58"/>
      <w:bookmarkEnd w:id="59"/>
    </w:p>
    <w:p w14:paraId="7CEC3BAA">
      <w:pPr>
        <w:pStyle w:val="39"/>
        <w:tabs>
          <w:tab w:val="left" w:pos="9029"/>
        </w:tabs>
        <w:spacing w:line="360" w:lineRule="auto"/>
        <w:ind w:firstLine="480" w:firstLineChars="200"/>
        <w:jc w:val="both"/>
        <w:rPr>
          <w:color w:val="auto"/>
          <w:sz w:val="24"/>
          <w:szCs w:val="24"/>
          <w:lang w:eastAsia="zh-CN"/>
        </w:rPr>
      </w:pPr>
      <w:r>
        <w:rPr>
          <w:rFonts w:hint="eastAsia"/>
          <w:color w:val="auto"/>
          <w:sz w:val="24"/>
          <w:szCs w:val="24"/>
          <w:lang w:val="en-US" w:eastAsia="zh-CN"/>
        </w:rPr>
        <w:t>8</w:t>
      </w:r>
      <w:r>
        <w:rPr>
          <w:rFonts w:hint="eastAsia"/>
          <w:color w:val="auto"/>
          <w:sz w:val="24"/>
          <w:szCs w:val="24"/>
          <w:lang w:eastAsia="zh-CN"/>
        </w:rPr>
        <w:t>.1 竞价采购公告、成交结果公示和成交公告</w:t>
      </w:r>
      <w:r>
        <w:rPr>
          <w:rFonts w:hint="eastAsia"/>
          <w:color w:val="auto"/>
          <w:sz w:val="24"/>
          <w:szCs w:val="24"/>
          <w:lang w:val="en-US" w:eastAsia="zh-CN"/>
        </w:rPr>
        <w:t>发布媒介</w:t>
      </w:r>
      <w:r>
        <w:rPr>
          <w:rFonts w:hint="eastAsia"/>
          <w:color w:val="auto"/>
          <w:sz w:val="24"/>
          <w:szCs w:val="24"/>
          <w:lang w:eastAsia="zh-CN"/>
        </w:rPr>
        <w:t>：精彩纵横云采购平台网站（网址：https://www.yingcaicheng.com)</w:t>
      </w:r>
    </w:p>
    <w:p w14:paraId="0DB9E943">
      <w:pPr>
        <w:pStyle w:val="39"/>
        <w:tabs>
          <w:tab w:val="left" w:pos="9029"/>
        </w:tabs>
        <w:spacing w:line="360" w:lineRule="auto"/>
        <w:ind w:firstLine="480" w:firstLineChars="200"/>
        <w:jc w:val="both"/>
        <w:rPr>
          <w:color w:val="auto"/>
          <w:sz w:val="21"/>
          <w:szCs w:val="21"/>
          <w:lang w:eastAsia="zh-CN"/>
        </w:rPr>
      </w:pPr>
      <w:r>
        <w:rPr>
          <w:rFonts w:hint="eastAsia"/>
          <w:color w:val="auto"/>
          <w:sz w:val="24"/>
          <w:szCs w:val="24"/>
          <w:lang w:val="en-US" w:eastAsia="zh-CN"/>
        </w:rPr>
        <w:t>8</w:t>
      </w:r>
      <w:r>
        <w:rPr>
          <w:rFonts w:hint="eastAsia"/>
          <w:color w:val="auto"/>
          <w:sz w:val="24"/>
          <w:szCs w:val="24"/>
          <w:lang w:eastAsia="zh-CN"/>
        </w:rPr>
        <w:t>.2 成交结果公示的期限：</w:t>
      </w:r>
      <w:r>
        <w:rPr>
          <w:rFonts w:hint="eastAsia"/>
          <w:color w:val="auto"/>
          <w:sz w:val="24"/>
          <w:szCs w:val="24"/>
          <w:u w:val="single"/>
          <w:lang w:val="en-US" w:eastAsia="zh-CN"/>
        </w:rPr>
        <w:t>3日</w:t>
      </w:r>
      <w:r>
        <w:rPr>
          <w:rFonts w:hint="eastAsia"/>
          <w:color w:val="auto"/>
          <w:sz w:val="24"/>
          <w:szCs w:val="24"/>
          <w:u w:val="single"/>
          <w:lang w:eastAsia="zh-CN"/>
        </w:rPr>
        <w:t xml:space="preserve"> </w:t>
      </w:r>
      <w:r>
        <w:rPr>
          <w:rFonts w:hint="eastAsia"/>
          <w:color w:val="auto"/>
          <w:sz w:val="24"/>
          <w:szCs w:val="24"/>
          <w:lang w:eastAsia="zh-CN"/>
        </w:rPr>
        <w:t xml:space="preserve">  </w:t>
      </w:r>
      <w:r>
        <w:rPr>
          <w:rFonts w:hint="eastAsia"/>
          <w:color w:val="auto"/>
          <w:sz w:val="21"/>
          <w:szCs w:val="21"/>
          <w:lang w:eastAsia="zh-CN"/>
        </w:rPr>
        <w:t xml:space="preserve">      </w:t>
      </w:r>
    </w:p>
    <w:p w14:paraId="30367699">
      <w:pPr>
        <w:pStyle w:val="2"/>
        <w:spacing w:line="240" w:lineRule="auto"/>
        <w:rPr>
          <w:rFonts w:ascii="宋体" w:hAnsi="宋体" w:eastAsia="宋体" w:cs="宋体"/>
          <w:bCs/>
          <w:color w:val="auto"/>
          <w:kern w:val="44"/>
          <w:sz w:val="28"/>
          <w:szCs w:val="28"/>
          <w:lang w:eastAsia="zh-CN"/>
        </w:rPr>
      </w:pPr>
      <w:bookmarkStart w:id="60" w:name="_Toc174302051"/>
      <w:bookmarkStart w:id="61" w:name="_Toc13232"/>
      <w:r>
        <w:rPr>
          <w:rFonts w:hint="eastAsia" w:ascii="宋体" w:hAnsi="宋体" w:eastAsia="宋体" w:cs="宋体"/>
          <w:bCs/>
          <w:color w:val="auto"/>
          <w:kern w:val="44"/>
          <w:sz w:val="28"/>
          <w:szCs w:val="28"/>
          <w:lang w:eastAsia="zh-CN"/>
        </w:rPr>
        <w:t>9联系方式</w:t>
      </w:r>
      <w:bookmarkEnd w:id="43"/>
      <w:bookmarkEnd w:id="44"/>
      <w:bookmarkEnd w:id="45"/>
      <w:bookmarkEnd w:id="46"/>
      <w:bookmarkEnd w:id="47"/>
      <w:bookmarkEnd w:id="60"/>
      <w:bookmarkEnd w:id="61"/>
    </w:p>
    <w:p w14:paraId="34709B75">
      <w:pPr>
        <w:pStyle w:val="39"/>
        <w:tabs>
          <w:tab w:val="left" w:pos="3956"/>
          <w:tab w:val="left" w:pos="3961"/>
          <w:tab w:val="left" w:pos="3966"/>
          <w:tab w:val="left" w:pos="8031"/>
          <w:tab w:val="left" w:pos="8036"/>
          <w:tab w:val="left" w:pos="8041"/>
        </w:tabs>
        <w:spacing w:line="360" w:lineRule="auto"/>
        <w:ind w:firstLine="480" w:firstLineChars="200"/>
        <w:rPr>
          <w:color w:val="auto"/>
          <w:sz w:val="24"/>
          <w:szCs w:val="24"/>
          <w:lang w:val="en-US" w:eastAsia="zh-CN"/>
        </w:rPr>
      </w:pPr>
      <w:r>
        <w:rPr>
          <w:rFonts w:hint="eastAsia"/>
          <w:color w:val="auto"/>
          <w:sz w:val="24"/>
          <w:szCs w:val="24"/>
        </w:rPr>
        <w:t>采购人：</w:t>
      </w:r>
      <w:r>
        <w:rPr>
          <w:rFonts w:hint="eastAsia"/>
          <w:color w:val="auto"/>
          <w:sz w:val="24"/>
          <w:szCs w:val="24"/>
          <w:u w:val="single"/>
          <w:lang w:val="en-US" w:eastAsia="zh-CN"/>
        </w:rPr>
        <w:t>抚州市国控供应链管理有限公司</w:t>
      </w:r>
      <w:r>
        <w:rPr>
          <w:rFonts w:hint="eastAsia"/>
          <w:color w:val="auto"/>
          <w:sz w:val="24"/>
          <w:szCs w:val="24"/>
          <w:lang w:val="en-US" w:eastAsia="zh-CN"/>
        </w:rPr>
        <w:t xml:space="preserve">    </w:t>
      </w:r>
    </w:p>
    <w:p w14:paraId="5F08A31B">
      <w:pPr>
        <w:pStyle w:val="39"/>
        <w:tabs>
          <w:tab w:val="left" w:pos="3956"/>
          <w:tab w:val="left" w:pos="3961"/>
          <w:tab w:val="left" w:pos="3966"/>
          <w:tab w:val="left" w:pos="8031"/>
          <w:tab w:val="left" w:pos="8036"/>
          <w:tab w:val="left" w:pos="8041"/>
        </w:tabs>
        <w:spacing w:line="360" w:lineRule="auto"/>
        <w:ind w:firstLine="480" w:firstLineChars="200"/>
        <w:rPr>
          <w:color w:val="auto"/>
          <w:sz w:val="24"/>
          <w:szCs w:val="24"/>
        </w:rPr>
      </w:pPr>
      <w:r>
        <w:rPr>
          <w:rFonts w:hint="eastAsia"/>
          <w:color w:val="auto"/>
          <w:sz w:val="24"/>
          <w:szCs w:val="24"/>
          <w:lang w:val="en-US" w:eastAsia="zh-CN"/>
        </w:rPr>
        <w:t>联系人及联系方式：</w:t>
      </w:r>
      <w:r>
        <w:rPr>
          <w:rFonts w:hint="eastAsia"/>
          <w:color w:val="auto"/>
          <w:sz w:val="24"/>
          <w:szCs w:val="24"/>
          <w:u w:val="single"/>
          <w:lang w:val="en-US" w:eastAsia="zh-CN"/>
        </w:rPr>
        <w:t xml:space="preserve">王女士 13979448080 /彭女士 13717078786 </w:t>
      </w:r>
    </w:p>
    <w:p w14:paraId="69662736">
      <w:pPr>
        <w:pStyle w:val="39"/>
        <w:tabs>
          <w:tab w:val="left" w:pos="4722"/>
        </w:tabs>
        <w:spacing w:line="360" w:lineRule="auto"/>
        <w:ind w:firstLine="480" w:firstLineChars="200"/>
        <w:rPr>
          <w:color w:val="auto"/>
          <w:sz w:val="24"/>
          <w:szCs w:val="24"/>
          <w:lang w:val="en-US" w:eastAsia="zh-CN"/>
        </w:rPr>
      </w:pPr>
      <w:r>
        <w:rPr>
          <w:rFonts w:hint="eastAsia"/>
          <w:color w:val="auto"/>
          <w:sz w:val="24"/>
          <w:szCs w:val="24"/>
        </w:rPr>
        <w:t>电子竞价平台：</w:t>
      </w:r>
      <w:r>
        <w:rPr>
          <w:rFonts w:hint="eastAsia"/>
          <w:color w:val="auto"/>
          <w:sz w:val="24"/>
          <w:szCs w:val="24"/>
          <w:u w:val="single"/>
        </w:rPr>
        <w:t xml:space="preserve"> </w:t>
      </w:r>
      <w:r>
        <w:rPr>
          <w:rFonts w:hint="eastAsia"/>
          <w:color w:val="auto"/>
          <w:sz w:val="24"/>
          <w:szCs w:val="24"/>
          <w:u w:val="single"/>
          <w:lang w:val="en-US" w:eastAsia="zh-CN"/>
        </w:rPr>
        <w:t>精彩纵横云采购平台网站</w:t>
      </w:r>
    </w:p>
    <w:p w14:paraId="0EFB2BBF">
      <w:pPr>
        <w:pStyle w:val="39"/>
        <w:tabs>
          <w:tab w:val="left" w:pos="950"/>
          <w:tab w:val="left" w:pos="2150"/>
          <w:tab w:val="left" w:pos="3350"/>
        </w:tabs>
        <w:spacing w:line="360" w:lineRule="auto"/>
        <w:ind w:firstLine="0"/>
        <w:rPr>
          <w:color w:val="auto"/>
          <w:sz w:val="24"/>
          <w:szCs w:val="24"/>
          <w:lang w:val="en-US" w:eastAsia="zh-CN"/>
        </w:rPr>
        <w:sectPr>
          <w:headerReference r:id="rId11" w:type="default"/>
          <w:footerReference r:id="rId12" w:type="default"/>
          <w:type w:val="continuous"/>
          <w:pgSz w:w="11906" w:h="16838"/>
          <w:pgMar w:top="1157" w:right="1293" w:bottom="1157" w:left="1293" w:header="1134" w:footer="1134" w:gutter="0"/>
          <w:cols w:space="720" w:num="1"/>
          <w:docGrid w:linePitch="360" w:charSpace="0"/>
        </w:sectPr>
      </w:pPr>
    </w:p>
    <w:p w14:paraId="54C9EBCB">
      <w:pPr>
        <w:pStyle w:val="3"/>
        <w:spacing w:before="200" w:after="200" w:line="720" w:lineRule="exact"/>
        <w:jc w:val="center"/>
        <w:rPr>
          <w:rFonts w:ascii="宋体" w:hAnsi="宋体" w:eastAsia="宋体" w:cs="宋体"/>
          <w:color w:val="auto"/>
          <w:szCs w:val="44"/>
          <w:lang w:eastAsia="zh-CN"/>
        </w:rPr>
      </w:pPr>
      <w:bookmarkStart w:id="62" w:name="_Toc15342"/>
      <w:bookmarkStart w:id="63" w:name="_Toc13379"/>
      <w:bookmarkStart w:id="64" w:name="_Toc27936"/>
      <w:bookmarkStart w:id="65" w:name="_Toc1587"/>
      <w:bookmarkStart w:id="66" w:name="_Toc26686"/>
      <w:r>
        <w:rPr>
          <w:rFonts w:hint="eastAsia" w:ascii="宋体" w:hAnsi="宋体" w:eastAsia="宋体" w:cs="宋体"/>
          <w:color w:val="auto"/>
          <w:szCs w:val="44"/>
          <w:lang w:eastAsia="zh-CN"/>
        </w:rPr>
        <w:t xml:space="preserve"> </w:t>
      </w:r>
      <w:bookmarkStart w:id="67" w:name="_Toc10747"/>
      <w:r>
        <w:rPr>
          <w:rFonts w:hint="eastAsia" w:ascii="宋体" w:hAnsi="宋体" w:eastAsia="宋体" w:cs="宋体"/>
          <w:color w:val="auto"/>
          <w:szCs w:val="44"/>
          <w:lang w:eastAsia="zh-CN"/>
        </w:rPr>
        <w:t>供应商须知</w:t>
      </w:r>
      <w:bookmarkEnd w:id="62"/>
      <w:bookmarkEnd w:id="63"/>
      <w:bookmarkEnd w:id="64"/>
      <w:bookmarkEnd w:id="65"/>
      <w:bookmarkEnd w:id="66"/>
      <w:bookmarkEnd w:id="67"/>
      <w:bookmarkStart w:id="68" w:name="_Toc16866"/>
      <w:bookmarkStart w:id="69" w:name="_Toc19877"/>
      <w:bookmarkStart w:id="70" w:name="_Toc2907"/>
    </w:p>
    <w:bookmarkEnd w:id="9"/>
    <w:bookmarkEnd w:id="10"/>
    <w:bookmarkEnd w:id="11"/>
    <w:bookmarkEnd w:id="68"/>
    <w:bookmarkEnd w:id="69"/>
    <w:bookmarkEnd w:id="70"/>
    <w:p w14:paraId="6167A76E">
      <w:pPr>
        <w:spacing w:line="360" w:lineRule="auto"/>
        <w:rPr>
          <w:rFonts w:ascii="宋体" w:hAnsi="宋体" w:eastAsia="宋体" w:cs="宋体"/>
          <w:color w:val="auto"/>
          <w:sz w:val="2"/>
          <w:szCs w:val="2"/>
          <w:lang w:eastAsia="zh-CN"/>
        </w:rPr>
      </w:pPr>
    </w:p>
    <w:tbl>
      <w:tblPr>
        <w:tblStyle w:val="30"/>
        <w:tblW w:w="10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154"/>
        <w:gridCol w:w="7664"/>
      </w:tblGrid>
      <w:tr w14:paraId="42C9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0" w:type="dxa"/>
            <w:vAlign w:val="center"/>
          </w:tcPr>
          <w:p w14:paraId="608F1B3F">
            <w:pPr>
              <w:spacing w:line="360" w:lineRule="auto"/>
              <w:jc w:val="center"/>
              <w:rPr>
                <w:rFonts w:ascii="宋体" w:hAnsi="宋体" w:eastAsia="宋体" w:cs="宋体"/>
                <w:color w:val="auto"/>
              </w:rPr>
            </w:pPr>
            <w:bookmarkStart w:id="71" w:name="_Toc5925"/>
            <w:bookmarkStart w:id="72" w:name="_Toc12036"/>
            <w:bookmarkStart w:id="73" w:name="_Toc16141"/>
            <w:bookmarkStart w:id="74" w:name="bookmark261"/>
            <w:bookmarkStart w:id="75" w:name="bookmark262"/>
            <w:bookmarkStart w:id="76" w:name="bookmark260"/>
            <w:bookmarkStart w:id="77" w:name="_Toc174302072"/>
            <w:bookmarkStart w:id="78" w:name="_Toc15718"/>
            <w:bookmarkStart w:id="79" w:name="bookmark541"/>
            <w:bookmarkStart w:id="80" w:name="_Toc16043"/>
            <w:bookmarkStart w:id="81" w:name="bookmark542"/>
            <w:bookmarkStart w:id="82" w:name="_Toc16982"/>
            <w:bookmarkStart w:id="83" w:name="bookmark543"/>
            <w:bookmarkStart w:id="84" w:name="_Toc28408"/>
            <w:bookmarkStart w:id="85" w:name="_Toc20340"/>
            <w:bookmarkStart w:id="86" w:name="_Toc29622"/>
            <w:r>
              <w:rPr>
                <w:rFonts w:hint="eastAsia" w:ascii="宋体" w:hAnsi="宋体" w:eastAsia="宋体" w:cs="宋体"/>
                <w:color w:val="auto"/>
              </w:rPr>
              <w:t>序号</w:t>
            </w:r>
          </w:p>
        </w:tc>
        <w:tc>
          <w:tcPr>
            <w:tcW w:w="2154" w:type="dxa"/>
            <w:vAlign w:val="center"/>
          </w:tcPr>
          <w:p w14:paraId="6D153C7D">
            <w:pPr>
              <w:spacing w:line="360" w:lineRule="auto"/>
              <w:jc w:val="center"/>
              <w:rPr>
                <w:rFonts w:ascii="宋体" w:hAnsi="宋体" w:eastAsia="宋体" w:cs="宋体"/>
                <w:color w:val="auto"/>
              </w:rPr>
            </w:pPr>
            <w:r>
              <w:rPr>
                <w:rFonts w:hint="eastAsia" w:ascii="宋体" w:hAnsi="宋体" w:eastAsia="宋体" w:cs="宋体"/>
                <w:color w:val="auto"/>
              </w:rPr>
              <w:t>内容</w:t>
            </w:r>
          </w:p>
        </w:tc>
        <w:tc>
          <w:tcPr>
            <w:tcW w:w="7664" w:type="dxa"/>
            <w:vAlign w:val="center"/>
          </w:tcPr>
          <w:p w14:paraId="62BE8A3C">
            <w:pPr>
              <w:spacing w:line="360" w:lineRule="auto"/>
              <w:jc w:val="center"/>
              <w:rPr>
                <w:rFonts w:ascii="宋体" w:hAnsi="宋体" w:eastAsia="宋体" w:cs="宋体"/>
                <w:color w:val="auto"/>
              </w:rPr>
            </w:pPr>
            <w:r>
              <w:rPr>
                <w:rFonts w:hint="eastAsia" w:ascii="宋体" w:hAnsi="宋体" w:eastAsia="宋体" w:cs="宋体"/>
                <w:color w:val="auto"/>
              </w:rPr>
              <w:t>说明与要求</w:t>
            </w:r>
          </w:p>
        </w:tc>
      </w:tr>
      <w:tr w14:paraId="3049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5A552A0E">
            <w:pPr>
              <w:spacing w:line="360" w:lineRule="auto"/>
              <w:jc w:val="center"/>
              <w:rPr>
                <w:rFonts w:ascii="宋体" w:hAnsi="宋体" w:eastAsia="宋体" w:cs="宋体"/>
                <w:color w:val="auto"/>
              </w:rPr>
            </w:pPr>
            <w:r>
              <w:rPr>
                <w:rFonts w:hint="eastAsia" w:ascii="宋体" w:hAnsi="宋体" w:eastAsia="宋体" w:cs="宋体"/>
                <w:color w:val="auto"/>
              </w:rPr>
              <w:t>1</w:t>
            </w:r>
          </w:p>
        </w:tc>
        <w:tc>
          <w:tcPr>
            <w:tcW w:w="2154" w:type="dxa"/>
            <w:vAlign w:val="center"/>
          </w:tcPr>
          <w:p w14:paraId="103B548C">
            <w:pPr>
              <w:spacing w:line="360" w:lineRule="auto"/>
              <w:jc w:val="center"/>
              <w:rPr>
                <w:rFonts w:ascii="宋体" w:hAnsi="宋体" w:eastAsia="宋体" w:cs="宋体"/>
                <w:color w:val="auto"/>
              </w:rPr>
            </w:pPr>
            <w:r>
              <w:rPr>
                <w:rFonts w:hint="eastAsia" w:ascii="宋体" w:hAnsi="宋体" w:eastAsia="宋体" w:cs="宋体"/>
                <w:color w:val="auto"/>
                <w:lang w:eastAsia="zh-CN"/>
              </w:rPr>
              <w:t>采购</w:t>
            </w:r>
            <w:r>
              <w:rPr>
                <w:rFonts w:hint="eastAsia" w:ascii="宋体" w:hAnsi="宋体" w:eastAsia="宋体" w:cs="宋体"/>
                <w:color w:val="auto"/>
              </w:rPr>
              <w:t>人</w:t>
            </w:r>
          </w:p>
        </w:tc>
        <w:tc>
          <w:tcPr>
            <w:tcW w:w="7664" w:type="dxa"/>
            <w:vAlign w:val="center"/>
          </w:tcPr>
          <w:p w14:paraId="4F274332">
            <w:pPr>
              <w:spacing w:line="360" w:lineRule="auto"/>
              <w:rPr>
                <w:rFonts w:ascii="宋体" w:hAnsi="宋体" w:eastAsia="宋体" w:cs="宋体"/>
                <w:color w:val="auto"/>
                <w:lang w:eastAsia="zh-CN"/>
              </w:rPr>
            </w:pPr>
            <w:r>
              <w:rPr>
                <w:rFonts w:hint="eastAsia" w:ascii="宋体" w:hAnsi="宋体" w:eastAsia="宋体" w:cs="宋体"/>
                <w:color w:val="auto"/>
                <w:lang w:eastAsia="zh-CN"/>
              </w:rPr>
              <w:t>抚州市国控供应链管理有限公司</w:t>
            </w:r>
          </w:p>
        </w:tc>
      </w:tr>
      <w:tr w14:paraId="1BF1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13D1A1CD">
            <w:pPr>
              <w:spacing w:line="360" w:lineRule="auto"/>
              <w:jc w:val="center"/>
              <w:rPr>
                <w:rFonts w:ascii="宋体" w:hAnsi="宋体" w:eastAsia="宋体" w:cs="宋体"/>
                <w:color w:val="auto"/>
              </w:rPr>
            </w:pPr>
            <w:r>
              <w:rPr>
                <w:rFonts w:hint="eastAsia" w:ascii="宋体" w:hAnsi="宋体" w:eastAsia="宋体" w:cs="宋体"/>
                <w:color w:val="auto"/>
              </w:rPr>
              <w:t>2</w:t>
            </w:r>
          </w:p>
        </w:tc>
        <w:tc>
          <w:tcPr>
            <w:tcW w:w="2154" w:type="dxa"/>
            <w:vAlign w:val="center"/>
          </w:tcPr>
          <w:p w14:paraId="6C38E4E6">
            <w:pPr>
              <w:spacing w:line="360" w:lineRule="auto"/>
              <w:jc w:val="center"/>
              <w:rPr>
                <w:rFonts w:ascii="宋体" w:hAnsi="宋体" w:eastAsia="宋体" w:cs="宋体"/>
                <w:color w:val="auto"/>
              </w:rPr>
            </w:pPr>
            <w:r>
              <w:rPr>
                <w:rFonts w:hint="eastAsia" w:ascii="宋体" w:hAnsi="宋体" w:eastAsia="宋体" w:cs="宋体"/>
                <w:color w:val="auto"/>
              </w:rPr>
              <w:t>项目名称</w:t>
            </w:r>
          </w:p>
        </w:tc>
        <w:tc>
          <w:tcPr>
            <w:tcW w:w="7664" w:type="dxa"/>
            <w:vAlign w:val="center"/>
          </w:tcPr>
          <w:p w14:paraId="5DB24AEE">
            <w:pPr>
              <w:spacing w:line="360" w:lineRule="auto"/>
              <w:rPr>
                <w:rFonts w:ascii="宋体" w:hAnsi="宋体" w:eastAsia="宋体" w:cs="宋体"/>
                <w:color w:val="auto"/>
                <w:lang w:eastAsia="zh-CN"/>
              </w:rPr>
            </w:pPr>
            <w:r>
              <w:rPr>
                <w:rFonts w:hint="eastAsia" w:ascii="宋体" w:hAnsi="宋体" w:eastAsia="宋体" w:cs="宋体"/>
                <w:color w:val="auto"/>
                <w:lang w:eastAsia="zh-CN"/>
              </w:rPr>
              <w:t>抚州市中心城区排水防涝建设工程（二标段）</w:t>
            </w:r>
            <w:r>
              <w:rPr>
                <w:rFonts w:ascii="宋体" w:hAnsi="宋体" w:eastAsia="宋体" w:cs="宋体"/>
                <w:color w:val="auto"/>
                <w:lang w:eastAsia="zh-CN"/>
              </w:rPr>
              <w:t>EPC</w:t>
            </w:r>
            <w:r>
              <w:rPr>
                <w:rFonts w:hint="eastAsia" w:ascii="宋体" w:hAnsi="宋体" w:eastAsia="宋体" w:cs="宋体"/>
                <w:color w:val="auto"/>
                <w:lang w:eastAsia="zh-CN"/>
              </w:rPr>
              <w:t>总承包项目</w:t>
            </w:r>
            <w:r>
              <w:rPr>
                <w:rFonts w:hint="eastAsia" w:ascii="宋体" w:hAnsi="宋体" w:eastAsia="宋体" w:cs="宋体"/>
                <w:color w:val="auto"/>
                <w:lang w:val="en-US" w:eastAsia="zh-CN"/>
              </w:rPr>
              <w:t>机制砂</w:t>
            </w:r>
            <w:r>
              <w:rPr>
                <w:rFonts w:hint="eastAsia" w:ascii="宋体" w:hAnsi="宋体" w:eastAsia="宋体" w:cs="宋体"/>
                <w:color w:val="auto"/>
                <w:lang w:eastAsia="zh-CN"/>
              </w:rPr>
              <w:t>采购</w:t>
            </w:r>
          </w:p>
        </w:tc>
      </w:tr>
      <w:tr w14:paraId="2E85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1B77B566">
            <w:pPr>
              <w:spacing w:line="360" w:lineRule="auto"/>
              <w:jc w:val="center"/>
              <w:rPr>
                <w:rFonts w:ascii="宋体" w:hAnsi="宋体" w:eastAsia="宋体" w:cs="宋体"/>
                <w:color w:val="auto"/>
              </w:rPr>
            </w:pPr>
            <w:r>
              <w:rPr>
                <w:rFonts w:hint="eastAsia" w:ascii="宋体" w:hAnsi="宋体" w:eastAsia="宋体" w:cs="宋体"/>
                <w:color w:val="auto"/>
              </w:rPr>
              <w:t>3</w:t>
            </w:r>
          </w:p>
        </w:tc>
        <w:tc>
          <w:tcPr>
            <w:tcW w:w="2154" w:type="dxa"/>
            <w:vAlign w:val="center"/>
          </w:tcPr>
          <w:p w14:paraId="5A76D428">
            <w:pPr>
              <w:spacing w:line="360" w:lineRule="auto"/>
              <w:jc w:val="center"/>
              <w:rPr>
                <w:rFonts w:ascii="宋体" w:hAnsi="宋体" w:eastAsia="宋体" w:cs="宋体"/>
                <w:color w:val="auto"/>
              </w:rPr>
            </w:pPr>
            <w:r>
              <w:rPr>
                <w:rFonts w:hint="eastAsia" w:ascii="宋体" w:hAnsi="宋体" w:eastAsia="宋体" w:cs="宋体"/>
                <w:color w:val="auto"/>
              </w:rPr>
              <w:t>项目地点</w:t>
            </w:r>
          </w:p>
        </w:tc>
        <w:tc>
          <w:tcPr>
            <w:tcW w:w="7664" w:type="dxa"/>
            <w:vAlign w:val="center"/>
          </w:tcPr>
          <w:p w14:paraId="1BB5F506">
            <w:pPr>
              <w:spacing w:line="360" w:lineRule="auto"/>
              <w:rPr>
                <w:rFonts w:ascii="宋体" w:hAnsi="宋体" w:eastAsia="宋体" w:cs="宋体"/>
                <w:color w:val="auto"/>
                <w:lang w:eastAsia="zh-CN"/>
              </w:rPr>
            </w:pPr>
            <w:r>
              <w:rPr>
                <w:rFonts w:hint="eastAsia" w:ascii="宋体" w:hAnsi="宋体" w:eastAsia="宋体" w:cs="宋体"/>
                <w:color w:val="auto"/>
                <w:lang w:eastAsia="zh-CN"/>
              </w:rPr>
              <w:t>江西省抚州市中心城区</w:t>
            </w:r>
          </w:p>
        </w:tc>
      </w:tr>
      <w:tr w14:paraId="058C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59AFCC7E">
            <w:pPr>
              <w:spacing w:line="360" w:lineRule="auto"/>
              <w:jc w:val="center"/>
              <w:rPr>
                <w:rFonts w:ascii="宋体" w:hAnsi="宋体" w:eastAsia="宋体" w:cs="宋体"/>
                <w:color w:val="auto"/>
              </w:rPr>
            </w:pPr>
            <w:r>
              <w:rPr>
                <w:rFonts w:hint="eastAsia" w:ascii="宋体" w:hAnsi="宋体" w:eastAsia="宋体" w:cs="宋体"/>
                <w:color w:val="auto"/>
              </w:rPr>
              <w:t>4</w:t>
            </w:r>
          </w:p>
        </w:tc>
        <w:tc>
          <w:tcPr>
            <w:tcW w:w="2154" w:type="dxa"/>
            <w:vAlign w:val="center"/>
          </w:tcPr>
          <w:p w14:paraId="4844D42A">
            <w:pPr>
              <w:spacing w:line="360" w:lineRule="auto"/>
              <w:jc w:val="center"/>
              <w:rPr>
                <w:rFonts w:ascii="宋体" w:hAnsi="宋体" w:eastAsia="宋体" w:cs="宋体"/>
                <w:color w:val="auto"/>
              </w:rPr>
            </w:pPr>
            <w:r>
              <w:rPr>
                <w:rFonts w:hint="eastAsia" w:ascii="宋体" w:hAnsi="宋体" w:eastAsia="宋体" w:cs="宋体"/>
                <w:color w:val="auto"/>
              </w:rPr>
              <w:t>采购范围及要求</w:t>
            </w:r>
          </w:p>
        </w:tc>
        <w:tc>
          <w:tcPr>
            <w:tcW w:w="7664" w:type="dxa"/>
            <w:vAlign w:val="center"/>
          </w:tcPr>
          <w:p w14:paraId="138C39A9">
            <w:pPr>
              <w:spacing w:line="360" w:lineRule="auto"/>
              <w:rPr>
                <w:rFonts w:ascii="宋体" w:hAnsi="宋体" w:eastAsia="宋体" w:cs="宋体"/>
                <w:color w:val="auto"/>
                <w:lang w:eastAsia="zh-CN"/>
              </w:rPr>
            </w:pPr>
            <w:r>
              <w:rPr>
                <w:rFonts w:hint="eastAsia" w:ascii="宋体" w:hAnsi="宋体" w:eastAsia="宋体" w:cs="宋体"/>
                <w:color w:val="auto"/>
                <w:lang w:val="en-US" w:eastAsia="zh-CN"/>
              </w:rPr>
              <w:t>机制砂采购</w:t>
            </w:r>
            <w:r>
              <w:rPr>
                <w:rFonts w:hint="eastAsia" w:ascii="宋体" w:hAnsi="宋体" w:eastAsia="宋体" w:cs="宋体"/>
                <w:color w:val="auto"/>
                <w:lang w:eastAsia="zh-CN"/>
              </w:rPr>
              <w:t>（详见工程量清单及技术规范书）</w:t>
            </w:r>
          </w:p>
        </w:tc>
      </w:tr>
      <w:tr w14:paraId="2C92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02A8B058">
            <w:pPr>
              <w:spacing w:line="360" w:lineRule="auto"/>
              <w:jc w:val="center"/>
              <w:rPr>
                <w:rFonts w:ascii="宋体" w:hAnsi="宋体" w:eastAsia="宋体" w:cs="宋体"/>
                <w:color w:val="auto"/>
              </w:rPr>
            </w:pPr>
            <w:r>
              <w:rPr>
                <w:rFonts w:hint="eastAsia" w:ascii="宋体" w:hAnsi="宋体" w:eastAsia="宋体" w:cs="宋体"/>
                <w:color w:val="auto"/>
              </w:rPr>
              <w:t>5</w:t>
            </w:r>
          </w:p>
        </w:tc>
        <w:tc>
          <w:tcPr>
            <w:tcW w:w="2154" w:type="dxa"/>
            <w:vAlign w:val="center"/>
          </w:tcPr>
          <w:p w14:paraId="1C81CDE7">
            <w:pPr>
              <w:spacing w:line="360" w:lineRule="auto"/>
              <w:jc w:val="center"/>
              <w:rPr>
                <w:rFonts w:ascii="宋体" w:hAnsi="宋体" w:eastAsia="宋体" w:cs="宋体"/>
                <w:color w:val="auto"/>
              </w:rPr>
            </w:pPr>
            <w:r>
              <w:rPr>
                <w:rFonts w:hint="eastAsia" w:ascii="宋体" w:hAnsi="宋体" w:eastAsia="宋体" w:cs="宋体"/>
                <w:color w:val="auto"/>
              </w:rPr>
              <w:t>联系人</w:t>
            </w:r>
          </w:p>
        </w:tc>
        <w:tc>
          <w:tcPr>
            <w:tcW w:w="7664" w:type="dxa"/>
            <w:vAlign w:val="center"/>
          </w:tcPr>
          <w:p w14:paraId="3AC4D7A9">
            <w:pPr>
              <w:spacing w:line="360" w:lineRule="auto"/>
              <w:rPr>
                <w:rFonts w:ascii="宋体" w:hAnsi="宋体" w:eastAsia="宋体" w:cs="宋体"/>
                <w:color w:val="auto"/>
                <w:lang w:eastAsia="zh-CN"/>
              </w:rPr>
            </w:pPr>
            <w:bookmarkStart w:id="87" w:name="OLE_LINK1"/>
            <w:r>
              <w:rPr>
                <w:rFonts w:hint="eastAsia" w:ascii="宋体" w:hAnsi="宋体" w:eastAsia="宋体" w:cs="宋体"/>
                <w:color w:val="auto"/>
                <w:lang w:eastAsia="zh-CN"/>
              </w:rPr>
              <w:t>王</w:t>
            </w:r>
            <w:r>
              <w:rPr>
                <w:rFonts w:hint="eastAsia" w:ascii="宋体" w:hAnsi="宋体" w:eastAsia="宋体" w:cs="宋体"/>
                <w:color w:val="auto"/>
              </w:rPr>
              <w:t>女士1397</w:t>
            </w:r>
            <w:r>
              <w:rPr>
                <w:rFonts w:hint="eastAsia" w:ascii="宋体" w:hAnsi="宋体" w:eastAsia="宋体" w:cs="宋体"/>
                <w:color w:val="auto"/>
                <w:lang w:eastAsia="zh-CN"/>
              </w:rPr>
              <w:t>9448080</w:t>
            </w:r>
            <w:bookmarkEnd w:id="87"/>
            <w:r>
              <w:rPr>
                <w:rFonts w:hint="eastAsia" w:ascii="宋体" w:hAnsi="宋体" w:eastAsia="宋体" w:cs="宋体"/>
                <w:color w:val="auto"/>
                <w:lang w:eastAsia="zh-CN"/>
              </w:rPr>
              <w:t>/彭女士13717078786</w:t>
            </w:r>
          </w:p>
        </w:tc>
      </w:tr>
      <w:tr w14:paraId="016A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0040B620">
            <w:pPr>
              <w:spacing w:line="360" w:lineRule="auto"/>
              <w:jc w:val="center"/>
              <w:rPr>
                <w:rFonts w:ascii="宋体" w:hAnsi="宋体" w:eastAsia="宋体" w:cs="宋体"/>
                <w:color w:val="auto"/>
              </w:rPr>
            </w:pPr>
            <w:r>
              <w:rPr>
                <w:rFonts w:hint="eastAsia" w:ascii="宋体" w:hAnsi="宋体" w:eastAsia="宋体" w:cs="宋体"/>
                <w:color w:val="auto"/>
              </w:rPr>
              <w:t>6</w:t>
            </w:r>
          </w:p>
        </w:tc>
        <w:tc>
          <w:tcPr>
            <w:tcW w:w="2154" w:type="dxa"/>
            <w:vAlign w:val="center"/>
          </w:tcPr>
          <w:p w14:paraId="4D9787E5">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封样/质检报告及交货期</w:t>
            </w:r>
          </w:p>
        </w:tc>
        <w:tc>
          <w:tcPr>
            <w:tcW w:w="7664" w:type="dxa"/>
            <w:vAlign w:val="center"/>
          </w:tcPr>
          <w:p w14:paraId="494544B8">
            <w:pPr>
              <w:spacing w:line="360" w:lineRule="auto"/>
              <w:jc w:val="both"/>
              <w:rPr>
                <w:rFonts w:ascii="宋体" w:hAnsi="宋体" w:eastAsia="宋体" w:cs="宋体"/>
                <w:color w:val="auto"/>
                <w:lang w:eastAsia="zh-CN"/>
              </w:rPr>
            </w:pPr>
            <w:r>
              <w:rPr>
                <w:rFonts w:hint="eastAsia"/>
                <w:color w:val="auto"/>
                <w:lang w:eastAsia="zh-CN"/>
              </w:rPr>
              <w:t>竞价结束后排名前三的</w:t>
            </w:r>
            <w:r>
              <w:rPr>
                <w:rFonts w:hint="eastAsia" w:ascii="宋体" w:hAnsi="宋体" w:eastAsia="宋体" w:cs="宋体"/>
                <w:color w:val="auto"/>
                <w:lang w:eastAsia="zh-CN"/>
              </w:rPr>
              <w:t>中标候选人</w:t>
            </w:r>
            <w:r>
              <w:rPr>
                <w:rFonts w:hint="eastAsia"/>
                <w:color w:val="auto"/>
                <w:lang w:eastAsia="zh-CN"/>
              </w:rPr>
              <w:t>，需要</w:t>
            </w:r>
            <w:r>
              <w:rPr>
                <w:rFonts w:hint="eastAsia" w:eastAsiaTheme="minorEastAsia"/>
                <w:color w:val="auto"/>
                <w:lang w:eastAsia="zh-CN"/>
              </w:rPr>
              <w:t>在</w:t>
            </w:r>
            <w:r>
              <w:rPr>
                <w:rFonts w:hint="eastAsia"/>
                <w:color w:val="auto"/>
                <w:lang w:eastAsia="zh-CN"/>
              </w:rPr>
              <w:t>竞价结束</w:t>
            </w:r>
            <w:r>
              <w:rPr>
                <w:rFonts w:hint="eastAsia" w:eastAsiaTheme="minorEastAsia"/>
                <w:color w:val="auto"/>
                <w:lang w:eastAsia="zh-CN"/>
              </w:rPr>
              <w:t>公示后三日内将</w:t>
            </w:r>
            <w:r>
              <w:rPr>
                <w:rFonts w:hint="eastAsia"/>
                <w:color w:val="auto"/>
                <w:lang w:eastAsia="zh-CN"/>
              </w:rPr>
              <w:t>样</w:t>
            </w:r>
            <w:r>
              <w:rPr>
                <w:rFonts w:hint="eastAsia" w:ascii="宋体" w:hAnsi="宋体" w:eastAsia="宋体" w:cs="宋体"/>
                <w:color w:val="auto"/>
                <w:lang w:eastAsia="zh-CN"/>
              </w:rPr>
              <w:t>品、质检报告送</w:t>
            </w:r>
            <w:r>
              <w:rPr>
                <w:rFonts w:hint="eastAsia"/>
                <w:color w:val="auto"/>
                <w:lang w:eastAsia="zh-CN"/>
              </w:rPr>
              <w:t>给采购人进行封样</w:t>
            </w:r>
            <w:r>
              <w:rPr>
                <w:rFonts w:hint="eastAsia" w:ascii="宋体" w:hAnsi="宋体" w:eastAsia="宋体" w:cs="宋体"/>
                <w:color w:val="auto"/>
                <w:lang w:eastAsia="zh-CN"/>
              </w:rPr>
              <w:t>；交货期为合同签订后至项目完工。</w:t>
            </w:r>
          </w:p>
        </w:tc>
      </w:tr>
      <w:tr w14:paraId="3031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5E18DAE5">
            <w:pPr>
              <w:spacing w:line="360" w:lineRule="auto"/>
              <w:jc w:val="center"/>
              <w:rPr>
                <w:rFonts w:ascii="宋体" w:hAnsi="宋体" w:eastAsia="宋体" w:cs="宋体"/>
                <w:color w:val="auto"/>
              </w:rPr>
            </w:pPr>
            <w:r>
              <w:rPr>
                <w:rFonts w:hint="eastAsia" w:ascii="宋体" w:hAnsi="宋体" w:eastAsia="宋体" w:cs="宋体"/>
                <w:color w:val="auto"/>
              </w:rPr>
              <w:t>7</w:t>
            </w:r>
          </w:p>
        </w:tc>
        <w:tc>
          <w:tcPr>
            <w:tcW w:w="2154" w:type="dxa"/>
            <w:vAlign w:val="center"/>
          </w:tcPr>
          <w:p w14:paraId="7A925C81">
            <w:pPr>
              <w:spacing w:line="360" w:lineRule="auto"/>
              <w:jc w:val="center"/>
              <w:rPr>
                <w:rFonts w:ascii="宋体" w:hAnsi="宋体" w:eastAsia="宋体" w:cs="宋体"/>
                <w:color w:val="auto"/>
              </w:rPr>
            </w:pPr>
            <w:r>
              <w:rPr>
                <w:rFonts w:hint="eastAsia" w:ascii="宋体" w:hAnsi="宋体" w:eastAsia="宋体" w:cs="宋体"/>
                <w:color w:val="auto"/>
              </w:rPr>
              <w:t>合同形式</w:t>
            </w:r>
          </w:p>
        </w:tc>
        <w:tc>
          <w:tcPr>
            <w:tcW w:w="7664" w:type="dxa"/>
            <w:vAlign w:val="center"/>
          </w:tcPr>
          <w:p w14:paraId="5BF3B9F2">
            <w:pPr>
              <w:spacing w:line="360" w:lineRule="auto"/>
              <w:rPr>
                <w:rFonts w:ascii="宋体" w:hAnsi="宋体" w:eastAsia="宋体" w:cs="宋体"/>
                <w:color w:val="auto"/>
                <w:lang w:eastAsia="zh-CN"/>
              </w:rPr>
            </w:pPr>
            <w:r>
              <w:rPr>
                <w:rFonts w:hint="eastAsia" w:ascii="宋体" w:hAnsi="宋体" w:eastAsia="宋体" w:cs="宋体"/>
                <w:color w:val="auto"/>
                <w:lang w:eastAsia="zh-CN"/>
              </w:rPr>
              <w:t>本合同为固定单价合同</w:t>
            </w:r>
          </w:p>
        </w:tc>
      </w:tr>
      <w:tr w14:paraId="2C6C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724E649B">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8</w:t>
            </w:r>
          </w:p>
        </w:tc>
        <w:tc>
          <w:tcPr>
            <w:tcW w:w="2154" w:type="dxa"/>
            <w:vAlign w:val="center"/>
          </w:tcPr>
          <w:p w14:paraId="447685AB">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竞价有效期</w:t>
            </w:r>
          </w:p>
        </w:tc>
        <w:tc>
          <w:tcPr>
            <w:tcW w:w="7664" w:type="dxa"/>
            <w:vAlign w:val="center"/>
          </w:tcPr>
          <w:p w14:paraId="11F2D89A">
            <w:pPr>
              <w:spacing w:line="360" w:lineRule="auto"/>
              <w:rPr>
                <w:rFonts w:ascii="宋体" w:hAnsi="宋体" w:eastAsia="宋体" w:cs="宋体"/>
                <w:color w:val="auto"/>
                <w:lang w:eastAsia="zh-CN"/>
              </w:rPr>
            </w:pPr>
            <w:r>
              <w:rPr>
                <w:rFonts w:hint="eastAsia" w:ascii="宋体" w:hAnsi="宋体" w:eastAsia="宋体" w:cs="宋体"/>
                <w:color w:val="auto"/>
                <w:lang w:eastAsia="zh-CN"/>
              </w:rPr>
              <w:t>竞价截止时间后90天以内</w:t>
            </w:r>
          </w:p>
        </w:tc>
      </w:tr>
      <w:tr w14:paraId="2A16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70" w:type="dxa"/>
            <w:vAlign w:val="center"/>
          </w:tcPr>
          <w:p w14:paraId="4EE6CE1F">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9</w:t>
            </w:r>
          </w:p>
        </w:tc>
        <w:tc>
          <w:tcPr>
            <w:tcW w:w="2154" w:type="dxa"/>
            <w:vAlign w:val="center"/>
          </w:tcPr>
          <w:p w14:paraId="077E6750">
            <w:pPr>
              <w:spacing w:line="360" w:lineRule="auto"/>
              <w:jc w:val="center"/>
              <w:rPr>
                <w:rFonts w:ascii="宋体" w:hAnsi="宋体" w:eastAsia="宋体" w:cs="宋体"/>
                <w:color w:val="auto"/>
              </w:rPr>
            </w:pPr>
            <w:r>
              <w:rPr>
                <w:rFonts w:hint="eastAsia" w:ascii="宋体" w:hAnsi="宋体" w:eastAsia="宋体" w:cs="宋体"/>
                <w:color w:val="auto"/>
                <w:lang w:eastAsia="zh-CN"/>
              </w:rPr>
              <w:t>竞</w:t>
            </w:r>
            <w:r>
              <w:rPr>
                <w:rFonts w:hint="eastAsia" w:ascii="宋体" w:hAnsi="宋体" w:eastAsia="宋体" w:cs="宋体"/>
                <w:color w:val="auto"/>
              </w:rPr>
              <w:t>价文件要求</w:t>
            </w:r>
          </w:p>
        </w:tc>
        <w:tc>
          <w:tcPr>
            <w:tcW w:w="7664" w:type="dxa"/>
            <w:vAlign w:val="center"/>
          </w:tcPr>
          <w:p w14:paraId="174E18B2">
            <w:pPr>
              <w:spacing w:line="360" w:lineRule="auto"/>
              <w:rPr>
                <w:rFonts w:ascii="宋体" w:hAnsi="宋体" w:eastAsia="宋体" w:cs="宋体"/>
                <w:color w:val="auto"/>
                <w:lang w:eastAsia="zh-CN"/>
              </w:rPr>
            </w:pPr>
            <w:r>
              <w:rPr>
                <w:rFonts w:hint="eastAsia" w:ascii="宋体" w:hAnsi="宋体" w:eastAsia="宋体" w:cs="宋体"/>
                <w:color w:val="auto"/>
                <w:lang w:eastAsia="zh-CN"/>
              </w:rPr>
              <w:t>竞</w:t>
            </w:r>
            <w:r>
              <w:rPr>
                <w:rFonts w:hint="eastAsia" w:ascii="宋体" w:hAnsi="宋体" w:eastAsia="宋体" w:cs="宋体"/>
                <w:color w:val="auto"/>
              </w:rPr>
              <w:t>价人登录“精彩纵横云采购平台网站（https://www.yingcaicheng.com）”将</w:t>
            </w:r>
            <w:r>
              <w:rPr>
                <w:rFonts w:hint="eastAsia" w:ascii="宋体" w:hAnsi="宋体" w:eastAsia="宋体" w:cs="宋体"/>
                <w:color w:val="auto"/>
                <w:lang w:eastAsia="zh-CN"/>
              </w:rPr>
              <w:t>竞价</w:t>
            </w:r>
            <w:r>
              <w:rPr>
                <w:rFonts w:hint="eastAsia" w:ascii="宋体" w:hAnsi="宋体" w:eastAsia="宋体" w:cs="宋体"/>
                <w:color w:val="auto"/>
              </w:rPr>
              <w:t>文件作为附件上传。</w:t>
            </w:r>
            <w:r>
              <w:rPr>
                <w:rFonts w:hint="eastAsia" w:ascii="宋体" w:hAnsi="宋体" w:eastAsia="宋体" w:cs="宋体"/>
                <w:color w:val="auto"/>
                <w:lang w:eastAsia="zh-CN"/>
              </w:rPr>
              <w:t>竞价文件为PDF扫描件（竞价文件格式要求加盖法人单位公章，并由法定代表人或代理人签署）。</w:t>
            </w:r>
          </w:p>
        </w:tc>
      </w:tr>
      <w:tr w14:paraId="0687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2BFF5662">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10</w:t>
            </w:r>
          </w:p>
        </w:tc>
        <w:tc>
          <w:tcPr>
            <w:tcW w:w="2154" w:type="dxa"/>
            <w:vAlign w:val="center"/>
          </w:tcPr>
          <w:p w14:paraId="7DA1AD96">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报名时间、竞价文件递交方式</w:t>
            </w:r>
          </w:p>
        </w:tc>
        <w:tc>
          <w:tcPr>
            <w:tcW w:w="7664" w:type="dxa"/>
            <w:vAlign w:val="center"/>
          </w:tcPr>
          <w:p w14:paraId="3E8D5857">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1.报名时间：</w:t>
            </w:r>
          </w:p>
          <w:p w14:paraId="4F82DD64">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报名时间为</w:t>
            </w:r>
            <w:r>
              <w:rPr>
                <w:rFonts w:hint="eastAsia"/>
                <w:color w:val="auto"/>
                <w:sz w:val="24"/>
                <w:szCs w:val="24"/>
                <w:lang w:val="en-US" w:eastAsia="zh-CN"/>
              </w:rPr>
              <w:t>2025年7月15日8时至2025年7月17日24时</w:t>
            </w:r>
            <w:r>
              <w:rPr>
                <w:rFonts w:hint="eastAsia" w:ascii="宋体" w:hAnsi="宋体" w:eastAsia="宋体" w:cs="宋体"/>
                <w:color w:val="auto"/>
                <w:lang w:eastAsia="zh-CN"/>
              </w:rPr>
              <w:t>，逾期视为自动放弃。</w:t>
            </w:r>
          </w:p>
          <w:p w14:paraId="6A7432B9">
            <w:pPr>
              <w:spacing w:line="360" w:lineRule="auto"/>
              <w:jc w:val="both"/>
              <w:rPr>
                <w:rFonts w:ascii="宋体" w:hAnsi="宋体" w:eastAsia="宋体" w:cs="宋体"/>
                <w:color w:val="auto"/>
              </w:rPr>
            </w:pPr>
            <w:r>
              <w:rPr>
                <w:rFonts w:hint="eastAsia" w:ascii="宋体" w:hAnsi="宋体" w:eastAsia="宋体" w:cs="宋体"/>
                <w:color w:val="auto"/>
              </w:rPr>
              <w:t>2.递交方式：</w:t>
            </w:r>
          </w:p>
          <w:p w14:paraId="06CAC48B">
            <w:pPr>
              <w:spacing w:line="360" w:lineRule="auto"/>
              <w:jc w:val="both"/>
              <w:rPr>
                <w:rFonts w:ascii="宋体" w:hAnsi="宋体" w:eastAsia="宋体" w:cs="宋体"/>
                <w:color w:val="auto"/>
                <w:lang w:eastAsia="zh-CN"/>
              </w:rPr>
            </w:pPr>
            <w:r>
              <w:rPr>
                <w:rFonts w:hint="eastAsia" w:ascii="宋体" w:hAnsi="宋体" w:eastAsia="宋体" w:cs="宋体"/>
                <w:color w:val="auto"/>
              </w:rPr>
              <w:t>（1）登录“精彩纵横云采购平台网（https://www.yingcaicheng.com）”公告查看页面点击“立即参与”。</w:t>
            </w:r>
            <w:r>
              <w:rPr>
                <w:rFonts w:hint="eastAsia" w:ascii="宋体" w:hAnsi="宋体" w:eastAsia="宋体" w:cs="宋体"/>
                <w:color w:val="auto"/>
                <w:lang w:eastAsia="zh-CN"/>
              </w:rPr>
              <w:t>请未注册的供应商及时办理注册审核，注册咨询电话：400-8566-100，因未及时办理注册审核手续影响报名及报价的，责任自负。</w:t>
            </w:r>
          </w:p>
          <w:p w14:paraId="2BE2BA1A">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（2）供应商需完整填写竞价信息，并按采购文件要求上传相应资料的扫描件，须在报名截止时间前提交，逾期责任自负。</w:t>
            </w:r>
          </w:p>
          <w:p w14:paraId="340A345D">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（3）供应商如有疑问可以在线提问并在线查看答疑澄清。</w:t>
            </w:r>
          </w:p>
        </w:tc>
      </w:tr>
      <w:tr w14:paraId="3382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1C3C9A66">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11</w:t>
            </w:r>
          </w:p>
        </w:tc>
        <w:tc>
          <w:tcPr>
            <w:tcW w:w="2154" w:type="dxa"/>
            <w:vAlign w:val="center"/>
          </w:tcPr>
          <w:p w14:paraId="5BFBEBC2">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竞价人必须具备的资格及要求</w:t>
            </w:r>
          </w:p>
        </w:tc>
        <w:tc>
          <w:tcPr>
            <w:tcW w:w="7664" w:type="dxa"/>
            <w:vAlign w:val="center"/>
          </w:tcPr>
          <w:p w14:paraId="6A904DDC">
            <w:pPr>
              <w:spacing w:line="360" w:lineRule="auto"/>
              <w:rPr>
                <w:rFonts w:ascii="宋体" w:hAnsi="宋体" w:eastAsia="宋体" w:cs="宋体"/>
                <w:color w:val="auto"/>
                <w:lang w:eastAsia="zh-CN"/>
              </w:rPr>
            </w:pPr>
            <w:r>
              <w:rPr>
                <w:rFonts w:hint="eastAsia" w:ascii="宋体" w:hAnsi="宋体" w:eastAsia="宋体" w:cs="宋体"/>
                <w:color w:val="auto"/>
                <w:lang w:eastAsia="zh-CN"/>
              </w:rPr>
              <w:t>1、须为在中华人民共和国境内依法注册且具备独立法人资格的单位；</w:t>
            </w:r>
          </w:p>
          <w:p w14:paraId="3D07EFB3">
            <w:pPr>
              <w:spacing w:line="360" w:lineRule="auto"/>
              <w:rPr>
                <w:rFonts w:ascii="宋体" w:hAnsi="宋体" w:eastAsia="宋体" w:cs="宋体"/>
                <w:color w:val="auto"/>
                <w:lang w:eastAsia="zh-CN"/>
              </w:rPr>
            </w:pPr>
            <w:r>
              <w:rPr>
                <w:rFonts w:hint="eastAsia" w:ascii="宋体" w:hAnsi="宋体" w:eastAsia="宋体" w:cs="宋体"/>
                <w:color w:val="auto"/>
                <w:lang w:eastAsia="zh-CN"/>
              </w:rPr>
              <w:t>2、在竞价截止日不处于被责令停业、被吊销营业执照、被宣告破产、财产被接管、冻结等状态，不存在不符合法律法规规定的其他竞价资格条件的情形；</w:t>
            </w:r>
          </w:p>
          <w:p w14:paraId="74838CC0">
            <w:pPr>
              <w:spacing w:line="360" w:lineRule="auto"/>
              <w:rPr>
                <w:rFonts w:ascii="宋体" w:hAnsi="宋体" w:eastAsia="宋体" w:cs="宋体"/>
                <w:color w:val="auto"/>
                <w:lang w:eastAsia="zh-CN"/>
              </w:rPr>
            </w:pPr>
            <w:r>
              <w:rPr>
                <w:rFonts w:hint="eastAsia" w:ascii="宋体" w:hAnsi="宋体" w:eastAsia="宋体" w:cs="宋体"/>
                <w:color w:val="auto"/>
                <w:lang w:eastAsia="zh-CN"/>
              </w:rPr>
              <w:t>3、单位负责人为同一人或者存在控股、管理关系的不同单位，不得参加同一项目竞价。</w:t>
            </w:r>
          </w:p>
          <w:p w14:paraId="75BBA313">
            <w:pPr>
              <w:spacing w:line="360" w:lineRule="auto"/>
              <w:rPr>
                <w:rFonts w:ascii="宋体" w:hAnsi="宋体" w:eastAsia="宋体" w:cs="宋体"/>
                <w:color w:val="auto"/>
                <w:lang w:eastAsia="zh-CN"/>
              </w:rPr>
            </w:pPr>
            <w:r>
              <w:rPr>
                <w:rFonts w:hint="eastAsia" w:ascii="宋体" w:hAnsi="宋体" w:eastAsia="宋体" w:cs="宋体"/>
                <w:color w:val="auto"/>
                <w:lang w:eastAsia="zh-CN"/>
              </w:rPr>
              <w:t>4、本项目不接受联合体，成交后不得转包和分包；</w:t>
            </w:r>
          </w:p>
          <w:p w14:paraId="3A6BFD86">
            <w:pPr>
              <w:spacing w:line="360" w:lineRule="auto"/>
              <w:rPr>
                <w:rFonts w:ascii="宋体" w:hAnsi="宋体" w:eastAsia="宋体" w:cs="宋体"/>
                <w:color w:val="auto"/>
                <w:lang w:eastAsia="zh-CN"/>
              </w:rPr>
            </w:pPr>
            <w:r>
              <w:rPr>
                <w:rFonts w:hint="eastAsia" w:ascii="宋体" w:hAnsi="宋体" w:eastAsia="宋体" w:cs="宋体"/>
                <w:color w:val="auto"/>
                <w:lang w:eastAsia="zh-CN"/>
              </w:rPr>
              <w:t>5、竞价人被“信用|中国”列入“重大税收违法失信主体”、“政府采购严重违法失信行为记录名单”的、被“中国执行信息公开网”列入“失信被执行人”(处罚期限尚未届满的)的，不得参与本项目的竞价。</w:t>
            </w:r>
          </w:p>
          <w:p w14:paraId="5BE9CDA0">
            <w:pPr>
              <w:spacing w:line="360" w:lineRule="auto"/>
              <w:rPr>
                <w:color w:val="auto"/>
                <w:lang w:eastAsia="zh-CN"/>
              </w:rPr>
            </w:pPr>
            <w:r>
              <w:rPr>
                <w:rFonts w:hint="eastAsia" w:ascii="宋体" w:hAnsi="宋体" w:eastAsia="宋体" w:cs="宋体"/>
                <w:color w:val="auto"/>
                <w:lang w:eastAsia="zh-CN"/>
              </w:rPr>
              <w:t>6、</w:t>
            </w:r>
            <w:r>
              <w:rPr>
                <w:rFonts w:ascii="宋体" w:hAnsi="宋体" w:eastAsia="宋体" w:cs="宋体"/>
                <w:b/>
                <w:bCs/>
                <w:color w:val="auto"/>
                <w:lang w:eastAsia="zh-CN"/>
              </w:rPr>
              <w:t>竞价单位须配备不少于10辆</w:t>
            </w:r>
            <w:r>
              <w:rPr>
                <w:rFonts w:hint="eastAsia" w:ascii="宋体" w:hAnsi="宋体" w:eastAsia="宋体" w:cs="宋体"/>
                <w:b/>
                <w:bCs/>
                <w:color w:val="auto"/>
                <w:lang w:eastAsia="zh-CN"/>
              </w:rPr>
              <w:t>证书齐全</w:t>
            </w:r>
            <w:r>
              <w:rPr>
                <w:rFonts w:ascii="宋体" w:hAnsi="宋体" w:eastAsia="宋体" w:cs="宋体"/>
                <w:b/>
                <w:bCs/>
                <w:color w:val="auto"/>
                <w:lang w:eastAsia="zh-CN"/>
              </w:rPr>
              <w:t>运输车辆，要求车辆具备</w:t>
            </w:r>
            <w:r>
              <w:rPr>
                <w:rFonts w:hint="eastAsia" w:ascii="宋体" w:hAnsi="宋体" w:eastAsia="宋体" w:cs="宋体"/>
                <w:b/>
                <w:bCs/>
                <w:color w:val="C00000"/>
                <w:lang w:eastAsia="zh-CN"/>
              </w:rPr>
              <w:t>白天可在</w:t>
            </w:r>
            <w:r>
              <w:rPr>
                <w:rFonts w:ascii="宋体" w:hAnsi="宋体" w:eastAsia="宋体" w:cs="宋体"/>
                <w:b/>
                <w:bCs/>
                <w:color w:val="auto"/>
                <w:lang w:eastAsia="zh-CN"/>
              </w:rPr>
              <w:t>抚州城区</w:t>
            </w:r>
            <w:r>
              <w:rPr>
                <w:rFonts w:hint="eastAsia" w:ascii="宋体" w:hAnsi="宋体" w:eastAsia="宋体" w:cs="宋体"/>
                <w:b/>
                <w:bCs/>
                <w:color w:val="auto"/>
                <w:lang w:val="en-US" w:eastAsia="zh-CN"/>
              </w:rPr>
              <w:t>运输机制砂的</w:t>
            </w:r>
            <w:r>
              <w:rPr>
                <w:rFonts w:hint="eastAsia" w:ascii="宋体" w:hAnsi="宋体" w:eastAsia="宋体" w:cs="宋体"/>
                <w:b/>
                <w:bCs/>
                <w:color w:val="auto"/>
                <w:lang w:eastAsia="zh-CN"/>
              </w:rPr>
              <w:t>能力</w:t>
            </w:r>
            <w:r>
              <w:rPr>
                <w:rFonts w:ascii="宋体" w:hAnsi="宋体" w:eastAsia="宋体" w:cs="宋体"/>
                <w:b/>
                <w:bCs/>
                <w:color w:val="auto"/>
                <w:lang w:eastAsia="zh-CN"/>
              </w:rPr>
              <w:t>，并作为本标段专项运输车辆使用</w:t>
            </w:r>
            <w:r>
              <w:rPr>
                <w:rFonts w:hint="eastAsia" w:ascii="宋体" w:hAnsi="宋体" w:eastAsia="宋体" w:cs="宋体"/>
                <w:b/>
                <w:bCs/>
                <w:color w:val="auto"/>
                <w:lang w:eastAsia="zh-CN"/>
              </w:rPr>
              <w:t>。</w:t>
            </w:r>
          </w:p>
        </w:tc>
      </w:tr>
      <w:tr w14:paraId="1BC9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2D785BBC">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12</w:t>
            </w:r>
          </w:p>
        </w:tc>
        <w:tc>
          <w:tcPr>
            <w:tcW w:w="2154" w:type="dxa"/>
            <w:vAlign w:val="center"/>
          </w:tcPr>
          <w:p w14:paraId="7D63FE6E">
            <w:pPr>
              <w:spacing w:line="360" w:lineRule="auto"/>
              <w:jc w:val="center"/>
              <w:rPr>
                <w:rFonts w:ascii="宋体" w:hAnsi="宋体" w:eastAsia="宋体" w:cs="宋体"/>
                <w:color w:val="auto"/>
              </w:rPr>
            </w:pPr>
            <w:r>
              <w:rPr>
                <w:rFonts w:hint="eastAsia" w:ascii="宋体" w:hAnsi="宋体" w:eastAsia="宋体" w:cs="宋体"/>
                <w:color w:val="auto"/>
              </w:rPr>
              <w:t>资格审查方式</w:t>
            </w:r>
          </w:p>
        </w:tc>
        <w:tc>
          <w:tcPr>
            <w:tcW w:w="7664" w:type="dxa"/>
            <w:vAlign w:val="center"/>
          </w:tcPr>
          <w:p w14:paraId="0024B894">
            <w:pPr>
              <w:spacing w:line="360" w:lineRule="auto"/>
              <w:rPr>
                <w:rFonts w:hint="eastAsia" w:ascii="宋体" w:hAnsi="宋体" w:eastAsia="宋体" w:cs="宋体"/>
                <w:color w:val="auto"/>
                <w:lang w:eastAsia="zh-CN"/>
              </w:rPr>
            </w:pPr>
            <w:r>
              <w:rPr>
                <w:rFonts w:hint="eastAsia" w:ascii="宋体" w:hAnsi="宋体" w:eastAsia="宋体" w:cs="宋体"/>
                <w:color w:val="auto"/>
                <w:lang w:val="en-US" w:eastAsia="zh-CN"/>
              </w:rPr>
              <w:t>参与竞价资格前审，中标</w:t>
            </w:r>
            <w:r>
              <w:rPr>
                <w:rFonts w:hint="eastAsia" w:ascii="宋体" w:hAnsi="宋体" w:eastAsia="宋体" w:cs="宋体"/>
                <w:color w:val="auto"/>
              </w:rPr>
              <w:t>资格</w:t>
            </w:r>
            <w:r>
              <w:rPr>
                <w:rFonts w:hint="eastAsia" w:ascii="宋体" w:hAnsi="宋体" w:eastAsia="宋体" w:cs="宋体"/>
                <w:color w:val="auto"/>
                <w:lang w:val="en-US" w:eastAsia="zh-CN"/>
              </w:rPr>
              <w:t>后</w:t>
            </w:r>
            <w:r>
              <w:rPr>
                <w:rFonts w:hint="eastAsia" w:ascii="宋体" w:hAnsi="宋体" w:eastAsia="宋体" w:cs="宋体"/>
                <w:color w:val="auto"/>
              </w:rPr>
              <w:t>审</w:t>
            </w:r>
            <w:r>
              <w:rPr>
                <w:rFonts w:hint="eastAsia" w:ascii="宋体" w:hAnsi="宋体" w:eastAsia="宋体" w:cs="宋体"/>
                <w:color w:val="auto"/>
                <w:lang w:eastAsia="zh-CN"/>
              </w:rPr>
              <w:t>。</w:t>
            </w:r>
          </w:p>
        </w:tc>
      </w:tr>
      <w:tr w14:paraId="28D5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14:paraId="222DEFB8">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13</w:t>
            </w:r>
          </w:p>
        </w:tc>
        <w:tc>
          <w:tcPr>
            <w:tcW w:w="2154" w:type="dxa"/>
            <w:vAlign w:val="center"/>
          </w:tcPr>
          <w:p w14:paraId="575234BE">
            <w:pPr>
              <w:spacing w:line="360" w:lineRule="auto"/>
              <w:jc w:val="center"/>
              <w:rPr>
                <w:rFonts w:ascii="宋体" w:hAnsi="宋体" w:eastAsia="宋体" w:cs="宋体"/>
                <w:color w:val="auto"/>
                <w:lang w:eastAsia="zh-CN"/>
              </w:rPr>
            </w:pPr>
            <w:r>
              <w:rPr>
                <w:rFonts w:hint="eastAsia" w:ascii="宋体" w:hAnsi="宋体" w:eastAsia="宋体" w:cs="宋体"/>
                <w:color w:val="auto"/>
              </w:rPr>
              <w:t>报价附件</w:t>
            </w:r>
          </w:p>
        </w:tc>
        <w:tc>
          <w:tcPr>
            <w:tcW w:w="7664" w:type="dxa"/>
            <w:vAlign w:val="center"/>
          </w:tcPr>
          <w:p w14:paraId="07BE4122">
            <w:pPr>
              <w:spacing w:line="360" w:lineRule="auto"/>
              <w:rPr>
                <w:rFonts w:ascii="宋体" w:hAnsi="宋体" w:eastAsia="宋体" w:cs="宋体"/>
                <w:color w:val="auto"/>
                <w:lang w:eastAsia="zh-CN"/>
              </w:rPr>
            </w:pPr>
            <w:r>
              <w:rPr>
                <w:rFonts w:hint="eastAsia" w:ascii="宋体" w:hAnsi="宋体" w:eastAsia="宋体" w:cs="宋体"/>
                <w:color w:val="auto"/>
                <w:lang w:eastAsia="zh-CN"/>
              </w:rPr>
              <w:t>报价函（附件一）、法定代表人资格证明书（附件二）、法定代表人授权书（附件三）、报价人承诺函（附件四）、资格证明材料（附件五）、差异表（附件六）、竞价材料以及</w:t>
            </w:r>
            <w:bookmarkStart w:id="88" w:name="_Hlk201151819"/>
            <w:r>
              <w:rPr>
                <w:rFonts w:hint="eastAsia" w:ascii="宋体" w:hAnsi="宋体" w:eastAsia="宋体" w:cs="宋体"/>
                <w:color w:val="auto"/>
                <w:lang w:val="en-US" w:eastAsia="zh-CN"/>
              </w:rPr>
              <w:t>具备CMA和CMC资质</w:t>
            </w:r>
            <w:r>
              <w:rPr>
                <w:rFonts w:hint="eastAsia" w:ascii="宋体" w:hAnsi="宋体" w:eastAsia="宋体" w:cs="宋体"/>
                <w:color w:val="auto"/>
                <w:lang w:eastAsia="zh-CN"/>
              </w:rPr>
              <w:t>机构</w:t>
            </w:r>
            <w:r>
              <w:rPr>
                <w:rFonts w:hint="eastAsia" w:ascii="宋体" w:hAnsi="宋体" w:eastAsia="宋体" w:cs="宋体"/>
                <w:color w:val="auto"/>
                <w:lang w:val="en-US" w:eastAsia="zh-CN"/>
              </w:rPr>
              <w:t>出具</w:t>
            </w:r>
            <w:r>
              <w:rPr>
                <w:rFonts w:hint="eastAsia" w:ascii="宋体" w:hAnsi="宋体" w:eastAsia="宋体" w:cs="宋体"/>
                <w:color w:val="auto"/>
                <w:lang w:eastAsia="zh-CN"/>
              </w:rPr>
              <w:t>的合格检测报告</w:t>
            </w:r>
            <w:bookmarkEnd w:id="88"/>
            <w:r>
              <w:rPr>
                <w:rFonts w:hint="eastAsia" w:ascii="宋体" w:hAnsi="宋体" w:eastAsia="宋体" w:cs="宋体"/>
                <w:color w:val="auto"/>
                <w:lang w:eastAsia="zh-CN"/>
              </w:rPr>
              <w:t>（附件七）（</w:t>
            </w:r>
            <w:r>
              <w:rPr>
                <w:rFonts w:hint="eastAsia" w:ascii="宋体" w:hAnsi="宋体" w:eastAsia="宋体" w:cs="宋体"/>
                <w:color w:val="auto"/>
                <w:lang w:val="en-US" w:eastAsia="zh-CN"/>
              </w:rPr>
              <w:t>必须提供所投产品的相应检测报告</w:t>
            </w:r>
            <w:r>
              <w:rPr>
                <w:rFonts w:hint="eastAsia" w:ascii="宋体" w:hAnsi="宋体" w:eastAsia="宋体" w:cs="宋体"/>
                <w:color w:val="auto"/>
                <w:lang w:eastAsia="zh-CN"/>
              </w:rPr>
              <w:t>）、竞价</w:t>
            </w:r>
            <w:r>
              <w:rPr>
                <w:rFonts w:hint="eastAsia" w:ascii="宋体" w:hAnsi="宋体" w:eastAsia="宋体" w:cs="宋体"/>
                <w:b/>
                <w:bCs/>
                <w:color w:val="auto"/>
                <w:lang w:eastAsia="zh-CN"/>
              </w:rPr>
              <w:t>人在竞价截止时间前提供竞价前两年(不含竞价当月，</w:t>
            </w:r>
            <w:r>
              <w:rPr>
                <w:rFonts w:hint="eastAsia" w:ascii="宋体" w:hAnsi="宋体" w:eastAsia="宋体" w:cs="宋体"/>
                <w:b/>
                <w:bCs/>
                <w:color w:val="auto"/>
                <w:lang w:val="en-US" w:eastAsia="zh-CN"/>
              </w:rPr>
              <w:t>不得早于2023年6月30日</w:t>
            </w:r>
            <w:r>
              <w:rPr>
                <w:rFonts w:hint="eastAsia" w:ascii="宋体" w:hAnsi="宋体" w:eastAsia="宋体" w:cs="宋体"/>
                <w:b/>
                <w:bCs/>
                <w:color w:val="auto"/>
                <w:lang w:eastAsia="zh-CN"/>
              </w:rPr>
              <w:t>)与碎石相关业绩(必须提供合同及对应发票等扫描件加盖竞价单位公章)作为具有服务能力的依据(附件八)。报价人需要提供至少（租赁车辆需提供租赁合同）十辆能市内运输载具的行驶证扫描件，</w:t>
            </w:r>
            <w:r>
              <w:rPr>
                <w:rFonts w:hint="eastAsia" w:ascii="宋体" w:hAnsi="宋体" w:eastAsia="宋体" w:cs="宋体"/>
                <w:b/>
                <w:bCs/>
                <w:color w:val="FF0000"/>
                <w:lang w:val="en-US" w:eastAsia="zh-CN"/>
              </w:rPr>
              <w:t>备供单位的排序将依据此附件载具数量高低选定</w:t>
            </w:r>
            <w:r>
              <w:rPr>
                <w:rFonts w:hint="eastAsia" w:ascii="宋体" w:hAnsi="宋体" w:eastAsia="宋体" w:cs="宋体"/>
                <w:b/>
                <w:bCs/>
                <w:color w:val="auto"/>
                <w:lang w:eastAsia="zh-CN"/>
              </w:rPr>
              <w:t>（附件九），</w:t>
            </w:r>
            <w:r>
              <w:rPr>
                <w:rFonts w:hint="eastAsia" w:ascii="宋体" w:hAnsi="宋体" w:eastAsia="宋体" w:cs="宋体"/>
                <w:b/>
                <w:bCs/>
                <w:color w:val="FF0000"/>
                <w:lang w:eastAsia="zh-CN"/>
              </w:rPr>
              <w:t>自有车辆的车辆所有人为报价人名称，提供租赁车辆的租赁人为报价人名称</w:t>
            </w:r>
            <w:r>
              <w:rPr>
                <w:rFonts w:hint="eastAsia" w:ascii="宋体" w:hAnsi="宋体" w:eastAsia="宋体" w:cs="宋体"/>
                <w:b/>
                <w:bCs/>
                <w:color w:val="auto"/>
                <w:lang w:eastAsia="zh-CN"/>
              </w:rPr>
              <w:t>，未提供的及未按要求提供的为无效竞价。</w:t>
            </w:r>
          </w:p>
        </w:tc>
      </w:tr>
    </w:tbl>
    <w:p w14:paraId="1C40746B">
      <w:pPr>
        <w:pStyle w:val="2"/>
        <w:spacing w:line="360" w:lineRule="auto"/>
        <w:rPr>
          <w:rFonts w:ascii="宋体" w:hAnsi="宋体" w:eastAsia="宋体" w:cs="宋体"/>
          <w:color w:val="auto"/>
          <w:sz w:val="28"/>
          <w:szCs w:val="28"/>
          <w:lang w:eastAsia="zh-CN"/>
        </w:rPr>
      </w:pPr>
      <w:bookmarkStart w:id="89" w:name="_Toc4377"/>
      <w:r>
        <w:rPr>
          <w:rFonts w:hint="eastAsia" w:ascii="宋体" w:hAnsi="宋体" w:eastAsia="宋体" w:cs="宋体"/>
          <w:color w:val="auto"/>
          <w:sz w:val="28"/>
          <w:szCs w:val="28"/>
          <w:lang w:eastAsia="zh-CN"/>
        </w:rPr>
        <w:t>1 总则</w:t>
      </w:r>
      <w:bookmarkEnd w:id="71"/>
      <w:bookmarkEnd w:id="72"/>
      <w:bookmarkEnd w:id="73"/>
      <w:bookmarkEnd w:id="74"/>
      <w:bookmarkEnd w:id="75"/>
      <w:bookmarkEnd w:id="76"/>
      <w:bookmarkEnd w:id="77"/>
      <w:bookmarkEnd w:id="78"/>
      <w:bookmarkEnd w:id="89"/>
    </w:p>
    <w:p w14:paraId="6FBEE1B1">
      <w:pPr>
        <w:pStyle w:val="4"/>
        <w:spacing w:before="0" w:after="0" w:line="360" w:lineRule="auto"/>
        <w:rPr>
          <w:rFonts w:ascii="宋体" w:hAnsi="宋体" w:eastAsia="宋体" w:cs="宋体"/>
          <w:color w:val="auto"/>
          <w:sz w:val="24"/>
          <w:lang w:eastAsia="zh-CN"/>
        </w:rPr>
      </w:pPr>
      <w:bookmarkStart w:id="90" w:name="_Toc2236"/>
      <w:bookmarkStart w:id="91" w:name="_Toc15735"/>
      <w:bookmarkStart w:id="92" w:name="_Toc174302073"/>
      <w:bookmarkStart w:id="93" w:name="_Toc23188"/>
      <w:bookmarkStart w:id="94" w:name="_Toc12658"/>
      <w:bookmarkStart w:id="95" w:name="bookmark265"/>
      <w:bookmarkStart w:id="96" w:name="_Toc27504"/>
      <w:bookmarkStart w:id="97" w:name="bookmark263"/>
      <w:bookmarkStart w:id="98" w:name="bookmark264"/>
      <w:r>
        <w:rPr>
          <w:rFonts w:hint="eastAsia" w:ascii="宋体" w:hAnsi="宋体" w:eastAsia="宋体" w:cs="宋体"/>
          <w:color w:val="auto"/>
          <w:sz w:val="24"/>
          <w:lang w:eastAsia="zh-CN"/>
        </w:rPr>
        <w:t>1.1 采购方式</w:t>
      </w:r>
      <w:bookmarkEnd w:id="90"/>
      <w:bookmarkEnd w:id="91"/>
      <w:bookmarkEnd w:id="92"/>
      <w:bookmarkEnd w:id="93"/>
      <w:bookmarkEnd w:id="94"/>
      <w:bookmarkEnd w:id="95"/>
      <w:bookmarkEnd w:id="96"/>
      <w:bookmarkEnd w:id="97"/>
      <w:bookmarkEnd w:id="98"/>
    </w:p>
    <w:p w14:paraId="08E545AE">
      <w:pPr>
        <w:pStyle w:val="39"/>
        <w:spacing w:line="360" w:lineRule="auto"/>
        <w:ind w:firstLine="480" w:firstLineChars="200"/>
        <w:rPr>
          <w:color w:val="auto"/>
          <w:sz w:val="21"/>
          <w:szCs w:val="21"/>
        </w:rPr>
      </w:pPr>
      <w:r>
        <w:rPr>
          <w:rFonts w:hint="eastAsia"/>
          <w:color w:val="auto"/>
          <w:sz w:val="24"/>
          <w:szCs w:val="24"/>
          <w:lang w:eastAsia="zh-CN"/>
        </w:rPr>
        <w:t>竞价</w:t>
      </w:r>
      <w:r>
        <w:rPr>
          <w:rFonts w:hint="eastAsia"/>
          <w:color w:val="auto"/>
          <w:sz w:val="24"/>
          <w:szCs w:val="24"/>
        </w:rPr>
        <w:t>采购是指采购人</w:t>
      </w:r>
      <w:r>
        <w:rPr>
          <w:rFonts w:hint="eastAsia"/>
          <w:color w:val="auto"/>
          <w:sz w:val="24"/>
          <w:szCs w:val="24"/>
          <w:lang w:eastAsia="zh-CN"/>
        </w:rPr>
        <w:t>对响应采购的供应商按照采购文件规定的规则和时限多次递交的竞争性报价进行排序，并</w:t>
      </w:r>
      <w:r>
        <w:rPr>
          <w:rFonts w:hint="eastAsia"/>
          <w:color w:val="auto"/>
          <w:sz w:val="24"/>
          <w:szCs w:val="24"/>
        </w:rPr>
        <w:t>确定成交供应商的</w:t>
      </w:r>
      <w:r>
        <w:rPr>
          <w:rFonts w:hint="eastAsia"/>
          <w:color w:val="auto"/>
          <w:sz w:val="24"/>
          <w:szCs w:val="24"/>
          <w:lang w:val="en-US" w:eastAsia="zh-CN"/>
        </w:rPr>
        <w:t>竞争性</w:t>
      </w:r>
      <w:r>
        <w:rPr>
          <w:rFonts w:hint="eastAsia"/>
          <w:color w:val="auto"/>
          <w:sz w:val="24"/>
          <w:szCs w:val="24"/>
        </w:rPr>
        <w:t>釆购方式。</w:t>
      </w:r>
    </w:p>
    <w:p w14:paraId="5EAED9C8">
      <w:pPr>
        <w:pStyle w:val="4"/>
        <w:spacing w:before="0" w:after="0" w:line="360" w:lineRule="auto"/>
        <w:rPr>
          <w:rFonts w:ascii="宋体" w:hAnsi="宋体" w:eastAsia="宋体" w:cs="宋体"/>
          <w:color w:val="auto"/>
          <w:sz w:val="24"/>
          <w:lang w:eastAsia="zh-CN"/>
        </w:rPr>
      </w:pPr>
      <w:bookmarkStart w:id="99" w:name="bookmark267"/>
      <w:bookmarkStart w:id="100" w:name="_Toc13664"/>
      <w:bookmarkStart w:id="101" w:name="bookmark266"/>
      <w:bookmarkStart w:id="102" w:name="bookmark268"/>
      <w:bookmarkStart w:id="103" w:name="_Toc11082"/>
      <w:bookmarkStart w:id="104" w:name="_Toc28569"/>
      <w:bookmarkStart w:id="105" w:name="_Toc25580"/>
      <w:bookmarkStart w:id="106" w:name="_Toc174302074"/>
      <w:bookmarkStart w:id="107" w:name="_Toc9287"/>
      <w:r>
        <w:rPr>
          <w:rFonts w:hint="eastAsia" w:ascii="宋体" w:hAnsi="宋体" w:eastAsia="宋体" w:cs="宋体"/>
          <w:color w:val="auto"/>
          <w:sz w:val="24"/>
          <w:lang w:eastAsia="zh-CN"/>
        </w:rPr>
        <w:t xml:space="preserve">1.2 </w:t>
      </w:r>
      <w:bookmarkEnd w:id="99"/>
      <w:bookmarkEnd w:id="100"/>
      <w:bookmarkEnd w:id="101"/>
      <w:bookmarkEnd w:id="102"/>
      <w:bookmarkEnd w:id="103"/>
      <w:bookmarkEnd w:id="104"/>
      <w:bookmarkEnd w:id="105"/>
      <w:bookmarkEnd w:id="106"/>
      <w:r>
        <w:rPr>
          <w:rFonts w:hint="eastAsia" w:ascii="宋体" w:hAnsi="宋体" w:eastAsia="宋体" w:cs="宋体"/>
          <w:color w:val="auto"/>
          <w:sz w:val="24"/>
          <w:lang w:eastAsia="zh-CN"/>
        </w:rPr>
        <w:t>采购项目和供应商申请资格条件</w:t>
      </w:r>
      <w:bookmarkEnd w:id="107"/>
    </w:p>
    <w:p w14:paraId="74E5C8FC">
      <w:pPr>
        <w:spacing w:line="360" w:lineRule="auto"/>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1.2.1 釆购项目见</w:t>
      </w:r>
      <w:r>
        <w:rPr>
          <w:rFonts w:hint="eastAsia" w:ascii="宋体" w:hAnsi="宋体" w:eastAsia="宋体" w:cs="宋体"/>
          <w:color w:val="auto"/>
          <w:lang w:val="zh-CN" w:eastAsia="zh-CN" w:bidi="zh-CN"/>
        </w:rPr>
        <w:t>“</w:t>
      </w:r>
      <w:r>
        <w:rPr>
          <w:rFonts w:hint="eastAsia" w:ascii="宋体" w:hAnsi="宋体" w:eastAsia="宋体" w:cs="宋体"/>
          <w:color w:val="auto"/>
          <w:lang w:eastAsia="zh-CN" w:bidi="zh-CN"/>
        </w:rPr>
        <w:t>竞价</w:t>
      </w:r>
      <w:r>
        <w:rPr>
          <w:rFonts w:hint="eastAsia" w:ascii="宋体" w:hAnsi="宋体" w:eastAsia="宋体" w:cs="宋体"/>
          <w:color w:val="auto"/>
          <w:lang w:eastAsia="zh-CN"/>
        </w:rPr>
        <w:t>采购公告 ”。</w:t>
      </w:r>
    </w:p>
    <w:p w14:paraId="2E5C6B00">
      <w:pPr>
        <w:pStyle w:val="39"/>
        <w:spacing w:line="360" w:lineRule="auto"/>
        <w:ind w:firstLine="480" w:firstLineChars="200"/>
        <w:rPr>
          <w:color w:val="auto"/>
          <w:sz w:val="24"/>
          <w:szCs w:val="24"/>
          <w:lang w:eastAsia="zh-CN"/>
        </w:rPr>
      </w:pPr>
      <w:r>
        <w:rPr>
          <w:rFonts w:hint="eastAsia"/>
          <w:color w:val="auto"/>
          <w:sz w:val="24"/>
          <w:szCs w:val="24"/>
          <w:lang w:val="en-US" w:eastAsia="zh-CN" w:bidi="en-US"/>
        </w:rPr>
        <w:t>1.2.2 供应商申请</w:t>
      </w:r>
      <w:r>
        <w:rPr>
          <w:rFonts w:hint="eastAsia"/>
          <w:color w:val="auto"/>
          <w:sz w:val="24"/>
          <w:szCs w:val="24"/>
          <w:lang w:val="en-US" w:eastAsia="zh-CN" w:bidi="zh-CN"/>
        </w:rPr>
        <w:t>资格</w:t>
      </w:r>
      <w:r>
        <w:rPr>
          <w:rFonts w:hint="eastAsia"/>
          <w:color w:val="auto"/>
          <w:sz w:val="24"/>
          <w:szCs w:val="24"/>
          <w:lang w:val="en-US" w:eastAsia="zh-CN" w:bidi="en-US"/>
        </w:rPr>
        <w:t>条件见</w:t>
      </w:r>
      <w:r>
        <w:rPr>
          <w:rFonts w:hint="eastAsia"/>
          <w:color w:val="auto"/>
          <w:sz w:val="24"/>
          <w:szCs w:val="24"/>
          <w:lang w:val="zh-CN" w:eastAsia="zh-CN" w:bidi="zh-CN"/>
        </w:rPr>
        <w:t>“</w:t>
      </w:r>
      <w:r>
        <w:rPr>
          <w:rFonts w:hint="eastAsia"/>
          <w:color w:val="auto"/>
          <w:sz w:val="24"/>
          <w:szCs w:val="24"/>
          <w:lang w:val="en-US" w:eastAsia="zh-CN" w:bidi="zh-CN"/>
        </w:rPr>
        <w:t>竞价</w:t>
      </w:r>
      <w:r>
        <w:rPr>
          <w:rFonts w:hint="eastAsia"/>
          <w:color w:val="auto"/>
          <w:sz w:val="24"/>
          <w:szCs w:val="24"/>
        </w:rPr>
        <w:t>采购公告</w:t>
      </w:r>
      <w:r>
        <w:rPr>
          <w:rFonts w:hint="eastAsia"/>
          <w:color w:val="auto"/>
          <w:sz w:val="24"/>
          <w:szCs w:val="24"/>
          <w:lang w:eastAsia="zh-CN"/>
        </w:rPr>
        <w:t xml:space="preserve"> </w:t>
      </w:r>
      <w:r>
        <w:rPr>
          <w:rFonts w:hint="eastAsia"/>
          <w:color w:val="auto"/>
          <w:sz w:val="24"/>
          <w:szCs w:val="24"/>
        </w:rPr>
        <w:t>”</w:t>
      </w:r>
      <w:r>
        <w:rPr>
          <w:rFonts w:hint="eastAsia"/>
          <w:color w:val="auto"/>
          <w:sz w:val="24"/>
          <w:szCs w:val="24"/>
          <w:lang w:eastAsia="zh-CN"/>
        </w:rPr>
        <w:t>。</w:t>
      </w:r>
    </w:p>
    <w:p w14:paraId="2A81B7CB">
      <w:pPr>
        <w:pStyle w:val="4"/>
        <w:spacing w:before="0" w:after="0" w:line="360" w:lineRule="auto"/>
        <w:rPr>
          <w:rFonts w:ascii="宋体" w:hAnsi="宋体" w:eastAsia="宋体" w:cs="宋体"/>
          <w:color w:val="auto"/>
          <w:sz w:val="24"/>
          <w:lang w:eastAsia="zh-CN"/>
        </w:rPr>
      </w:pPr>
      <w:bookmarkStart w:id="108" w:name="_Toc31522"/>
      <w:bookmarkStart w:id="109" w:name="_Toc16679"/>
      <w:bookmarkStart w:id="110" w:name="_Toc174302075"/>
      <w:bookmarkStart w:id="111" w:name="bookmark269"/>
      <w:bookmarkStart w:id="112" w:name="_Toc7682"/>
      <w:bookmarkStart w:id="113" w:name="bookmark271"/>
      <w:bookmarkStart w:id="114" w:name="_Toc14044"/>
      <w:bookmarkStart w:id="115" w:name="_Toc32091"/>
      <w:bookmarkStart w:id="116" w:name="bookmark270"/>
      <w:r>
        <w:rPr>
          <w:rFonts w:hint="eastAsia" w:ascii="宋体" w:hAnsi="宋体" w:eastAsia="宋体" w:cs="宋体"/>
          <w:color w:val="auto"/>
          <w:sz w:val="24"/>
          <w:lang w:eastAsia="zh-CN"/>
        </w:rPr>
        <w:t>1.3 费用承担</w:t>
      </w:r>
      <w:bookmarkEnd w:id="108"/>
      <w:bookmarkEnd w:id="109"/>
      <w:bookmarkEnd w:id="110"/>
      <w:bookmarkEnd w:id="111"/>
      <w:bookmarkEnd w:id="112"/>
      <w:bookmarkEnd w:id="113"/>
      <w:bookmarkEnd w:id="114"/>
      <w:bookmarkEnd w:id="115"/>
      <w:bookmarkEnd w:id="116"/>
    </w:p>
    <w:p w14:paraId="4D74A396">
      <w:pPr>
        <w:pStyle w:val="39"/>
        <w:spacing w:line="360" w:lineRule="auto"/>
        <w:ind w:firstLine="480" w:firstLineChars="200"/>
        <w:rPr>
          <w:color w:val="auto"/>
          <w:sz w:val="21"/>
          <w:szCs w:val="21"/>
        </w:rPr>
      </w:pPr>
      <w:r>
        <w:rPr>
          <w:rFonts w:hint="eastAsia"/>
          <w:color w:val="auto"/>
          <w:sz w:val="24"/>
          <w:szCs w:val="24"/>
        </w:rPr>
        <w:t>供应商准备和参加</w:t>
      </w:r>
      <w:r>
        <w:rPr>
          <w:rFonts w:hint="eastAsia"/>
          <w:color w:val="auto"/>
          <w:sz w:val="24"/>
          <w:szCs w:val="24"/>
          <w:lang w:eastAsia="zh-CN"/>
        </w:rPr>
        <w:t>竞价</w:t>
      </w:r>
      <w:r>
        <w:rPr>
          <w:rFonts w:hint="eastAsia"/>
          <w:color w:val="auto"/>
          <w:sz w:val="24"/>
          <w:szCs w:val="24"/>
        </w:rPr>
        <w:t>釆购活动所发生的各种费用由供应商自行承担。</w:t>
      </w:r>
    </w:p>
    <w:p w14:paraId="0EB49E37">
      <w:pPr>
        <w:pStyle w:val="4"/>
        <w:spacing w:before="0" w:after="0" w:line="360" w:lineRule="auto"/>
        <w:rPr>
          <w:rFonts w:ascii="宋体" w:hAnsi="宋体" w:eastAsia="宋体" w:cs="宋体"/>
          <w:color w:val="auto"/>
          <w:sz w:val="24"/>
          <w:lang w:eastAsia="zh-CN"/>
        </w:rPr>
      </w:pPr>
      <w:bookmarkStart w:id="117" w:name="_Toc7"/>
      <w:bookmarkStart w:id="118" w:name="bookmark273"/>
      <w:bookmarkStart w:id="119" w:name="_Toc9678"/>
      <w:bookmarkStart w:id="120" w:name="_Toc174302076"/>
      <w:bookmarkStart w:id="121" w:name="_Toc5573"/>
      <w:bookmarkStart w:id="122" w:name="_Toc21894"/>
      <w:bookmarkStart w:id="123" w:name="_Toc22163"/>
      <w:bookmarkStart w:id="124" w:name="bookmark274"/>
      <w:bookmarkStart w:id="125" w:name="bookmark272"/>
      <w:r>
        <w:rPr>
          <w:rFonts w:hint="eastAsia" w:ascii="宋体" w:hAnsi="宋体" w:eastAsia="宋体" w:cs="宋体"/>
          <w:color w:val="auto"/>
          <w:sz w:val="24"/>
          <w:lang w:eastAsia="zh-CN"/>
        </w:rPr>
        <w:t>1.4 保密</w:t>
      </w:r>
      <w:bookmarkEnd w:id="117"/>
      <w:bookmarkEnd w:id="118"/>
      <w:bookmarkEnd w:id="119"/>
      <w:bookmarkEnd w:id="120"/>
      <w:bookmarkEnd w:id="121"/>
      <w:bookmarkEnd w:id="122"/>
      <w:bookmarkEnd w:id="123"/>
      <w:bookmarkEnd w:id="124"/>
      <w:bookmarkEnd w:id="125"/>
    </w:p>
    <w:p w14:paraId="42266CF6">
      <w:pPr>
        <w:pStyle w:val="39"/>
        <w:spacing w:line="360" w:lineRule="auto"/>
        <w:ind w:firstLine="480" w:firstLineChars="200"/>
        <w:rPr>
          <w:color w:val="auto"/>
          <w:sz w:val="21"/>
          <w:szCs w:val="21"/>
        </w:rPr>
      </w:pPr>
      <w:r>
        <w:rPr>
          <w:rFonts w:hint="eastAsia"/>
          <w:color w:val="auto"/>
          <w:sz w:val="24"/>
          <w:szCs w:val="24"/>
        </w:rPr>
        <w:t>参加</w:t>
      </w:r>
      <w:r>
        <w:rPr>
          <w:rFonts w:hint="eastAsia"/>
          <w:color w:val="auto"/>
          <w:sz w:val="24"/>
          <w:szCs w:val="24"/>
          <w:lang w:eastAsia="zh-CN"/>
        </w:rPr>
        <w:t>竞价</w:t>
      </w:r>
      <w:r>
        <w:rPr>
          <w:rFonts w:hint="eastAsia"/>
          <w:color w:val="auto"/>
          <w:sz w:val="24"/>
          <w:szCs w:val="24"/>
        </w:rPr>
        <w:t>采购活动的各方应对采购文件和</w:t>
      </w:r>
      <w:r>
        <w:rPr>
          <w:rFonts w:hint="eastAsia"/>
          <w:color w:val="auto"/>
          <w:sz w:val="24"/>
          <w:szCs w:val="24"/>
          <w:lang w:eastAsia="zh-CN"/>
        </w:rPr>
        <w:t>竞价过程</w:t>
      </w:r>
      <w:r>
        <w:rPr>
          <w:rFonts w:hint="eastAsia"/>
          <w:color w:val="auto"/>
          <w:sz w:val="24"/>
          <w:szCs w:val="24"/>
        </w:rPr>
        <w:t>中的商业和技术等秘密保密,否则应承担相应的法律责任。</w:t>
      </w:r>
    </w:p>
    <w:p w14:paraId="572EF00F">
      <w:pPr>
        <w:pStyle w:val="4"/>
        <w:spacing w:before="0" w:after="0" w:line="360" w:lineRule="auto"/>
        <w:rPr>
          <w:rFonts w:ascii="宋体" w:hAnsi="宋体" w:eastAsia="宋体" w:cs="宋体"/>
          <w:bCs/>
          <w:color w:val="auto"/>
          <w:sz w:val="24"/>
          <w:lang w:eastAsia="zh-CN"/>
        </w:rPr>
      </w:pPr>
      <w:bookmarkStart w:id="126" w:name="_Toc23210"/>
      <w:bookmarkStart w:id="127" w:name="bookmark277"/>
      <w:bookmarkStart w:id="128" w:name="_Toc17340"/>
      <w:bookmarkStart w:id="129" w:name="bookmark276"/>
      <w:bookmarkStart w:id="130" w:name="_Toc22341"/>
      <w:bookmarkStart w:id="131" w:name="_Toc5704"/>
      <w:bookmarkStart w:id="132" w:name="_Toc29219"/>
      <w:bookmarkStart w:id="133" w:name="bookmark275"/>
      <w:bookmarkStart w:id="134" w:name="_Toc174302077"/>
      <w:r>
        <w:rPr>
          <w:rFonts w:hint="eastAsia" w:ascii="宋体" w:hAnsi="宋体" w:eastAsia="宋体" w:cs="宋体"/>
          <w:bCs/>
          <w:color w:val="auto"/>
          <w:sz w:val="24"/>
          <w:lang w:eastAsia="zh-CN"/>
        </w:rPr>
        <w:t>1.5 语言文字</w:t>
      </w:r>
      <w:bookmarkEnd w:id="126"/>
      <w:bookmarkEnd w:id="127"/>
      <w:bookmarkEnd w:id="128"/>
      <w:bookmarkEnd w:id="129"/>
      <w:bookmarkEnd w:id="130"/>
      <w:bookmarkEnd w:id="131"/>
      <w:bookmarkEnd w:id="132"/>
      <w:bookmarkEnd w:id="133"/>
      <w:bookmarkEnd w:id="134"/>
    </w:p>
    <w:p w14:paraId="3EBC4F5C">
      <w:pPr>
        <w:pStyle w:val="39"/>
        <w:spacing w:line="360" w:lineRule="auto"/>
        <w:ind w:firstLine="480" w:firstLineChars="200"/>
        <w:rPr>
          <w:color w:val="auto"/>
          <w:sz w:val="21"/>
          <w:szCs w:val="21"/>
        </w:rPr>
      </w:pPr>
      <w:r>
        <w:rPr>
          <w:rFonts w:hint="eastAsia"/>
          <w:color w:val="auto"/>
          <w:sz w:val="24"/>
          <w:szCs w:val="24"/>
        </w:rPr>
        <w:t>采购文件和响应文件使用的语言文字为中文。专用术语使用外文的，应附有中文注释。</w:t>
      </w:r>
    </w:p>
    <w:p w14:paraId="593D4314">
      <w:pPr>
        <w:pStyle w:val="4"/>
        <w:spacing w:before="0" w:after="0" w:line="360" w:lineRule="auto"/>
        <w:rPr>
          <w:rFonts w:ascii="宋体" w:hAnsi="宋体" w:eastAsia="宋体" w:cs="宋体"/>
          <w:color w:val="auto"/>
          <w:sz w:val="24"/>
          <w:lang w:eastAsia="zh-CN"/>
        </w:rPr>
      </w:pPr>
      <w:bookmarkStart w:id="135" w:name="_Toc8811"/>
      <w:bookmarkStart w:id="136" w:name="bookmark280"/>
      <w:bookmarkStart w:id="137" w:name="_Toc16087"/>
      <w:bookmarkStart w:id="138" w:name="_Toc174302078"/>
      <w:bookmarkStart w:id="139" w:name="bookmark279"/>
      <w:bookmarkStart w:id="140" w:name="bookmark278"/>
      <w:bookmarkStart w:id="141" w:name="_Toc2911"/>
      <w:bookmarkStart w:id="142" w:name="_Toc22895"/>
      <w:bookmarkStart w:id="143" w:name="_Toc4916"/>
      <w:r>
        <w:rPr>
          <w:rFonts w:hint="eastAsia" w:ascii="宋体" w:hAnsi="宋体" w:eastAsia="宋体" w:cs="宋体"/>
          <w:color w:val="auto"/>
          <w:sz w:val="24"/>
          <w:lang w:eastAsia="zh-CN"/>
        </w:rPr>
        <w:t>1.6 计量单位</w:t>
      </w:r>
      <w:bookmarkEnd w:id="135"/>
      <w:bookmarkEnd w:id="136"/>
      <w:bookmarkEnd w:id="137"/>
      <w:bookmarkEnd w:id="138"/>
      <w:bookmarkEnd w:id="139"/>
      <w:bookmarkEnd w:id="140"/>
      <w:bookmarkEnd w:id="141"/>
      <w:bookmarkEnd w:id="142"/>
      <w:bookmarkEnd w:id="143"/>
    </w:p>
    <w:p w14:paraId="1E433B1F">
      <w:pPr>
        <w:pStyle w:val="39"/>
        <w:spacing w:line="360" w:lineRule="auto"/>
        <w:ind w:firstLine="480" w:firstLineChars="200"/>
        <w:rPr>
          <w:color w:val="auto"/>
          <w:sz w:val="24"/>
          <w:szCs w:val="24"/>
        </w:rPr>
      </w:pPr>
      <w:r>
        <w:rPr>
          <w:rFonts w:hint="eastAsia"/>
          <w:color w:val="auto"/>
          <w:sz w:val="24"/>
          <w:szCs w:val="24"/>
        </w:rPr>
        <w:t>所有计量均采用中华人民共和国法定计量单位。</w:t>
      </w:r>
    </w:p>
    <w:p w14:paraId="143FDA79">
      <w:pPr>
        <w:pStyle w:val="2"/>
        <w:spacing w:line="360" w:lineRule="auto"/>
        <w:rPr>
          <w:rFonts w:ascii="宋体" w:hAnsi="宋体" w:eastAsia="宋体" w:cs="宋体"/>
          <w:color w:val="auto"/>
          <w:sz w:val="28"/>
          <w:szCs w:val="28"/>
          <w:lang w:eastAsia="zh-CN"/>
        </w:rPr>
      </w:pPr>
      <w:bookmarkStart w:id="144" w:name="_Toc174302079"/>
      <w:bookmarkStart w:id="145" w:name="bookmark294"/>
      <w:bookmarkStart w:id="146" w:name="bookmark295"/>
      <w:bookmarkStart w:id="147" w:name="_Toc20292"/>
      <w:bookmarkStart w:id="148" w:name="bookmark296"/>
      <w:bookmarkStart w:id="149" w:name="_Toc27309"/>
      <w:bookmarkStart w:id="150" w:name="_Toc32332"/>
      <w:bookmarkStart w:id="151" w:name="_Toc12120"/>
      <w:bookmarkStart w:id="152" w:name="_Toc7190"/>
      <w:r>
        <w:rPr>
          <w:rFonts w:hint="eastAsia" w:ascii="宋体" w:hAnsi="宋体" w:eastAsia="宋体" w:cs="宋体"/>
          <w:color w:val="auto"/>
          <w:sz w:val="28"/>
          <w:szCs w:val="28"/>
          <w:lang w:eastAsia="zh-CN"/>
        </w:rPr>
        <w:t>2 采购文件</w:t>
      </w:r>
      <w:bookmarkEnd w:id="144"/>
      <w:bookmarkEnd w:id="145"/>
      <w:bookmarkEnd w:id="146"/>
      <w:bookmarkEnd w:id="147"/>
      <w:bookmarkEnd w:id="148"/>
      <w:bookmarkEnd w:id="149"/>
      <w:bookmarkEnd w:id="150"/>
      <w:bookmarkEnd w:id="151"/>
      <w:bookmarkEnd w:id="152"/>
    </w:p>
    <w:p w14:paraId="70AD0EFF">
      <w:pPr>
        <w:pStyle w:val="4"/>
        <w:spacing w:before="0" w:after="0" w:line="360" w:lineRule="auto"/>
        <w:rPr>
          <w:rFonts w:ascii="宋体" w:hAnsi="宋体" w:eastAsia="宋体" w:cs="宋体"/>
          <w:color w:val="auto"/>
          <w:sz w:val="24"/>
          <w:lang w:eastAsia="zh-CN"/>
        </w:rPr>
      </w:pPr>
      <w:bookmarkStart w:id="153" w:name="_Toc31061"/>
      <w:bookmarkStart w:id="154" w:name="_Toc27144"/>
      <w:bookmarkStart w:id="155" w:name="bookmark298"/>
      <w:bookmarkStart w:id="156" w:name="_Toc14037"/>
      <w:bookmarkStart w:id="157" w:name="_Toc22382"/>
      <w:bookmarkStart w:id="158" w:name="_Toc174302080"/>
      <w:bookmarkStart w:id="159" w:name="bookmark297"/>
      <w:bookmarkStart w:id="160" w:name="_Toc24890"/>
      <w:bookmarkStart w:id="161" w:name="bookmark299"/>
      <w:r>
        <w:rPr>
          <w:rFonts w:hint="eastAsia" w:ascii="宋体" w:hAnsi="宋体" w:eastAsia="宋体" w:cs="宋体"/>
          <w:color w:val="auto"/>
          <w:sz w:val="24"/>
          <w:lang w:eastAsia="zh-CN"/>
        </w:rPr>
        <w:t>2.1 采购文件的组成</w:t>
      </w:r>
      <w:bookmarkEnd w:id="153"/>
      <w:bookmarkEnd w:id="154"/>
      <w:bookmarkEnd w:id="155"/>
      <w:bookmarkEnd w:id="156"/>
      <w:bookmarkEnd w:id="157"/>
      <w:bookmarkEnd w:id="158"/>
      <w:bookmarkEnd w:id="159"/>
      <w:bookmarkEnd w:id="160"/>
      <w:bookmarkEnd w:id="161"/>
    </w:p>
    <w:p w14:paraId="3A2551EF">
      <w:pPr>
        <w:pStyle w:val="39"/>
        <w:spacing w:line="360" w:lineRule="auto"/>
        <w:ind w:firstLine="480" w:firstLineChars="200"/>
        <w:rPr>
          <w:color w:val="auto"/>
          <w:sz w:val="24"/>
          <w:szCs w:val="24"/>
        </w:rPr>
      </w:pPr>
      <w:r>
        <w:rPr>
          <w:rFonts w:hint="eastAsia"/>
          <w:color w:val="auto"/>
          <w:sz w:val="24"/>
          <w:szCs w:val="24"/>
        </w:rPr>
        <w:t>采购文件包括：</w:t>
      </w:r>
    </w:p>
    <w:p w14:paraId="44C51D0F">
      <w:pPr>
        <w:pStyle w:val="39"/>
        <w:tabs>
          <w:tab w:val="left" w:pos="1006"/>
        </w:tabs>
        <w:spacing w:line="360" w:lineRule="auto"/>
        <w:ind w:left="480" w:leftChars="200" w:firstLine="0"/>
        <w:rPr>
          <w:color w:val="auto"/>
          <w:sz w:val="24"/>
          <w:szCs w:val="24"/>
        </w:rPr>
      </w:pPr>
      <w:bookmarkStart w:id="162" w:name="bookmark300"/>
      <w:bookmarkEnd w:id="162"/>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lang w:val="en-US" w:eastAsia="zh-CN"/>
        </w:rPr>
        <w:t xml:space="preserve"> 竞价</w:t>
      </w:r>
      <w:r>
        <w:rPr>
          <w:rFonts w:hint="eastAsia"/>
          <w:color w:val="auto"/>
          <w:sz w:val="24"/>
          <w:szCs w:val="24"/>
        </w:rPr>
        <w:t>釆购公告；</w:t>
      </w:r>
    </w:p>
    <w:p w14:paraId="58F89D1E">
      <w:pPr>
        <w:pStyle w:val="39"/>
        <w:tabs>
          <w:tab w:val="left" w:pos="1006"/>
        </w:tabs>
        <w:spacing w:line="360" w:lineRule="auto"/>
        <w:ind w:left="480" w:leftChars="200" w:firstLine="0"/>
        <w:rPr>
          <w:color w:val="auto"/>
          <w:sz w:val="24"/>
          <w:szCs w:val="24"/>
        </w:rPr>
      </w:pPr>
      <w:bookmarkStart w:id="163" w:name="bookmark301"/>
      <w:bookmarkEnd w:id="163"/>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供应商须知；</w:t>
      </w:r>
    </w:p>
    <w:p w14:paraId="54B06B7A">
      <w:pPr>
        <w:pStyle w:val="39"/>
        <w:tabs>
          <w:tab w:val="left" w:pos="1006"/>
        </w:tabs>
        <w:spacing w:line="360" w:lineRule="auto"/>
        <w:ind w:left="480" w:leftChars="200" w:firstLine="0"/>
        <w:rPr>
          <w:color w:val="auto"/>
          <w:sz w:val="24"/>
          <w:szCs w:val="24"/>
        </w:rPr>
      </w:pPr>
      <w:bookmarkStart w:id="164" w:name="bookmark302"/>
      <w:bookmarkEnd w:id="164"/>
      <w:bookmarkStart w:id="165" w:name="bookmark303"/>
      <w:bookmarkEnd w:id="165"/>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lang w:eastAsia="zh-CN"/>
        </w:rPr>
        <w:t>拟签订的合同文本</w:t>
      </w:r>
      <w:r>
        <w:rPr>
          <w:rFonts w:hint="eastAsia"/>
          <w:color w:val="auto"/>
          <w:sz w:val="24"/>
          <w:szCs w:val="24"/>
        </w:rPr>
        <w:t>；</w:t>
      </w:r>
    </w:p>
    <w:p w14:paraId="0F181086">
      <w:pPr>
        <w:pStyle w:val="39"/>
        <w:tabs>
          <w:tab w:val="left" w:pos="1006"/>
        </w:tabs>
        <w:spacing w:line="360" w:lineRule="auto"/>
        <w:ind w:left="480" w:leftChars="200" w:firstLine="0"/>
        <w:rPr>
          <w:color w:val="auto"/>
          <w:sz w:val="24"/>
          <w:szCs w:val="24"/>
        </w:rPr>
      </w:pPr>
      <w:bookmarkStart w:id="166" w:name="bookmark304"/>
      <w:bookmarkEnd w:id="166"/>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lang w:val="en-US" w:eastAsia="zh-CN"/>
        </w:rPr>
        <w:t xml:space="preserve"> 供货要求</w:t>
      </w:r>
      <w:r>
        <w:rPr>
          <w:rFonts w:hint="eastAsia"/>
          <w:color w:val="auto"/>
          <w:sz w:val="24"/>
          <w:szCs w:val="24"/>
        </w:rPr>
        <w:t>；</w:t>
      </w:r>
    </w:p>
    <w:p w14:paraId="293E990E">
      <w:pPr>
        <w:pStyle w:val="39"/>
        <w:spacing w:line="360" w:lineRule="auto"/>
        <w:ind w:firstLine="480" w:firstLineChars="200"/>
        <w:rPr>
          <w:color w:val="auto"/>
          <w:sz w:val="24"/>
          <w:szCs w:val="24"/>
        </w:rPr>
      </w:pPr>
      <w:bookmarkStart w:id="167" w:name="bookmark305"/>
      <w:bookmarkEnd w:id="167"/>
      <w:bookmarkStart w:id="168" w:name="bookmark306"/>
      <w:bookmarkEnd w:id="168"/>
      <w:r>
        <w:rPr>
          <w:rFonts w:hint="eastAsia"/>
          <w:color w:val="auto"/>
          <w:sz w:val="24"/>
          <w:szCs w:val="24"/>
        </w:rPr>
        <w:t>采购人依照本</w:t>
      </w:r>
      <w:r>
        <w:rPr>
          <w:rFonts w:hint="eastAsia"/>
          <w:color w:val="auto"/>
          <w:sz w:val="24"/>
          <w:szCs w:val="24"/>
          <w:lang w:eastAsia="zh-CN"/>
        </w:rPr>
        <w:t>须知</w:t>
      </w:r>
      <w:r>
        <w:rPr>
          <w:rFonts w:hint="eastAsia"/>
          <w:color w:val="auto"/>
          <w:sz w:val="24"/>
          <w:szCs w:val="24"/>
        </w:rPr>
        <w:t>规定，对釆购文件所作的澄清、修改，构成采购文件的组成部分。</w:t>
      </w:r>
    </w:p>
    <w:p w14:paraId="618286A6">
      <w:pPr>
        <w:pStyle w:val="4"/>
        <w:spacing w:before="0" w:after="0" w:line="360" w:lineRule="auto"/>
        <w:rPr>
          <w:rFonts w:ascii="宋体" w:hAnsi="宋体" w:eastAsia="宋体" w:cs="宋体"/>
          <w:color w:val="auto"/>
          <w:sz w:val="24"/>
          <w:lang w:eastAsia="zh-CN"/>
        </w:rPr>
      </w:pPr>
      <w:bookmarkStart w:id="169" w:name="_Toc5776"/>
      <w:bookmarkStart w:id="170" w:name="_Toc22175"/>
      <w:bookmarkStart w:id="171" w:name="bookmark309"/>
      <w:bookmarkStart w:id="172" w:name="_Toc174302081"/>
      <w:bookmarkStart w:id="173" w:name="_Toc12568"/>
      <w:bookmarkStart w:id="174" w:name="_Toc5687"/>
      <w:bookmarkStart w:id="175" w:name="bookmark307"/>
      <w:bookmarkStart w:id="176" w:name="bookmark308"/>
      <w:bookmarkStart w:id="177" w:name="_Toc4961"/>
      <w:r>
        <w:rPr>
          <w:rFonts w:hint="eastAsia" w:ascii="宋体" w:hAnsi="宋体" w:eastAsia="宋体" w:cs="宋体"/>
          <w:color w:val="auto"/>
          <w:sz w:val="24"/>
          <w:lang w:eastAsia="zh-CN"/>
        </w:rPr>
        <w:t>2.2 采购文件的澄清和修改</w:t>
      </w:r>
      <w:bookmarkEnd w:id="169"/>
      <w:bookmarkEnd w:id="170"/>
      <w:bookmarkEnd w:id="171"/>
      <w:bookmarkEnd w:id="172"/>
      <w:bookmarkEnd w:id="173"/>
      <w:bookmarkEnd w:id="174"/>
      <w:bookmarkEnd w:id="175"/>
      <w:bookmarkEnd w:id="176"/>
      <w:bookmarkEnd w:id="177"/>
    </w:p>
    <w:p w14:paraId="677482F7">
      <w:pPr>
        <w:pStyle w:val="39"/>
        <w:spacing w:line="360" w:lineRule="auto"/>
        <w:ind w:firstLine="480" w:firstLineChars="200"/>
        <w:rPr>
          <w:color w:val="auto"/>
          <w:sz w:val="24"/>
          <w:szCs w:val="24"/>
        </w:rPr>
      </w:pPr>
      <w:bookmarkStart w:id="178" w:name="bookmark310"/>
      <w:bookmarkEnd w:id="178"/>
      <w:r>
        <w:rPr>
          <w:rFonts w:hint="eastAsia"/>
          <w:color w:val="auto"/>
          <w:sz w:val="24"/>
          <w:szCs w:val="24"/>
          <w:lang w:val="en-US" w:eastAsia="zh-CN"/>
        </w:rPr>
        <w:t>2.2.</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供应商应仔细阅读和检查采购文件的全部内容。如</w:t>
      </w:r>
      <w:r>
        <w:rPr>
          <w:rFonts w:hint="eastAsia"/>
          <w:color w:val="auto"/>
          <w:sz w:val="24"/>
          <w:szCs w:val="24"/>
          <w:lang w:eastAsia="zh-CN"/>
        </w:rPr>
        <w:t>对采购文件</w:t>
      </w:r>
      <w:r>
        <w:rPr>
          <w:rFonts w:hint="eastAsia"/>
          <w:color w:val="auto"/>
          <w:sz w:val="24"/>
          <w:szCs w:val="24"/>
        </w:rPr>
        <w:t>有疑问，应在</w:t>
      </w:r>
      <w:r>
        <w:rPr>
          <w:rFonts w:hint="eastAsia"/>
          <w:color w:val="auto"/>
          <w:sz w:val="24"/>
          <w:szCs w:val="24"/>
          <w:lang w:eastAsia="zh-CN"/>
        </w:rPr>
        <w:t>竞价采购公告</w:t>
      </w:r>
      <w:r>
        <w:rPr>
          <w:rFonts w:hint="eastAsia"/>
          <w:color w:val="auto"/>
          <w:sz w:val="24"/>
          <w:szCs w:val="24"/>
          <w:lang w:val="en-US" w:eastAsia="zh-CN"/>
        </w:rPr>
        <w:t xml:space="preserve"> “6 电子竞价平台注册及资格申请”规定的</w:t>
      </w:r>
      <w:r>
        <w:rPr>
          <w:rFonts w:hint="eastAsia"/>
          <w:color w:val="auto"/>
          <w:sz w:val="24"/>
          <w:szCs w:val="24"/>
        </w:rPr>
        <w:t>时间前，</w:t>
      </w:r>
      <w:r>
        <w:rPr>
          <w:rFonts w:hint="eastAsia"/>
          <w:color w:val="auto"/>
          <w:sz w:val="24"/>
          <w:szCs w:val="24"/>
          <w:lang w:eastAsia="zh-CN"/>
        </w:rPr>
        <w:t>通过电子竞价平台</w:t>
      </w:r>
      <w:r>
        <w:rPr>
          <w:rFonts w:hint="eastAsia"/>
          <w:color w:val="auto"/>
          <w:sz w:val="24"/>
          <w:szCs w:val="24"/>
        </w:rPr>
        <w:t>要求采购人对采购文件予以澄清。</w:t>
      </w:r>
    </w:p>
    <w:p w14:paraId="7BD136D0">
      <w:pPr>
        <w:pStyle w:val="39"/>
        <w:spacing w:line="360" w:lineRule="auto"/>
        <w:ind w:firstLine="480" w:firstLineChars="200"/>
        <w:rPr>
          <w:color w:val="auto"/>
          <w:sz w:val="24"/>
          <w:szCs w:val="24"/>
        </w:rPr>
      </w:pPr>
      <w:bookmarkStart w:id="179" w:name="bookmark311"/>
      <w:bookmarkEnd w:id="179"/>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eastAsia="zh-CN"/>
        </w:rPr>
        <w:t>在电子竞价平台发布，同时通知所有已经提出资格申请的供应商</w:t>
      </w:r>
      <w:r>
        <w:rPr>
          <w:rFonts w:hint="eastAsia"/>
          <w:color w:val="auto"/>
          <w:sz w:val="24"/>
          <w:szCs w:val="24"/>
        </w:rPr>
        <w:t>。釆购人可视具体情况在补充文件中通知供应商推迟</w:t>
      </w:r>
      <w:r>
        <w:rPr>
          <w:rFonts w:hint="eastAsia"/>
          <w:color w:val="auto"/>
          <w:sz w:val="24"/>
          <w:szCs w:val="24"/>
          <w:lang w:eastAsia="zh-CN"/>
        </w:rPr>
        <w:t>竞价开始时间</w:t>
      </w:r>
      <w:r>
        <w:rPr>
          <w:rFonts w:hint="eastAsia"/>
          <w:color w:val="auto"/>
          <w:sz w:val="24"/>
          <w:szCs w:val="24"/>
        </w:rPr>
        <w:t>。</w:t>
      </w:r>
    </w:p>
    <w:p w14:paraId="2430B7C9">
      <w:pPr>
        <w:pStyle w:val="39"/>
        <w:spacing w:line="360" w:lineRule="auto"/>
        <w:ind w:firstLine="480" w:firstLineChars="200"/>
        <w:rPr>
          <w:color w:val="auto"/>
          <w:sz w:val="24"/>
          <w:szCs w:val="24"/>
        </w:rPr>
      </w:pPr>
      <w:bookmarkStart w:id="180" w:name="bookmark312"/>
      <w:bookmarkEnd w:id="180"/>
      <w:r>
        <w:rPr>
          <w:rFonts w:hint="eastAsia"/>
          <w:color w:val="auto"/>
          <w:sz w:val="24"/>
          <w:szCs w:val="24"/>
          <w:lang w:val="en-US" w:eastAsia="zh-CN" w:bidi="en-US"/>
        </w:rPr>
        <w:t xml:space="preserve">2.2.3 </w:t>
      </w:r>
      <w:r>
        <w:rPr>
          <w:rFonts w:hint="eastAsia"/>
          <w:color w:val="auto"/>
          <w:sz w:val="24"/>
          <w:szCs w:val="24"/>
        </w:rPr>
        <w:t>供应商收到补充文件后，应</w:t>
      </w:r>
      <w:r>
        <w:rPr>
          <w:rFonts w:hint="eastAsia"/>
          <w:color w:val="auto"/>
          <w:sz w:val="24"/>
          <w:szCs w:val="24"/>
          <w:lang w:eastAsia="zh-CN"/>
        </w:rPr>
        <w:t>当通过电子竞价平台</w:t>
      </w:r>
      <w:r>
        <w:rPr>
          <w:rFonts w:hint="eastAsia"/>
          <w:color w:val="auto"/>
          <w:sz w:val="24"/>
          <w:szCs w:val="24"/>
        </w:rPr>
        <w:t>确认已收到该补充文件。</w:t>
      </w:r>
    </w:p>
    <w:p w14:paraId="7C0754FC">
      <w:pPr>
        <w:pStyle w:val="39"/>
        <w:spacing w:line="360" w:lineRule="auto"/>
        <w:ind w:firstLine="480" w:firstLineChars="200"/>
        <w:rPr>
          <w:color w:val="auto"/>
          <w:sz w:val="24"/>
          <w:szCs w:val="24"/>
        </w:rPr>
      </w:pPr>
      <w:r>
        <w:rPr>
          <w:rFonts w:hint="eastAsia"/>
          <w:color w:val="auto"/>
          <w:sz w:val="24"/>
          <w:szCs w:val="24"/>
          <w:lang w:val="en-US" w:eastAsia="zh-CN" w:bidi="en-US"/>
        </w:rPr>
        <w:t xml:space="preserve">2.2.4 </w:t>
      </w:r>
      <w:r>
        <w:rPr>
          <w:rFonts w:hint="eastAsia"/>
          <w:color w:val="auto"/>
          <w:sz w:val="24"/>
          <w:szCs w:val="24"/>
        </w:rPr>
        <w:t>除非确有必要，釆购人有权拒绝回复供应商在本</w:t>
      </w:r>
      <w:r>
        <w:rPr>
          <w:rFonts w:hint="eastAsia"/>
          <w:color w:val="auto"/>
          <w:sz w:val="24"/>
          <w:szCs w:val="24"/>
          <w:lang w:eastAsia="zh-CN"/>
        </w:rPr>
        <w:t>须知</w:t>
      </w:r>
      <w:r>
        <w:rPr>
          <w:rFonts w:hint="eastAsia"/>
          <w:color w:val="auto"/>
          <w:sz w:val="24"/>
          <w:szCs w:val="24"/>
        </w:rPr>
        <w:t>第</w:t>
      </w:r>
      <w:r>
        <w:rPr>
          <w:rFonts w:hint="eastAsia"/>
          <w:color w:val="auto"/>
          <w:sz w:val="24"/>
          <w:szCs w:val="24"/>
          <w:lang w:val="en-US" w:eastAsia="zh-CN" w:bidi="en-US"/>
        </w:rPr>
        <w:t>2.2.</w:t>
      </w:r>
      <w:r>
        <w:rPr>
          <w:rFonts w:hint="eastAsia"/>
          <w:color w:val="auto"/>
          <w:sz w:val="24"/>
          <w:szCs w:val="24"/>
        </w:rPr>
        <w:t>1项规定的时间后提出的任何澄清要求。</w:t>
      </w:r>
    </w:p>
    <w:p w14:paraId="405445E0">
      <w:pPr>
        <w:pStyle w:val="2"/>
        <w:spacing w:line="360" w:lineRule="auto"/>
        <w:rPr>
          <w:rFonts w:ascii="宋体" w:hAnsi="宋体" w:eastAsia="宋体" w:cs="宋体"/>
          <w:color w:val="auto"/>
          <w:sz w:val="28"/>
          <w:szCs w:val="28"/>
          <w:lang w:eastAsia="zh-CN"/>
        </w:rPr>
      </w:pPr>
      <w:bookmarkStart w:id="181" w:name="bookmark1492"/>
      <w:bookmarkStart w:id="182" w:name="bookmark1494"/>
      <w:bookmarkStart w:id="183" w:name="_Toc25165"/>
      <w:bookmarkStart w:id="184" w:name="_Toc1661"/>
      <w:bookmarkStart w:id="185" w:name="bookmark1493"/>
      <w:bookmarkStart w:id="186" w:name="_Toc9970"/>
      <w:bookmarkStart w:id="187" w:name="_Toc174302082"/>
      <w:r>
        <w:rPr>
          <w:rFonts w:hint="eastAsia" w:ascii="宋体" w:hAnsi="宋体" w:eastAsia="宋体" w:cs="宋体"/>
          <w:color w:val="auto"/>
          <w:sz w:val="28"/>
          <w:szCs w:val="28"/>
          <w:lang w:eastAsia="zh-CN"/>
        </w:rPr>
        <w:t>3 供应商平台注册和操作培训</w:t>
      </w:r>
      <w:bookmarkEnd w:id="181"/>
      <w:bookmarkEnd w:id="182"/>
      <w:bookmarkEnd w:id="183"/>
      <w:bookmarkEnd w:id="184"/>
      <w:bookmarkEnd w:id="185"/>
      <w:bookmarkEnd w:id="186"/>
      <w:bookmarkEnd w:id="187"/>
    </w:p>
    <w:p w14:paraId="7C0985CD">
      <w:pPr>
        <w:pStyle w:val="4"/>
        <w:spacing w:before="0" w:after="0" w:line="360" w:lineRule="auto"/>
        <w:rPr>
          <w:rFonts w:ascii="宋体" w:hAnsi="宋体" w:eastAsia="宋体" w:cs="宋体"/>
          <w:color w:val="auto"/>
          <w:sz w:val="24"/>
          <w:lang w:eastAsia="zh-CN"/>
        </w:rPr>
      </w:pPr>
      <w:bookmarkStart w:id="188" w:name="bookmark1497"/>
      <w:bookmarkStart w:id="189" w:name="bookmark1495"/>
      <w:bookmarkStart w:id="190" w:name="_Toc21038"/>
      <w:bookmarkStart w:id="191" w:name="_Toc14367"/>
      <w:bookmarkStart w:id="192" w:name="bookmark1496"/>
      <w:bookmarkStart w:id="193" w:name="_Toc174302083"/>
      <w:bookmarkStart w:id="194" w:name="_Toc28381"/>
      <w:r>
        <w:rPr>
          <w:rFonts w:hint="eastAsia" w:ascii="宋体" w:hAnsi="宋体" w:eastAsia="宋体" w:cs="宋体"/>
          <w:color w:val="auto"/>
          <w:sz w:val="24"/>
          <w:lang w:eastAsia="zh-CN"/>
        </w:rPr>
        <w:t>3.1 供应商平台注册</w:t>
      </w:r>
      <w:bookmarkEnd w:id="188"/>
      <w:bookmarkEnd w:id="189"/>
      <w:bookmarkEnd w:id="190"/>
      <w:bookmarkEnd w:id="191"/>
      <w:bookmarkEnd w:id="192"/>
      <w:bookmarkEnd w:id="193"/>
      <w:bookmarkEnd w:id="194"/>
    </w:p>
    <w:p w14:paraId="145F0B1A">
      <w:pPr>
        <w:pStyle w:val="39"/>
        <w:spacing w:line="360" w:lineRule="auto"/>
        <w:ind w:firstLine="480" w:firstLineChars="200"/>
        <w:rPr>
          <w:color w:val="auto"/>
          <w:sz w:val="24"/>
          <w:szCs w:val="24"/>
          <w:lang w:val="en-US" w:eastAsia="zh-CN" w:bidi="en-US"/>
        </w:rPr>
      </w:pPr>
      <w:bookmarkStart w:id="195" w:name="bookmark1498"/>
      <w:bookmarkEnd w:id="195"/>
      <w:r>
        <w:rPr>
          <w:rFonts w:hint="eastAsia"/>
          <w:color w:val="auto"/>
          <w:sz w:val="24"/>
          <w:szCs w:val="24"/>
          <w:lang w:val="en-US" w:eastAsia="zh-CN" w:bidi="en-US"/>
        </w:rPr>
        <w:t xml:space="preserve">3.1.1 </w:t>
      </w:r>
      <w:r>
        <w:rPr>
          <w:rFonts w:hint="eastAsia"/>
          <w:color w:val="auto"/>
          <w:sz w:val="24"/>
          <w:szCs w:val="24"/>
        </w:rPr>
        <w:t>供</w:t>
      </w:r>
      <w:r>
        <w:rPr>
          <w:rFonts w:hint="eastAsia"/>
          <w:color w:val="auto"/>
          <w:sz w:val="24"/>
          <w:szCs w:val="24"/>
          <w:lang w:val="en-US" w:eastAsia="zh-CN" w:bidi="en-US"/>
        </w:rPr>
        <w:t>应商须在电子竞价平台进行注册。登记注册前，供应商应仔细阅读电子竞价平台操作规程，并与电子竞价平台签署相关协议。</w:t>
      </w:r>
    </w:p>
    <w:p w14:paraId="1D39A137">
      <w:pPr>
        <w:pStyle w:val="39"/>
        <w:spacing w:line="360" w:lineRule="auto"/>
        <w:ind w:firstLine="480" w:firstLineChars="200"/>
        <w:rPr>
          <w:color w:val="auto"/>
          <w:sz w:val="24"/>
          <w:szCs w:val="24"/>
        </w:rPr>
      </w:pPr>
      <w:r>
        <w:rPr>
          <w:rFonts w:hint="eastAsia"/>
          <w:color w:val="auto"/>
          <w:sz w:val="24"/>
          <w:szCs w:val="24"/>
          <w:lang w:val="en-US" w:eastAsia="zh-CN" w:bidi="en-US"/>
        </w:rPr>
        <w:t>3.1.2 供应商</w:t>
      </w:r>
      <w:r>
        <w:rPr>
          <w:rFonts w:hint="eastAsia"/>
          <w:color w:val="auto"/>
          <w:sz w:val="24"/>
          <w:szCs w:val="24"/>
        </w:rPr>
        <w:t>应按电子竞价平台要求如实填写相关信息，并经电子竞价平台审核通过后，成为电子竞价平台交易用户。</w:t>
      </w:r>
    </w:p>
    <w:p w14:paraId="46EA7A5F">
      <w:pPr>
        <w:pStyle w:val="4"/>
        <w:spacing w:before="0" w:after="0" w:line="360" w:lineRule="auto"/>
        <w:rPr>
          <w:rFonts w:ascii="宋体" w:hAnsi="宋体" w:eastAsia="宋体" w:cs="宋体"/>
          <w:color w:val="auto"/>
          <w:sz w:val="24"/>
          <w:lang w:eastAsia="zh-CN"/>
        </w:rPr>
      </w:pPr>
      <w:bookmarkStart w:id="196" w:name="bookmark1500"/>
      <w:bookmarkStart w:id="197" w:name="_Toc19762"/>
      <w:bookmarkStart w:id="198" w:name="_Toc174302084"/>
      <w:bookmarkStart w:id="199" w:name="_Toc24969"/>
      <w:bookmarkStart w:id="200" w:name="bookmark1499"/>
      <w:bookmarkStart w:id="201" w:name="bookmark1501"/>
      <w:bookmarkStart w:id="202" w:name="_Toc29277"/>
      <w:r>
        <w:rPr>
          <w:rFonts w:hint="eastAsia" w:ascii="宋体" w:hAnsi="宋体" w:eastAsia="宋体" w:cs="宋体"/>
          <w:color w:val="auto"/>
          <w:sz w:val="24"/>
          <w:lang w:eastAsia="zh-CN"/>
        </w:rPr>
        <w:t>3.2 供应商平台操作培训</w:t>
      </w:r>
      <w:bookmarkEnd w:id="196"/>
      <w:bookmarkEnd w:id="197"/>
      <w:bookmarkEnd w:id="198"/>
      <w:bookmarkEnd w:id="199"/>
      <w:bookmarkEnd w:id="200"/>
      <w:bookmarkEnd w:id="201"/>
      <w:bookmarkEnd w:id="202"/>
    </w:p>
    <w:p w14:paraId="2C655B9D">
      <w:pPr>
        <w:pStyle w:val="39"/>
        <w:spacing w:line="360" w:lineRule="auto"/>
        <w:ind w:firstLine="480" w:firstLineChars="200"/>
        <w:rPr>
          <w:color w:val="auto"/>
          <w:sz w:val="24"/>
          <w:szCs w:val="24"/>
          <w:lang w:val="en-US" w:eastAsia="zh-CN" w:bidi="en-US"/>
        </w:rPr>
      </w:pPr>
      <w:bookmarkStart w:id="203" w:name="bookmark1502"/>
      <w:bookmarkEnd w:id="203"/>
      <w:r>
        <w:rPr>
          <w:rFonts w:hint="eastAsia"/>
          <w:color w:val="auto"/>
          <w:sz w:val="24"/>
          <w:szCs w:val="24"/>
          <w:lang w:val="en-US" w:eastAsia="zh-CN" w:bidi="en-US"/>
        </w:rPr>
        <w:t xml:space="preserve">3.2.1 </w:t>
      </w:r>
      <w:r>
        <w:rPr>
          <w:rFonts w:hint="eastAsia"/>
          <w:color w:val="auto"/>
          <w:sz w:val="24"/>
          <w:szCs w:val="24"/>
        </w:rPr>
        <w:t>电</w:t>
      </w:r>
      <w:r>
        <w:rPr>
          <w:rFonts w:hint="eastAsia"/>
          <w:color w:val="auto"/>
          <w:sz w:val="24"/>
          <w:szCs w:val="24"/>
          <w:lang w:val="en-US" w:eastAsia="zh-CN" w:bidi="en-US"/>
        </w:rPr>
        <w:t>子竞价平台为供应商提供电子竞价平台操作培训和辅导服务。</w:t>
      </w:r>
    </w:p>
    <w:p w14:paraId="47786C5A">
      <w:pPr>
        <w:pStyle w:val="39"/>
        <w:spacing w:line="360" w:lineRule="auto"/>
        <w:ind w:firstLine="480" w:firstLineChars="200"/>
        <w:rPr>
          <w:color w:val="auto"/>
          <w:sz w:val="24"/>
          <w:szCs w:val="24"/>
        </w:rPr>
      </w:pPr>
      <w:r>
        <w:rPr>
          <w:rFonts w:hint="eastAsia"/>
          <w:color w:val="auto"/>
          <w:sz w:val="24"/>
          <w:szCs w:val="24"/>
          <w:lang w:val="en-US" w:eastAsia="zh-CN" w:bidi="en-US"/>
        </w:rPr>
        <w:t>3.2.2 供应商</w:t>
      </w:r>
      <w:r>
        <w:rPr>
          <w:rFonts w:hint="eastAsia"/>
          <w:color w:val="auto"/>
          <w:sz w:val="24"/>
          <w:szCs w:val="24"/>
        </w:rPr>
        <w:t>在操作过程中遇到相关问题，应拨打电子竞价平台服务热线电话</w:t>
      </w:r>
      <w:r>
        <w:rPr>
          <w:rFonts w:hint="eastAsia"/>
          <w:color w:val="auto"/>
          <w:sz w:val="24"/>
          <w:szCs w:val="24"/>
          <w:lang w:val="en-US" w:eastAsia="zh-CN"/>
        </w:rPr>
        <w:t>或者</w:t>
      </w:r>
      <w:r>
        <w:rPr>
          <w:rFonts w:hint="eastAsia"/>
          <w:color w:val="auto"/>
          <w:sz w:val="24"/>
          <w:szCs w:val="24"/>
        </w:rPr>
        <w:t>网络在线咨询电子竞价平台服务人员。</w:t>
      </w:r>
    </w:p>
    <w:p w14:paraId="71E19C1F">
      <w:pPr>
        <w:pStyle w:val="2"/>
        <w:spacing w:line="360" w:lineRule="auto"/>
        <w:rPr>
          <w:rFonts w:ascii="宋体" w:hAnsi="宋体" w:eastAsia="宋体" w:cs="宋体"/>
          <w:color w:val="auto"/>
          <w:sz w:val="28"/>
          <w:szCs w:val="28"/>
          <w:lang w:eastAsia="zh-CN"/>
        </w:rPr>
      </w:pPr>
      <w:bookmarkStart w:id="204" w:name="bookmark1504"/>
      <w:bookmarkStart w:id="205" w:name="_Toc25253"/>
      <w:bookmarkStart w:id="206" w:name="_Toc18169"/>
      <w:bookmarkStart w:id="207" w:name="bookmark1505"/>
      <w:bookmarkStart w:id="208" w:name="_Toc28444"/>
      <w:bookmarkStart w:id="209" w:name="bookmark1503"/>
      <w:bookmarkStart w:id="210" w:name="_Toc174302085"/>
      <w:r>
        <w:rPr>
          <w:rFonts w:hint="eastAsia" w:ascii="宋体" w:hAnsi="宋体" w:eastAsia="宋体" w:cs="宋体"/>
          <w:color w:val="auto"/>
          <w:sz w:val="28"/>
          <w:szCs w:val="28"/>
          <w:lang w:eastAsia="zh-CN"/>
        </w:rPr>
        <w:t>4 供应商资格申请和资格审查</w:t>
      </w:r>
      <w:bookmarkEnd w:id="204"/>
      <w:bookmarkEnd w:id="205"/>
      <w:bookmarkEnd w:id="206"/>
      <w:bookmarkEnd w:id="207"/>
      <w:bookmarkEnd w:id="208"/>
      <w:bookmarkEnd w:id="209"/>
      <w:bookmarkEnd w:id="210"/>
    </w:p>
    <w:p w14:paraId="772F52E2">
      <w:pPr>
        <w:pStyle w:val="4"/>
        <w:spacing w:before="0" w:after="0" w:line="360" w:lineRule="auto"/>
        <w:rPr>
          <w:rFonts w:ascii="宋体" w:hAnsi="宋体" w:eastAsia="宋体" w:cs="宋体"/>
          <w:color w:val="auto"/>
          <w:sz w:val="24"/>
          <w:lang w:eastAsia="zh-CN"/>
        </w:rPr>
      </w:pPr>
      <w:bookmarkStart w:id="211" w:name="_Toc11486"/>
      <w:bookmarkStart w:id="212" w:name="bookmark1508"/>
      <w:bookmarkStart w:id="213" w:name="_Toc174302086"/>
      <w:bookmarkStart w:id="214" w:name="_Toc22759"/>
      <w:bookmarkStart w:id="215" w:name="bookmark1507"/>
      <w:bookmarkStart w:id="216" w:name="_Toc18847"/>
      <w:bookmarkStart w:id="217" w:name="bookmark1506"/>
      <w:r>
        <w:rPr>
          <w:rFonts w:hint="eastAsia" w:ascii="宋体" w:hAnsi="宋体" w:eastAsia="宋体" w:cs="宋体"/>
          <w:color w:val="auto"/>
          <w:sz w:val="24"/>
          <w:lang w:eastAsia="zh-CN"/>
        </w:rPr>
        <w:t>4.1 资格申请</w:t>
      </w:r>
      <w:bookmarkEnd w:id="211"/>
      <w:bookmarkEnd w:id="212"/>
      <w:bookmarkEnd w:id="213"/>
      <w:bookmarkEnd w:id="214"/>
      <w:bookmarkEnd w:id="215"/>
      <w:bookmarkEnd w:id="216"/>
      <w:bookmarkEnd w:id="217"/>
    </w:p>
    <w:p w14:paraId="6D8BB198">
      <w:pPr>
        <w:pStyle w:val="39"/>
        <w:spacing w:line="360" w:lineRule="auto"/>
        <w:ind w:firstLine="480" w:firstLineChars="200"/>
        <w:rPr>
          <w:color w:val="auto"/>
          <w:sz w:val="21"/>
          <w:szCs w:val="21"/>
        </w:rPr>
      </w:pPr>
      <w:r>
        <w:rPr>
          <w:rFonts w:hint="eastAsia"/>
          <w:color w:val="auto"/>
          <w:sz w:val="24"/>
          <w:szCs w:val="24"/>
        </w:rPr>
        <w:t>供应商应当在规定的时间前通过电子竞价平台提岀资格申请，并按要求在线填写相关信息、提供相关材料。本项目资格申请时间见竞价采购公告</w:t>
      </w:r>
      <w:r>
        <w:rPr>
          <w:rFonts w:hint="eastAsia"/>
          <w:color w:val="auto"/>
          <w:sz w:val="24"/>
          <w:szCs w:val="24"/>
          <w:lang w:eastAsia="zh-CN"/>
        </w:rPr>
        <w:t xml:space="preserve"> </w:t>
      </w:r>
      <w:r>
        <w:rPr>
          <w:rFonts w:hint="eastAsia"/>
          <w:color w:val="auto"/>
          <w:sz w:val="24"/>
          <w:szCs w:val="24"/>
          <w:lang w:val="en-US" w:eastAsia="zh-CN" w:bidi="en-US"/>
        </w:rPr>
        <w:t xml:space="preserve">“6 </w:t>
      </w:r>
      <w:r>
        <w:rPr>
          <w:rFonts w:hint="eastAsia"/>
          <w:color w:val="auto"/>
          <w:sz w:val="24"/>
          <w:szCs w:val="24"/>
        </w:rPr>
        <w:t>电子竞价平台注册及资格申请”。</w:t>
      </w:r>
    </w:p>
    <w:p w14:paraId="2328FA0C">
      <w:pPr>
        <w:pStyle w:val="4"/>
        <w:spacing w:before="0" w:after="0" w:line="360" w:lineRule="auto"/>
        <w:rPr>
          <w:rFonts w:ascii="宋体" w:hAnsi="宋体" w:eastAsia="宋体" w:cs="宋体"/>
          <w:color w:val="auto"/>
          <w:sz w:val="24"/>
          <w:lang w:eastAsia="zh-CN"/>
        </w:rPr>
      </w:pPr>
      <w:bookmarkStart w:id="218" w:name="bookmark1509"/>
      <w:bookmarkStart w:id="219" w:name="_Toc174302087"/>
      <w:bookmarkStart w:id="220" w:name="_Toc1647"/>
      <w:bookmarkStart w:id="221" w:name="_Toc14973"/>
      <w:bookmarkStart w:id="222" w:name="_Toc3658"/>
      <w:bookmarkStart w:id="223" w:name="bookmark1511"/>
      <w:bookmarkStart w:id="224" w:name="bookmark1510"/>
      <w:r>
        <w:rPr>
          <w:rFonts w:hint="eastAsia" w:ascii="宋体" w:hAnsi="宋体" w:eastAsia="宋体" w:cs="宋体"/>
          <w:color w:val="auto"/>
          <w:sz w:val="24"/>
          <w:lang w:eastAsia="zh-CN"/>
        </w:rPr>
        <w:t>4.2 资格审查</w:t>
      </w:r>
      <w:bookmarkEnd w:id="218"/>
      <w:bookmarkEnd w:id="219"/>
      <w:bookmarkEnd w:id="220"/>
      <w:bookmarkEnd w:id="221"/>
      <w:bookmarkEnd w:id="222"/>
      <w:bookmarkEnd w:id="223"/>
      <w:bookmarkEnd w:id="224"/>
    </w:p>
    <w:p w14:paraId="760D7280">
      <w:pPr>
        <w:pStyle w:val="39"/>
        <w:spacing w:line="360" w:lineRule="auto"/>
        <w:ind w:firstLine="480" w:firstLineChars="200"/>
        <w:rPr>
          <w:color w:val="auto"/>
          <w:sz w:val="24"/>
          <w:szCs w:val="24"/>
        </w:rPr>
      </w:pPr>
      <w:bookmarkStart w:id="225" w:name="bookmark1512"/>
      <w:bookmarkEnd w:id="225"/>
      <w:r>
        <w:rPr>
          <w:rFonts w:hint="eastAsia"/>
          <w:color w:val="auto"/>
          <w:sz w:val="24"/>
          <w:szCs w:val="24"/>
          <w:lang w:val="en-US" w:eastAsia="zh-CN" w:bidi="en-US"/>
        </w:rPr>
        <w:t xml:space="preserve">4.2.1 </w:t>
      </w:r>
      <w:r>
        <w:rPr>
          <w:rFonts w:hint="eastAsia"/>
          <w:color w:val="auto"/>
          <w:sz w:val="24"/>
          <w:szCs w:val="24"/>
        </w:rPr>
        <w:t>竞价采购公告对供应商提出资格要求的，供应商应按规定提供资格申请资料。釆购人负责组织对供应商的</w:t>
      </w:r>
      <w:r>
        <w:rPr>
          <w:rFonts w:hint="eastAsia"/>
          <w:color w:val="auto"/>
          <w:sz w:val="24"/>
          <w:szCs w:val="24"/>
          <w:lang w:val="en-US" w:eastAsia="zh-CN"/>
        </w:rPr>
        <w:t>申请</w:t>
      </w:r>
      <w:r>
        <w:rPr>
          <w:rFonts w:hint="eastAsia"/>
          <w:color w:val="auto"/>
          <w:sz w:val="24"/>
          <w:szCs w:val="24"/>
        </w:rPr>
        <w:t>资格进行审查。部分要求复杂、审查难度大的釆购项目，采购人可</w:t>
      </w:r>
      <w:r>
        <w:rPr>
          <w:rFonts w:hint="eastAsia"/>
          <w:color w:val="auto"/>
          <w:sz w:val="24"/>
          <w:szCs w:val="24"/>
          <w:lang w:val="en-US" w:eastAsia="zh-CN"/>
        </w:rPr>
        <w:t>聘</w:t>
      </w:r>
      <w:r>
        <w:rPr>
          <w:rFonts w:hint="eastAsia"/>
          <w:color w:val="auto"/>
          <w:sz w:val="24"/>
          <w:szCs w:val="24"/>
        </w:rPr>
        <w:t>请</w:t>
      </w:r>
      <w:r>
        <w:rPr>
          <w:rFonts w:hint="eastAsia"/>
          <w:color w:val="auto"/>
          <w:sz w:val="24"/>
          <w:szCs w:val="24"/>
          <w:lang w:val="en-US" w:eastAsia="zh-CN"/>
        </w:rPr>
        <w:t>外部</w:t>
      </w:r>
      <w:r>
        <w:rPr>
          <w:rFonts w:hint="eastAsia"/>
          <w:color w:val="auto"/>
          <w:sz w:val="24"/>
          <w:szCs w:val="24"/>
        </w:rPr>
        <w:t>专家进行资格审查。</w:t>
      </w:r>
    </w:p>
    <w:p w14:paraId="7CEE9806">
      <w:pPr>
        <w:pStyle w:val="39"/>
        <w:spacing w:line="360" w:lineRule="auto"/>
        <w:ind w:firstLine="480" w:firstLineChars="200"/>
        <w:rPr>
          <w:color w:val="auto"/>
          <w:sz w:val="24"/>
          <w:szCs w:val="24"/>
        </w:rPr>
      </w:pPr>
      <w:bookmarkStart w:id="226" w:name="bookmark1513"/>
      <w:bookmarkEnd w:id="226"/>
      <w:r>
        <w:rPr>
          <w:rFonts w:hint="eastAsia"/>
          <w:color w:val="auto"/>
          <w:sz w:val="24"/>
          <w:szCs w:val="24"/>
          <w:lang w:val="en-US" w:eastAsia="zh-CN" w:bidi="en-US"/>
        </w:rPr>
        <w:t xml:space="preserve">4.2.2 </w:t>
      </w:r>
      <w:r>
        <w:rPr>
          <w:rFonts w:hint="eastAsia"/>
          <w:color w:val="auto"/>
          <w:sz w:val="24"/>
          <w:szCs w:val="24"/>
        </w:rPr>
        <w:t>资格审查主要对资格申请资料的响应性进行审查</w:t>
      </w:r>
      <w:r>
        <w:rPr>
          <w:rFonts w:hint="eastAsia"/>
          <w:color w:val="auto"/>
          <w:sz w:val="24"/>
          <w:szCs w:val="24"/>
          <w:lang w:eastAsia="zh-CN"/>
        </w:rPr>
        <w:t>，</w:t>
      </w:r>
      <w:r>
        <w:rPr>
          <w:rFonts w:hint="eastAsia"/>
          <w:color w:val="auto"/>
          <w:sz w:val="24"/>
          <w:szCs w:val="24"/>
        </w:rPr>
        <w:t>判断资格申请资料的形式是否符合要求</w:t>
      </w:r>
      <w:r>
        <w:rPr>
          <w:rFonts w:hint="eastAsia"/>
          <w:color w:val="auto"/>
          <w:sz w:val="24"/>
          <w:szCs w:val="24"/>
          <w:lang w:eastAsia="zh-CN"/>
        </w:rPr>
        <w:t>，</w:t>
      </w:r>
      <w:r>
        <w:rPr>
          <w:rFonts w:hint="eastAsia"/>
          <w:color w:val="auto"/>
          <w:sz w:val="24"/>
          <w:szCs w:val="24"/>
        </w:rPr>
        <w:t>供应商是否符合</w:t>
      </w:r>
      <w:r>
        <w:rPr>
          <w:rFonts w:hint="eastAsia"/>
          <w:color w:val="auto"/>
          <w:sz w:val="24"/>
          <w:szCs w:val="24"/>
          <w:lang w:val="en-US" w:eastAsia="zh-CN"/>
        </w:rPr>
        <w:t>申请</w:t>
      </w:r>
      <w:r>
        <w:rPr>
          <w:rFonts w:hint="eastAsia"/>
          <w:color w:val="auto"/>
          <w:sz w:val="24"/>
          <w:szCs w:val="24"/>
        </w:rPr>
        <w:t>资格条件</w:t>
      </w:r>
      <w:r>
        <w:rPr>
          <w:rFonts w:hint="eastAsia"/>
          <w:color w:val="auto"/>
          <w:sz w:val="24"/>
          <w:szCs w:val="24"/>
          <w:lang w:eastAsia="zh-CN"/>
        </w:rPr>
        <w:t>，</w:t>
      </w:r>
      <w:r>
        <w:rPr>
          <w:rFonts w:hint="eastAsia"/>
          <w:color w:val="auto"/>
          <w:sz w:val="24"/>
          <w:szCs w:val="24"/>
        </w:rPr>
        <w:t>资格申请资料是否实质性响应竞价要求。</w:t>
      </w:r>
    </w:p>
    <w:p w14:paraId="684B2460">
      <w:pPr>
        <w:pStyle w:val="39"/>
        <w:spacing w:line="360" w:lineRule="auto"/>
        <w:ind w:firstLine="480" w:firstLineChars="200"/>
        <w:rPr>
          <w:color w:val="auto"/>
          <w:sz w:val="24"/>
          <w:szCs w:val="24"/>
        </w:rPr>
      </w:pPr>
      <w:r>
        <w:rPr>
          <w:rFonts w:hint="eastAsia"/>
          <w:color w:val="auto"/>
          <w:sz w:val="24"/>
          <w:szCs w:val="24"/>
          <w:lang w:val="en-US" w:eastAsia="zh-CN"/>
        </w:rPr>
        <w:t xml:space="preserve">4.2.3 </w:t>
      </w:r>
      <w:r>
        <w:rPr>
          <w:rFonts w:hint="eastAsia"/>
          <w:color w:val="auto"/>
          <w:sz w:val="24"/>
          <w:szCs w:val="24"/>
        </w:rPr>
        <w:t>资格申请资料未实质性响应釆购文件的要求，或资格申请资料中有含义不明确、同类问题表述不一致或有明显文字错误的内容，供应商在资格申请截止时间前均可进行澄清、说明和补正。补充的内容作为资格申请资料的组成部分。</w:t>
      </w:r>
    </w:p>
    <w:p w14:paraId="25BF5D01">
      <w:pPr>
        <w:pStyle w:val="39"/>
        <w:spacing w:line="360" w:lineRule="auto"/>
        <w:ind w:firstLine="480" w:firstLineChars="200"/>
        <w:rPr>
          <w:color w:val="auto"/>
          <w:sz w:val="21"/>
          <w:szCs w:val="21"/>
        </w:rPr>
      </w:pPr>
      <w:r>
        <w:rPr>
          <w:rFonts w:hint="eastAsia"/>
          <w:color w:val="auto"/>
          <w:sz w:val="24"/>
          <w:szCs w:val="24"/>
          <w:lang w:val="en-US" w:eastAsia="zh-CN" w:bidi="en-US"/>
        </w:rPr>
        <w:t xml:space="preserve">4.2.4 </w:t>
      </w:r>
      <w:r>
        <w:rPr>
          <w:rFonts w:hint="eastAsia"/>
          <w:color w:val="auto"/>
          <w:sz w:val="24"/>
          <w:szCs w:val="24"/>
        </w:rPr>
        <w:t>只有实质性响应采购文件要求的供应商才可通过资格审查。经供应商澄清</w:t>
      </w:r>
      <w:r>
        <w:rPr>
          <w:rFonts w:hint="eastAsia"/>
          <w:color w:val="auto"/>
          <w:sz w:val="24"/>
          <w:szCs w:val="24"/>
          <w:lang w:eastAsia="zh-CN"/>
        </w:rPr>
        <w:t>、</w:t>
      </w:r>
      <w:r>
        <w:rPr>
          <w:rFonts w:hint="eastAsia"/>
          <w:color w:val="auto"/>
          <w:sz w:val="24"/>
          <w:szCs w:val="24"/>
        </w:rPr>
        <w:t>说明，资格申请资料</w:t>
      </w:r>
      <w:r>
        <w:rPr>
          <w:rFonts w:hint="eastAsia"/>
          <w:color w:val="auto"/>
          <w:sz w:val="24"/>
          <w:szCs w:val="24"/>
          <w:lang w:val="en-US" w:eastAsia="zh-CN"/>
        </w:rPr>
        <w:t>仍</w:t>
      </w:r>
      <w:r>
        <w:rPr>
          <w:rFonts w:hint="eastAsia"/>
          <w:color w:val="auto"/>
          <w:sz w:val="24"/>
          <w:szCs w:val="24"/>
        </w:rPr>
        <w:t>未通过资格审查的，釆购人将通过电子竞价平台告知有关供应商未通过资格审查。</w:t>
      </w:r>
    </w:p>
    <w:p w14:paraId="395FB8F2">
      <w:pPr>
        <w:pStyle w:val="2"/>
        <w:spacing w:line="360" w:lineRule="auto"/>
        <w:rPr>
          <w:rFonts w:ascii="宋体" w:hAnsi="宋体" w:eastAsia="宋体" w:cs="宋体"/>
          <w:color w:val="auto"/>
          <w:sz w:val="28"/>
          <w:szCs w:val="28"/>
          <w:lang w:eastAsia="zh-CN"/>
        </w:rPr>
      </w:pPr>
      <w:bookmarkStart w:id="227" w:name="bookmark1522"/>
      <w:bookmarkStart w:id="228" w:name="bookmark1521"/>
      <w:bookmarkStart w:id="229" w:name="_Toc174302088"/>
      <w:bookmarkStart w:id="230" w:name="bookmark1520"/>
      <w:bookmarkStart w:id="231" w:name="_Toc20506"/>
      <w:bookmarkStart w:id="232" w:name="_Toc29872"/>
      <w:bookmarkStart w:id="233" w:name="_Toc27103"/>
      <w:r>
        <w:rPr>
          <w:rFonts w:hint="eastAsia" w:ascii="宋体" w:hAnsi="宋体" w:eastAsia="宋体" w:cs="宋体"/>
          <w:color w:val="auto"/>
          <w:sz w:val="28"/>
          <w:szCs w:val="28"/>
          <w:lang w:eastAsia="zh-CN"/>
        </w:rPr>
        <w:t>5 供应商报价</w:t>
      </w:r>
      <w:bookmarkEnd w:id="227"/>
      <w:bookmarkEnd w:id="228"/>
      <w:bookmarkEnd w:id="229"/>
      <w:bookmarkEnd w:id="230"/>
      <w:bookmarkEnd w:id="231"/>
      <w:bookmarkEnd w:id="232"/>
      <w:bookmarkEnd w:id="233"/>
    </w:p>
    <w:p w14:paraId="2846DDA1">
      <w:pPr>
        <w:pStyle w:val="4"/>
        <w:spacing w:before="0" w:after="0" w:line="360" w:lineRule="auto"/>
        <w:rPr>
          <w:rFonts w:ascii="宋体" w:hAnsi="宋体" w:eastAsia="宋体" w:cs="宋体"/>
          <w:color w:val="auto"/>
          <w:sz w:val="24"/>
          <w:lang w:eastAsia="zh-CN"/>
        </w:rPr>
      </w:pPr>
      <w:bookmarkStart w:id="234" w:name="_Toc8967"/>
      <w:bookmarkStart w:id="235" w:name="_Toc2518"/>
      <w:bookmarkStart w:id="236" w:name="bookmark1525"/>
      <w:bookmarkStart w:id="237" w:name="bookmark1524"/>
      <w:bookmarkStart w:id="238" w:name="bookmark1523"/>
      <w:bookmarkStart w:id="239" w:name="_Toc10196"/>
      <w:bookmarkStart w:id="240" w:name="_Toc174302089"/>
      <w:r>
        <w:rPr>
          <w:rFonts w:hint="eastAsia" w:ascii="宋体" w:hAnsi="宋体" w:eastAsia="宋体" w:cs="宋体"/>
          <w:color w:val="auto"/>
          <w:sz w:val="24"/>
          <w:lang w:eastAsia="zh-CN"/>
        </w:rPr>
        <w:t>5.1 报价要求</w:t>
      </w:r>
      <w:bookmarkEnd w:id="234"/>
      <w:bookmarkEnd w:id="235"/>
      <w:bookmarkEnd w:id="236"/>
      <w:bookmarkEnd w:id="237"/>
      <w:bookmarkEnd w:id="238"/>
      <w:bookmarkEnd w:id="239"/>
      <w:bookmarkEnd w:id="240"/>
    </w:p>
    <w:p w14:paraId="41B1286E">
      <w:pPr>
        <w:pStyle w:val="39"/>
        <w:spacing w:line="360" w:lineRule="auto"/>
        <w:ind w:firstLine="480" w:firstLineChars="200"/>
        <w:rPr>
          <w:color w:val="auto"/>
          <w:sz w:val="24"/>
          <w:szCs w:val="24"/>
          <w:lang w:val="en-US" w:eastAsia="zh-CN" w:bidi="en-US"/>
        </w:rPr>
      </w:pPr>
      <w:r>
        <w:rPr>
          <w:rFonts w:hint="eastAsia"/>
          <w:color w:val="auto"/>
          <w:sz w:val="24"/>
          <w:szCs w:val="24"/>
          <w:lang w:val="en-US" w:eastAsia="zh-CN" w:bidi="en-US"/>
        </w:rPr>
        <w:t>5.1.1 供应商应根据竞价采购公告 “ 竞价时间及竞价规则”要求报含税价或不含税价。供应商报价时，应当列明增值税税率。采购人最终将按照含税价格与供应商签约。</w:t>
      </w:r>
    </w:p>
    <w:p w14:paraId="4468CD9E">
      <w:pPr>
        <w:pStyle w:val="39"/>
        <w:spacing w:line="360" w:lineRule="auto"/>
        <w:ind w:firstLine="480" w:firstLineChars="200"/>
        <w:rPr>
          <w:color w:val="auto"/>
          <w:sz w:val="24"/>
          <w:szCs w:val="24"/>
          <w:lang w:val="en-US" w:eastAsia="zh-CN" w:bidi="en-US"/>
        </w:rPr>
      </w:pPr>
      <w:r>
        <w:rPr>
          <w:rFonts w:hint="eastAsia"/>
          <w:color w:val="auto"/>
          <w:sz w:val="24"/>
          <w:szCs w:val="24"/>
          <w:lang w:val="en-US" w:eastAsia="zh-CN" w:bidi="en-US"/>
        </w:rPr>
        <w:t>5.1.2 供应商应充分了解采购项目的总体情况以及影响报价的其他要素。</w:t>
      </w:r>
    </w:p>
    <w:p w14:paraId="03A4EF15">
      <w:pPr>
        <w:pStyle w:val="39"/>
        <w:spacing w:line="360" w:lineRule="auto"/>
        <w:ind w:firstLine="480" w:firstLineChars="200"/>
        <w:rPr>
          <w:color w:val="auto"/>
          <w:sz w:val="21"/>
          <w:szCs w:val="21"/>
        </w:rPr>
      </w:pPr>
      <w:bookmarkStart w:id="241" w:name="bookmark1526"/>
      <w:bookmarkEnd w:id="241"/>
      <w:r>
        <w:rPr>
          <w:rFonts w:hint="eastAsia"/>
          <w:color w:val="auto"/>
          <w:sz w:val="24"/>
          <w:szCs w:val="24"/>
          <w:lang w:val="en-US" w:eastAsia="zh-CN" w:bidi="en-US"/>
        </w:rPr>
        <w:t>5.1.3 报价的其他要求见竞价采</w:t>
      </w:r>
      <w:r>
        <w:rPr>
          <w:rFonts w:hint="eastAsia"/>
          <w:color w:val="auto"/>
          <w:sz w:val="24"/>
          <w:szCs w:val="24"/>
        </w:rPr>
        <w:t>购公告</w:t>
      </w:r>
      <w:r>
        <w:rPr>
          <w:rFonts w:hint="eastAsia"/>
          <w:color w:val="auto"/>
          <w:sz w:val="24"/>
          <w:szCs w:val="24"/>
          <w:lang w:eastAsia="zh-CN"/>
        </w:rPr>
        <w:t xml:space="preserve"> </w:t>
      </w:r>
      <w:r>
        <w:rPr>
          <w:rFonts w:hint="eastAsia"/>
          <w:color w:val="auto"/>
          <w:sz w:val="24"/>
          <w:szCs w:val="24"/>
          <w:lang w:val="en-US" w:eastAsia="zh-CN" w:bidi="en-US"/>
        </w:rPr>
        <w:t xml:space="preserve">“ </w:t>
      </w:r>
      <w:r>
        <w:rPr>
          <w:rFonts w:hint="eastAsia"/>
          <w:color w:val="auto"/>
          <w:sz w:val="24"/>
          <w:szCs w:val="24"/>
        </w:rPr>
        <w:t>竞价时间及竞价规则”。</w:t>
      </w:r>
    </w:p>
    <w:p w14:paraId="6974B372">
      <w:pPr>
        <w:pStyle w:val="4"/>
        <w:spacing w:before="0" w:after="0" w:line="360" w:lineRule="auto"/>
        <w:rPr>
          <w:rFonts w:ascii="宋体" w:hAnsi="宋体" w:eastAsia="宋体" w:cs="宋体"/>
          <w:color w:val="auto"/>
          <w:sz w:val="24"/>
          <w:lang w:eastAsia="zh-CN"/>
        </w:rPr>
      </w:pPr>
      <w:bookmarkStart w:id="242" w:name="_Toc12000"/>
      <w:bookmarkStart w:id="243" w:name="_Toc21390"/>
      <w:bookmarkStart w:id="244" w:name="_Toc12246"/>
      <w:bookmarkStart w:id="245" w:name="_Toc174302090"/>
      <w:r>
        <w:rPr>
          <w:rFonts w:hint="eastAsia" w:ascii="宋体" w:hAnsi="宋体" w:eastAsia="宋体" w:cs="宋体"/>
          <w:color w:val="auto"/>
          <w:sz w:val="24"/>
          <w:lang w:eastAsia="zh-CN"/>
        </w:rPr>
        <w:t>5.2 报价有效期</w:t>
      </w:r>
      <w:bookmarkEnd w:id="242"/>
      <w:bookmarkEnd w:id="243"/>
      <w:bookmarkEnd w:id="244"/>
      <w:bookmarkEnd w:id="245"/>
    </w:p>
    <w:p w14:paraId="3D150CCF">
      <w:pPr>
        <w:pStyle w:val="39"/>
        <w:spacing w:line="360" w:lineRule="auto"/>
        <w:ind w:firstLine="480" w:firstLineChars="200"/>
        <w:rPr>
          <w:color w:val="auto"/>
          <w:sz w:val="24"/>
          <w:szCs w:val="24"/>
          <w:lang w:val="en-US" w:eastAsia="zh-CN" w:bidi="en-US"/>
        </w:rPr>
      </w:pPr>
      <w:bookmarkStart w:id="246" w:name="bookmark1527"/>
      <w:bookmarkEnd w:id="246"/>
      <w:r>
        <w:rPr>
          <w:rFonts w:hint="eastAsia"/>
          <w:color w:val="auto"/>
          <w:sz w:val="24"/>
          <w:szCs w:val="24"/>
          <w:lang w:val="en-US" w:eastAsia="zh-CN" w:bidi="en-US"/>
        </w:rPr>
        <w:t>5.2.</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lang w:val="en-US" w:eastAsia="zh-CN" w:bidi="en-US"/>
        </w:rPr>
        <w:t>除竞价采购公告 “ 竞价时间及竞价规则”另有规定外，供应商的竞价报价有效期应为90日，从竞价釆购公告规定的竞价开始时间起计算。</w:t>
      </w:r>
    </w:p>
    <w:p w14:paraId="6B99265B">
      <w:pPr>
        <w:pStyle w:val="39"/>
        <w:spacing w:line="360" w:lineRule="auto"/>
        <w:ind w:firstLine="480" w:firstLineChars="200"/>
        <w:rPr>
          <w:color w:val="auto"/>
          <w:sz w:val="21"/>
          <w:szCs w:val="21"/>
        </w:rPr>
      </w:pPr>
      <w:r>
        <w:rPr>
          <w:rFonts w:hint="eastAsia"/>
          <w:color w:val="auto"/>
          <w:sz w:val="24"/>
          <w:szCs w:val="24"/>
          <w:lang w:val="en-US" w:eastAsia="zh-CN" w:bidi="en-US"/>
        </w:rPr>
        <w:t>5.2.2 出现特殊情况需要延长竞价报价有效期的，采购人以书面形式通知所有供应商延长竞价报价有效期，供应商应予以书面答复。同意延长的，应相应延长其竞价保证金的有效期，但不得修改</w:t>
      </w:r>
      <w:r>
        <w:rPr>
          <w:rFonts w:hint="eastAsia"/>
          <w:color w:val="auto"/>
          <w:sz w:val="24"/>
          <w:szCs w:val="24"/>
        </w:rPr>
        <w:t>其报价；供应商拒绝延长的，其报价失效，但供应商有权收回其竞价保证金</w:t>
      </w:r>
      <w:r>
        <w:rPr>
          <w:rFonts w:hint="eastAsia"/>
          <w:color w:val="auto"/>
          <w:sz w:val="24"/>
          <w:szCs w:val="24"/>
          <w:lang w:val="en-US" w:eastAsia="zh-CN" w:bidi="en-US"/>
        </w:rPr>
        <w:t>以及以现金或者支票形式递交的</w:t>
      </w:r>
      <w:r>
        <w:rPr>
          <w:rFonts w:hint="eastAsia"/>
          <w:color w:val="auto"/>
          <w:sz w:val="24"/>
          <w:szCs w:val="24"/>
        </w:rPr>
        <w:t>竞价</w:t>
      </w:r>
      <w:r>
        <w:rPr>
          <w:rFonts w:hint="eastAsia"/>
          <w:color w:val="auto"/>
          <w:sz w:val="24"/>
          <w:szCs w:val="24"/>
          <w:lang w:val="en-US" w:eastAsia="zh-CN" w:bidi="en-US"/>
        </w:rPr>
        <w:t>保证金的银行同期存款利息</w:t>
      </w:r>
      <w:r>
        <w:rPr>
          <w:rFonts w:hint="eastAsia"/>
          <w:color w:val="auto"/>
          <w:sz w:val="24"/>
          <w:szCs w:val="24"/>
        </w:rPr>
        <w:t>。</w:t>
      </w:r>
    </w:p>
    <w:p w14:paraId="6D6163FF">
      <w:pPr>
        <w:pStyle w:val="4"/>
        <w:spacing w:before="0" w:after="0" w:line="360" w:lineRule="auto"/>
        <w:rPr>
          <w:rFonts w:ascii="宋体" w:hAnsi="宋体" w:eastAsia="宋体" w:cs="宋体"/>
          <w:color w:val="auto"/>
          <w:sz w:val="24"/>
          <w:lang w:eastAsia="zh-CN"/>
        </w:rPr>
      </w:pPr>
      <w:bookmarkStart w:id="247" w:name="bookmark1528"/>
      <w:bookmarkStart w:id="248" w:name="bookmark1530"/>
      <w:bookmarkStart w:id="249" w:name="_Toc39"/>
      <w:bookmarkStart w:id="250" w:name="bookmark1529"/>
      <w:bookmarkStart w:id="251" w:name="_Toc174302091"/>
      <w:bookmarkStart w:id="252" w:name="_Toc22660"/>
      <w:bookmarkStart w:id="253" w:name="_Toc15212"/>
      <w:r>
        <w:rPr>
          <w:rFonts w:hint="eastAsia" w:ascii="宋体" w:hAnsi="宋体" w:eastAsia="宋体" w:cs="宋体"/>
          <w:color w:val="auto"/>
          <w:sz w:val="24"/>
          <w:lang w:eastAsia="zh-CN"/>
        </w:rPr>
        <w:t>5.3 竞价保证金</w:t>
      </w:r>
      <w:bookmarkEnd w:id="247"/>
      <w:bookmarkEnd w:id="248"/>
      <w:bookmarkEnd w:id="249"/>
      <w:bookmarkEnd w:id="250"/>
      <w:bookmarkEnd w:id="251"/>
      <w:bookmarkEnd w:id="252"/>
      <w:r>
        <w:rPr>
          <w:rFonts w:hint="eastAsia" w:ascii="宋体" w:hAnsi="宋体" w:eastAsia="宋体" w:cs="宋体"/>
          <w:color w:val="auto"/>
          <w:sz w:val="24"/>
          <w:lang w:eastAsia="zh-CN"/>
        </w:rPr>
        <w:t>：人民币</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万元整</w:t>
      </w:r>
      <w:bookmarkEnd w:id="253"/>
      <w:bookmarkStart w:id="254" w:name="bookmark1534"/>
      <w:bookmarkStart w:id="255" w:name="_Toc174302092"/>
      <w:bookmarkStart w:id="256" w:name="_Toc16783"/>
      <w:bookmarkStart w:id="257" w:name="_Toc18022"/>
      <w:bookmarkStart w:id="258" w:name="bookmark1536"/>
      <w:bookmarkStart w:id="259" w:name="bookmark1535"/>
    </w:p>
    <w:p w14:paraId="4C46200D">
      <w:pPr>
        <w:pStyle w:val="4"/>
        <w:spacing w:before="0" w:after="0" w:line="360" w:lineRule="auto"/>
        <w:rPr>
          <w:rFonts w:ascii="宋体" w:hAnsi="宋体" w:eastAsia="宋体" w:cs="宋体"/>
          <w:color w:val="auto"/>
          <w:sz w:val="24"/>
          <w:lang w:eastAsia="zh-CN"/>
        </w:rPr>
      </w:pPr>
      <w:bookmarkStart w:id="260" w:name="_Toc31326"/>
      <w:r>
        <w:rPr>
          <w:rFonts w:hint="eastAsia" w:ascii="宋体" w:hAnsi="宋体" w:eastAsia="宋体" w:cs="宋体"/>
          <w:color w:val="auto"/>
          <w:sz w:val="24"/>
          <w:lang w:eastAsia="zh-CN"/>
        </w:rPr>
        <w:t>5.4 网络报价</w:t>
      </w:r>
      <w:bookmarkEnd w:id="254"/>
      <w:bookmarkEnd w:id="255"/>
      <w:bookmarkEnd w:id="256"/>
      <w:bookmarkEnd w:id="257"/>
      <w:bookmarkEnd w:id="258"/>
      <w:bookmarkEnd w:id="259"/>
      <w:bookmarkEnd w:id="260"/>
    </w:p>
    <w:p w14:paraId="39487AA6">
      <w:pPr>
        <w:pStyle w:val="39"/>
        <w:spacing w:line="360" w:lineRule="auto"/>
        <w:ind w:firstLine="480" w:firstLineChars="200"/>
        <w:rPr>
          <w:color w:val="auto"/>
          <w:sz w:val="24"/>
          <w:szCs w:val="24"/>
          <w:lang w:val="en-US" w:eastAsia="zh-CN" w:bidi="en-US"/>
        </w:rPr>
      </w:pPr>
      <w:r>
        <w:rPr>
          <w:rFonts w:hint="eastAsia"/>
          <w:color w:val="auto"/>
          <w:sz w:val="24"/>
          <w:szCs w:val="24"/>
          <w:lang w:val="en-US" w:eastAsia="zh-CN" w:bidi="en-US"/>
        </w:rPr>
        <w:t>5.4.1 供应商应以电子竞价平台服务器时间为基准时间，按规定时间登录电子竞价平台，按竞价采购公告/竞价釆购邀请书“ 竞价时间及竞价规则”的规定进行报价。</w:t>
      </w:r>
    </w:p>
    <w:p w14:paraId="2C9609AC">
      <w:pPr>
        <w:pStyle w:val="39"/>
        <w:spacing w:line="360" w:lineRule="auto"/>
        <w:ind w:firstLine="480" w:firstLineChars="200"/>
        <w:rPr>
          <w:color w:val="auto"/>
          <w:sz w:val="24"/>
          <w:szCs w:val="24"/>
          <w:lang w:val="en-US" w:eastAsia="zh-CN" w:bidi="en-US"/>
        </w:rPr>
      </w:pPr>
      <w:bookmarkStart w:id="261" w:name="bookmark1537"/>
      <w:bookmarkEnd w:id="261"/>
      <w:r>
        <w:rPr>
          <w:rFonts w:hint="eastAsia"/>
          <w:color w:val="auto"/>
          <w:sz w:val="24"/>
          <w:szCs w:val="24"/>
          <w:lang w:val="en-US" w:eastAsia="zh-CN" w:bidi="en-US"/>
        </w:rPr>
        <w:t>（1）起始价：采购人设置的起始报价价格。</w:t>
      </w:r>
    </w:p>
    <w:p w14:paraId="12FDDD62">
      <w:pPr>
        <w:pStyle w:val="39"/>
        <w:spacing w:line="360" w:lineRule="auto"/>
        <w:ind w:firstLine="480" w:firstLineChars="200"/>
        <w:rPr>
          <w:color w:val="auto"/>
          <w:sz w:val="24"/>
          <w:szCs w:val="24"/>
          <w:lang w:val="en-US" w:eastAsia="zh-CN" w:bidi="en-US"/>
        </w:rPr>
      </w:pPr>
      <w:bookmarkStart w:id="262" w:name="bookmark1538"/>
      <w:bookmarkEnd w:id="262"/>
      <w:r>
        <w:rPr>
          <w:rFonts w:hint="eastAsia"/>
          <w:color w:val="auto"/>
          <w:sz w:val="24"/>
          <w:szCs w:val="24"/>
          <w:lang w:val="en-US" w:eastAsia="zh-CN" w:bidi="en-US"/>
        </w:rPr>
        <w:t>（2）报价梯度：供应商报价的单位降幅，供应商需按此大于此幅度进行出价。</w:t>
      </w:r>
    </w:p>
    <w:p w14:paraId="3022C089">
      <w:pPr>
        <w:pStyle w:val="39"/>
        <w:spacing w:line="360" w:lineRule="auto"/>
        <w:ind w:firstLine="480" w:firstLineChars="200"/>
        <w:rPr>
          <w:color w:val="auto"/>
          <w:sz w:val="24"/>
          <w:szCs w:val="24"/>
          <w:lang w:val="en-US" w:eastAsia="zh-CN" w:bidi="en-US"/>
        </w:rPr>
      </w:pPr>
      <w:r>
        <w:rPr>
          <w:rFonts w:hint="eastAsia"/>
          <w:color w:val="auto"/>
          <w:sz w:val="24"/>
          <w:szCs w:val="24"/>
          <w:lang w:val="en-US" w:eastAsia="zh-CN" w:bidi="en-US"/>
        </w:rPr>
        <w:t>5.4.2 竞价开始后，供应商按照电子竞价平台的提示报价，可进行多轮次连续报价。供应商电子竞价的首次报价不得高于竞价起始价，之后的报价不得高于前一轮的最低报价。</w:t>
      </w:r>
    </w:p>
    <w:p w14:paraId="404109A2">
      <w:pPr>
        <w:pStyle w:val="39"/>
        <w:spacing w:line="360" w:lineRule="auto"/>
        <w:ind w:firstLine="480" w:firstLineChars="200"/>
        <w:rPr>
          <w:color w:val="auto"/>
          <w:sz w:val="24"/>
          <w:szCs w:val="24"/>
          <w:lang w:val="en-US" w:eastAsia="zh-CN" w:bidi="en-US"/>
        </w:rPr>
      </w:pPr>
      <w:r>
        <w:rPr>
          <w:rFonts w:hint="eastAsia"/>
          <w:color w:val="auto"/>
          <w:sz w:val="24"/>
          <w:szCs w:val="24"/>
          <w:lang w:val="en-US" w:eastAsia="zh-CN" w:bidi="en-US"/>
        </w:rPr>
        <w:t>5.4.3 电子竞价平台自动拒绝竞价截止时间后的报价。设置自动延时竞价的，在竞价截止时间前的规定时限内，如有供应商报价且该报价低于当前最低价时，系统可自动延长截止时间。</w:t>
      </w:r>
    </w:p>
    <w:p w14:paraId="1A1B58BB">
      <w:pPr>
        <w:pStyle w:val="39"/>
        <w:spacing w:line="360" w:lineRule="auto"/>
        <w:ind w:firstLine="480" w:firstLineChars="200"/>
        <w:rPr>
          <w:color w:val="auto"/>
          <w:sz w:val="24"/>
          <w:szCs w:val="24"/>
          <w:lang w:val="en-US" w:eastAsia="zh-CN" w:bidi="en-US"/>
        </w:rPr>
      </w:pPr>
      <w:r>
        <w:rPr>
          <w:rFonts w:hint="eastAsia"/>
          <w:color w:val="auto"/>
          <w:sz w:val="24"/>
          <w:szCs w:val="24"/>
          <w:lang w:val="en-US" w:eastAsia="zh-CN" w:bidi="en-US"/>
        </w:rPr>
        <w:t>5.4.4 竞价期间，电子竞价平台向所有参加竞价的供应商实时反馈报价情况，并记录供应商所有网上报价过程。</w:t>
      </w:r>
    </w:p>
    <w:p w14:paraId="2627BF59">
      <w:pPr>
        <w:pStyle w:val="39"/>
        <w:spacing w:line="360" w:lineRule="auto"/>
        <w:ind w:firstLine="480" w:firstLineChars="200"/>
        <w:rPr>
          <w:color w:val="auto"/>
          <w:sz w:val="24"/>
          <w:szCs w:val="24"/>
        </w:rPr>
      </w:pPr>
      <w:r>
        <w:rPr>
          <w:rFonts w:hint="eastAsia"/>
          <w:color w:val="auto"/>
          <w:sz w:val="24"/>
          <w:szCs w:val="24"/>
          <w:lang w:val="en-US" w:eastAsia="zh-CN" w:bidi="en-US"/>
        </w:rPr>
        <w:t>5.4.5 供应商网上报价出现故障时，应及时和电子竞价平台联系。供应商因故障</w:t>
      </w:r>
      <w:r>
        <w:rPr>
          <w:rFonts w:hint="eastAsia"/>
          <w:color w:val="auto"/>
          <w:sz w:val="24"/>
          <w:szCs w:val="24"/>
        </w:rPr>
        <w:t>未能网络报价成功的，视为放弃参加竞价。供应商有权要求责任方赔偿因此遭受的损失，但不影响竞价采购项目的继续实施。</w:t>
      </w:r>
    </w:p>
    <w:p w14:paraId="5DE482C3">
      <w:pPr>
        <w:pStyle w:val="4"/>
        <w:spacing w:before="0" w:after="0" w:line="360" w:lineRule="auto"/>
        <w:rPr>
          <w:rFonts w:ascii="宋体" w:hAnsi="宋体" w:eastAsia="宋体" w:cs="宋体"/>
          <w:b w:val="0"/>
          <w:color w:val="auto"/>
          <w:sz w:val="24"/>
          <w:lang w:eastAsia="zh-CN"/>
        </w:rPr>
      </w:pPr>
      <w:bookmarkStart w:id="263" w:name="_Toc174302093"/>
      <w:bookmarkStart w:id="264" w:name="bookmark1540"/>
      <w:bookmarkStart w:id="265" w:name="bookmark1539"/>
      <w:bookmarkStart w:id="266" w:name="_Toc25233"/>
      <w:bookmarkStart w:id="267" w:name="_Toc18715"/>
      <w:bookmarkStart w:id="268" w:name="_Toc1759"/>
      <w:bookmarkStart w:id="269" w:name="bookmark1541"/>
      <w:r>
        <w:rPr>
          <w:rFonts w:hint="eastAsia" w:ascii="宋体" w:hAnsi="宋体" w:eastAsia="宋体" w:cs="宋体"/>
          <w:b w:val="0"/>
          <w:color w:val="auto"/>
          <w:sz w:val="24"/>
          <w:lang w:eastAsia="zh-CN"/>
        </w:rPr>
        <w:t>5.5 供应商数量不足三家的情形</w:t>
      </w:r>
      <w:bookmarkEnd w:id="263"/>
      <w:bookmarkEnd w:id="264"/>
      <w:bookmarkEnd w:id="265"/>
      <w:bookmarkEnd w:id="266"/>
      <w:bookmarkEnd w:id="267"/>
      <w:bookmarkEnd w:id="268"/>
      <w:bookmarkEnd w:id="269"/>
    </w:p>
    <w:p w14:paraId="22794CFB">
      <w:pPr>
        <w:pStyle w:val="39"/>
        <w:spacing w:line="360" w:lineRule="auto"/>
        <w:ind w:firstLine="480" w:firstLineChars="200"/>
        <w:rPr>
          <w:color w:val="auto"/>
          <w:sz w:val="24"/>
          <w:szCs w:val="24"/>
        </w:rPr>
      </w:pPr>
      <w:r>
        <w:rPr>
          <w:rFonts w:hint="eastAsia"/>
          <w:color w:val="auto"/>
          <w:sz w:val="24"/>
          <w:szCs w:val="24"/>
          <w:lang w:val="en-US" w:eastAsia="zh-CN"/>
        </w:rPr>
        <w:t>符合竞价要求的</w:t>
      </w:r>
      <w:r>
        <w:rPr>
          <w:rFonts w:hint="eastAsia"/>
          <w:color w:val="auto"/>
          <w:sz w:val="24"/>
          <w:szCs w:val="24"/>
        </w:rPr>
        <w:t>供应商数量不足三家，应当</w:t>
      </w:r>
      <w:r>
        <w:rPr>
          <w:rFonts w:hint="eastAsia"/>
          <w:color w:val="auto"/>
          <w:sz w:val="24"/>
          <w:szCs w:val="24"/>
          <w:lang w:val="en-US" w:eastAsia="zh-CN"/>
        </w:rPr>
        <w:t>终止竞价</w:t>
      </w:r>
      <w:r>
        <w:rPr>
          <w:rFonts w:hint="eastAsia"/>
          <w:color w:val="auto"/>
          <w:sz w:val="24"/>
          <w:szCs w:val="24"/>
        </w:rPr>
        <w:t>。</w:t>
      </w:r>
    </w:p>
    <w:p w14:paraId="228B005E">
      <w:pPr>
        <w:pStyle w:val="2"/>
        <w:spacing w:line="360" w:lineRule="auto"/>
        <w:rPr>
          <w:rFonts w:ascii="宋体" w:hAnsi="宋体" w:eastAsia="宋体" w:cs="宋体"/>
          <w:color w:val="auto"/>
          <w:sz w:val="28"/>
          <w:szCs w:val="28"/>
          <w:lang w:eastAsia="zh-CN"/>
        </w:rPr>
      </w:pPr>
      <w:bookmarkStart w:id="270" w:name="_Toc267"/>
      <w:bookmarkStart w:id="271" w:name="_Toc26052"/>
      <w:bookmarkStart w:id="272" w:name="_Toc26652"/>
      <w:bookmarkStart w:id="273" w:name="_Toc174302094"/>
      <w:bookmarkStart w:id="274" w:name="bookmark1544"/>
      <w:bookmarkStart w:id="275" w:name="bookmark1542"/>
      <w:bookmarkStart w:id="276" w:name="bookmark1543"/>
      <w:r>
        <w:rPr>
          <w:rFonts w:hint="eastAsia" w:ascii="宋体" w:hAnsi="宋体" w:eastAsia="宋体" w:cs="宋体"/>
          <w:color w:val="auto"/>
          <w:sz w:val="28"/>
          <w:szCs w:val="28"/>
          <w:lang w:eastAsia="zh-CN"/>
        </w:rPr>
        <w:t>6 平台排名</w:t>
      </w:r>
      <w:bookmarkEnd w:id="270"/>
      <w:bookmarkEnd w:id="271"/>
      <w:bookmarkEnd w:id="272"/>
      <w:bookmarkEnd w:id="273"/>
      <w:bookmarkEnd w:id="274"/>
      <w:bookmarkEnd w:id="275"/>
      <w:bookmarkEnd w:id="276"/>
    </w:p>
    <w:p w14:paraId="4999DF0E">
      <w:pPr>
        <w:pStyle w:val="4"/>
        <w:spacing w:before="0" w:after="0" w:line="360" w:lineRule="auto"/>
        <w:rPr>
          <w:rFonts w:ascii="宋体" w:hAnsi="宋体" w:eastAsia="宋体" w:cs="宋体"/>
          <w:color w:val="auto"/>
          <w:sz w:val="24"/>
          <w:lang w:eastAsia="zh-CN"/>
        </w:rPr>
      </w:pPr>
      <w:bookmarkStart w:id="277" w:name="bookmark1547"/>
      <w:bookmarkStart w:id="278" w:name="_Toc19853"/>
      <w:bookmarkStart w:id="279" w:name="bookmark1545"/>
      <w:bookmarkStart w:id="280" w:name="_Toc27668"/>
      <w:bookmarkStart w:id="281" w:name="_Toc8097"/>
      <w:bookmarkStart w:id="282" w:name="bookmark1546"/>
      <w:bookmarkStart w:id="283" w:name="_Toc174302095"/>
      <w:r>
        <w:rPr>
          <w:rFonts w:hint="eastAsia" w:ascii="宋体" w:hAnsi="宋体" w:eastAsia="宋体" w:cs="宋体"/>
          <w:color w:val="auto"/>
          <w:sz w:val="24"/>
          <w:lang w:eastAsia="zh-CN"/>
        </w:rPr>
        <w:t>6.1 排名方式</w:t>
      </w:r>
      <w:bookmarkEnd w:id="277"/>
      <w:bookmarkEnd w:id="278"/>
      <w:bookmarkEnd w:id="279"/>
      <w:bookmarkEnd w:id="280"/>
      <w:bookmarkEnd w:id="281"/>
      <w:bookmarkEnd w:id="282"/>
      <w:bookmarkEnd w:id="283"/>
    </w:p>
    <w:p w14:paraId="2F0EEBD0">
      <w:pPr>
        <w:pStyle w:val="39"/>
        <w:spacing w:line="360" w:lineRule="auto"/>
        <w:ind w:firstLine="480" w:firstLineChars="200"/>
        <w:rPr>
          <w:color w:val="auto"/>
          <w:sz w:val="24"/>
          <w:szCs w:val="24"/>
        </w:rPr>
      </w:pPr>
      <w:r>
        <w:rPr>
          <w:rFonts w:hint="eastAsia"/>
          <w:color w:val="auto"/>
          <w:sz w:val="24"/>
          <w:szCs w:val="24"/>
        </w:rPr>
        <w:t>供应商报价结束后，电子竞价平台自动计算各供应商排名，并按照价格由低至高排序。</w:t>
      </w:r>
    </w:p>
    <w:p w14:paraId="6A79483A">
      <w:pPr>
        <w:pStyle w:val="4"/>
        <w:spacing w:before="0" w:after="0" w:line="360" w:lineRule="auto"/>
        <w:rPr>
          <w:rFonts w:ascii="宋体" w:hAnsi="宋体" w:eastAsia="宋体" w:cs="宋体"/>
          <w:color w:val="auto"/>
          <w:sz w:val="24"/>
          <w:lang w:eastAsia="zh-CN"/>
        </w:rPr>
      </w:pPr>
      <w:bookmarkStart w:id="284" w:name="_Toc174302096"/>
      <w:bookmarkStart w:id="285" w:name="bookmark1548"/>
      <w:bookmarkStart w:id="286" w:name="bookmark1550"/>
      <w:bookmarkStart w:id="287" w:name="_Toc9303"/>
      <w:bookmarkStart w:id="288" w:name="bookmark1549"/>
      <w:bookmarkStart w:id="289" w:name="_Toc10985"/>
      <w:bookmarkStart w:id="290" w:name="_Toc22758"/>
      <w:r>
        <w:rPr>
          <w:rFonts w:hint="eastAsia" w:ascii="宋体" w:hAnsi="宋体" w:eastAsia="宋体" w:cs="宋体"/>
          <w:color w:val="auto"/>
          <w:sz w:val="24"/>
          <w:lang w:eastAsia="zh-CN"/>
        </w:rPr>
        <w:t>6.2 推荐候选成交供应商</w:t>
      </w:r>
      <w:bookmarkEnd w:id="284"/>
      <w:bookmarkEnd w:id="285"/>
      <w:bookmarkEnd w:id="286"/>
      <w:bookmarkEnd w:id="287"/>
      <w:bookmarkEnd w:id="288"/>
      <w:bookmarkEnd w:id="289"/>
      <w:bookmarkEnd w:id="290"/>
    </w:p>
    <w:p w14:paraId="49D4C5B7">
      <w:pPr>
        <w:pStyle w:val="39"/>
        <w:spacing w:line="360" w:lineRule="auto"/>
        <w:ind w:firstLine="480" w:firstLineChars="200"/>
        <w:rPr>
          <w:color w:val="auto"/>
          <w:sz w:val="24"/>
          <w:szCs w:val="24"/>
        </w:rPr>
      </w:pPr>
      <w:r>
        <w:rPr>
          <w:rFonts w:hint="eastAsia"/>
          <w:color w:val="auto"/>
          <w:sz w:val="24"/>
          <w:szCs w:val="24"/>
        </w:rPr>
        <w:t>电子竞价平台根据报价情况推荐候选成交供应商。候选成交供应商的数量见竞价采购公告</w:t>
      </w:r>
      <w:r>
        <w:rPr>
          <w:rFonts w:hint="eastAsia"/>
          <w:color w:val="auto"/>
          <w:sz w:val="24"/>
          <w:szCs w:val="24"/>
          <w:lang w:eastAsia="zh-CN"/>
        </w:rPr>
        <w:t xml:space="preserve"> </w:t>
      </w:r>
      <w:r>
        <w:rPr>
          <w:rFonts w:hint="eastAsia"/>
          <w:color w:val="auto"/>
          <w:sz w:val="24"/>
          <w:szCs w:val="24"/>
          <w:lang w:val="en-US" w:eastAsia="zh-CN" w:bidi="en-US"/>
        </w:rPr>
        <w:t xml:space="preserve">“ </w:t>
      </w:r>
      <w:r>
        <w:rPr>
          <w:rFonts w:hint="eastAsia"/>
          <w:color w:val="auto"/>
          <w:sz w:val="24"/>
          <w:szCs w:val="24"/>
        </w:rPr>
        <w:t>确定成交供应商的方法”。</w:t>
      </w:r>
    </w:p>
    <w:p w14:paraId="02B1E5DC">
      <w:pPr>
        <w:pStyle w:val="2"/>
        <w:spacing w:line="360" w:lineRule="auto"/>
        <w:rPr>
          <w:rFonts w:ascii="宋体" w:hAnsi="宋体" w:eastAsia="宋体" w:cs="宋体"/>
          <w:color w:val="auto"/>
          <w:sz w:val="28"/>
          <w:szCs w:val="28"/>
          <w:lang w:eastAsia="zh-CN"/>
        </w:rPr>
      </w:pPr>
      <w:bookmarkStart w:id="291" w:name="_Toc15719"/>
      <w:bookmarkStart w:id="292" w:name="bookmark1552"/>
      <w:bookmarkStart w:id="293" w:name="_Toc23068"/>
      <w:bookmarkStart w:id="294" w:name="_Toc30021"/>
      <w:bookmarkStart w:id="295" w:name="bookmark1551"/>
      <w:bookmarkStart w:id="296" w:name="_Toc174302097"/>
      <w:bookmarkStart w:id="297" w:name="bookmark1553"/>
      <w:r>
        <w:rPr>
          <w:rFonts w:hint="eastAsia" w:ascii="宋体" w:hAnsi="宋体" w:eastAsia="宋体" w:cs="宋体"/>
          <w:color w:val="auto"/>
          <w:sz w:val="28"/>
          <w:szCs w:val="28"/>
          <w:lang w:eastAsia="zh-CN"/>
        </w:rPr>
        <w:t>7 合同授予</w:t>
      </w:r>
      <w:bookmarkEnd w:id="291"/>
      <w:bookmarkEnd w:id="292"/>
      <w:bookmarkEnd w:id="293"/>
      <w:bookmarkEnd w:id="294"/>
      <w:bookmarkEnd w:id="295"/>
      <w:bookmarkEnd w:id="296"/>
      <w:bookmarkEnd w:id="297"/>
    </w:p>
    <w:p w14:paraId="7DCBDD5E">
      <w:pPr>
        <w:pStyle w:val="4"/>
        <w:spacing w:before="0" w:after="0" w:line="360" w:lineRule="auto"/>
        <w:rPr>
          <w:rFonts w:ascii="宋体" w:hAnsi="宋体" w:eastAsia="宋体" w:cs="宋体"/>
          <w:color w:val="auto"/>
          <w:sz w:val="24"/>
          <w:lang w:eastAsia="zh-CN"/>
        </w:rPr>
      </w:pPr>
      <w:bookmarkStart w:id="298" w:name="bookmark1555"/>
      <w:bookmarkStart w:id="299" w:name="_Toc20624"/>
      <w:bookmarkStart w:id="300" w:name="_Toc174302098"/>
      <w:bookmarkStart w:id="301" w:name="bookmark1554"/>
      <w:bookmarkStart w:id="302" w:name="_Toc604"/>
      <w:bookmarkStart w:id="303" w:name="_Toc24815"/>
      <w:bookmarkStart w:id="304" w:name="bookmark1556"/>
      <w:r>
        <w:rPr>
          <w:rFonts w:hint="eastAsia" w:ascii="宋体" w:hAnsi="宋体" w:eastAsia="宋体" w:cs="宋体"/>
          <w:color w:val="auto"/>
          <w:sz w:val="24"/>
          <w:lang w:eastAsia="zh-CN"/>
        </w:rPr>
        <w:t>7.1 候选成交供应商履约能力和价格核查</w:t>
      </w:r>
      <w:bookmarkEnd w:id="298"/>
      <w:bookmarkEnd w:id="299"/>
      <w:bookmarkEnd w:id="300"/>
      <w:bookmarkEnd w:id="301"/>
      <w:bookmarkEnd w:id="302"/>
      <w:bookmarkEnd w:id="303"/>
      <w:bookmarkEnd w:id="304"/>
    </w:p>
    <w:p w14:paraId="10F8650D">
      <w:pPr>
        <w:pStyle w:val="39"/>
        <w:spacing w:line="360" w:lineRule="auto"/>
        <w:ind w:firstLine="480" w:firstLineChars="200"/>
        <w:rPr>
          <w:color w:val="auto"/>
          <w:sz w:val="24"/>
          <w:szCs w:val="24"/>
        </w:rPr>
      </w:pPr>
      <w:r>
        <w:rPr>
          <w:rFonts w:hint="eastAsia"/>
          <w:color w:val="auto"/>
          <w:sz w:val="24"/>
          <w:szCs w:val="24"/>
        </w:rPr>
        <w:t>釆购人可对候选成交供应商的相关证明材料原件进行核验或组织现场考察，以确认候选成交供应商的生产经营、财务等实际状况与资格申请资料是否一致</w:t>
      </w:r>
      <w:r>
        <w:rPr>
          <w:rFonts w:hint="eastAsia"/>
          <w:color w:val="auto"/>
          <w:sz w:val="24"/>
          <w:szCs w:val="24"/>
          <w:lang w:eastAsia="zh-CN"/>
        </w:rPr>
        <w:t>，</w:t>
      </w:r>
      <w:r>
        <w:rPr>
          <w:rFonts w:hint="eastAsia"/>
          <w:color w:val="auto"/>
          <w:sz w:val="24"/>
          <w:szCs w:val="24"/>
        </w:rPr>
        <w:t>是否存在其他可能影响供应商履约能力的情况。釆购人发现供应商的报价异常低价，有可能影响合同履行的，可要求候选成交供应商作澄清或说明，并提供必要的证明材料。必要时，采购人可聘请专家对价格进行核查。履约能力和价格核查的结果将作为采购人选择确定</w:t>
      </w:r>
      <w:r>
        <w:rPr>
          <w:rFonts w:hint="eastAsia"/>
          <w:color w:val="auto"/>
          <w:sz w:val="24"/>
          <w:szCs w:val="24"/>
          <w:lang w:eastAsia="zh-CN"/>
        </w:rPr>
        <w:t>成交</w:t>
      </w:r>
      <w:r>
        <w:rPr>
          <w:rFonts w:hint="eastAsia"/>
          <w:color w:val="auto"/>
          <w:sz w:val="24"/>
          <w:szCs w:val="24"/>
        </w:rPr>
        <w:t>供应商的</w:t>
      </w:r>
      <w:r>
        <w:rPr>
          <w:rFonts w:hint="eastAsia"/>
          <w:color w:val="auto"/>
          <w:sz w:val="24"/>
          <w:szCs w:val="24"/>
          <w:lang w:val="en-US" w:eastAsia="zh-CN"/>
        </w:rPr>
        <w:t>重要依据</w:t>
      </w:r>
      <w:r>
        <w:rPr>
          <w:rFonts w:hint="eastAsia"/>
          <w:color w:val="auto"/>
          <w:sz w:val="24"/>
          <w:szCs w:val="24"/>
        </w:rPr>
        <w:t>。</w:t>
      </w:r>
    </w:p>
    <w:p w14:paraId="24495E8B">
      <w:pPr>
        <w:pStyle w:val="4"/>
        <w:spacing w:before="0" w:after="0" w:line="360" w:lineRule="auto"/>
        <w:rPr>
          <w:rFonts w:ascii="宋体" w:hAnsi="宋体" w:eastAsia="宋体" w:cs="宋体"/>
          <w:color w:val="auto"/>
          <w:sz w:val="24"/>
          <w:lang w:eastAsia="zh-CN"/>
        </w:rPr>
      </w:pPr>
      <w:bookmarkStart w:id="305" w:name="_Toc21161"/>
      <w:bookmarkStart w:id="306" w:name="_Toc174302099"/>
      <w:bookmarkStart w:id="307" w:name="_Toc16900"/>
      <w:bookmarkStart w:id="308" w:name="_Toc17254"/>
      <w:bookmarkStart w:id="309" w:name="bookmark1558"/>
      <w:bookmarkStart w:id="310" w:name="bookmark1557"/>
      <w:bookmarkStart w:id="311" w:name="bookmark1559"/>
      <w:r>
        <w:rPr>
          <w:rFonts w:hint="eastAsia" w:ascii="宋体" w:hAnsi="宋体" w:eastAsia="宋体" w:cs="宋体"/>
          <w:color w:val="auto"/>
          <w:sz w:val="24"/>
          <w:lang w:eastAsia="zh-CN"/>
        </w:rPr>
        <w:t>7.2 确定成交供应商</w:t>
      </w:r>
      <w:bookmarkEnd w:id="305"/>
      <w:bookmarkEnd w:id="306"/>
      <w:bookmarkEnd w:id="307"/>
      <w:bookmarkEnd w:id="308"/>
      <w:bookmarkEnd w:id="309"/>
      <w:bookmarkEnd w:id="310"/>
      <w:bookmarkEnd w:id="311"/>
    </w:p>
    <w:p w14:paraId="2DBCC487">
      <w:pPr>
        <w:pStyle w:val="39"/>
        <w:spacing w:line="360" w:lineRule="auto"/>
        <w:ind w:firstLine="480" w:firstLineChars="200"/>
        <w:rPr>
          <w:color w:val="auto"/>
          <w:sz w:val="24"/>
          <w:szCs w:val="24"/>
        </w:rPr>
      </w:pPr>
      <w:r>
        <w:rPr>
          <w:rFonts w:hint="eastAsia"/>
          <w:color w:val="auto"/>
          <w:sz w:val="24"/>
          <w:szCs w:val="24"/>
        </w:rPr>
        <w:t>采购人应当确定排名第一的候选成交供应商为</w:t>
      </w:r>
      <w:r>
        <w:rPr>
          <w:rFonts w:hint="eastAsia"/>
          <w:color w:val="auto"/>
          <w:sz w:val="24"/>
          <w:szCs w:val="24"/>
          <w:lang w:eastAsia="zh-CN"/>
        </w:rPr>
        <w:t>成交</w:t>
      </w:r>
      <w:r>
        <w:rPr>
          <w:rFonts w:hint="eastAsia"/>
          <w:color w:val="auto"/>
          <w:sz w:val="24"/>
          <w:szCs w:val="24"/>
        </w:rPr>
        <w:t>供应商。若排名第一的候选成交供应商未通过履约能力和价格核查，釆购人应按电子竞价平台推荐的名单排序依次确定其他候选成交供应商为</w:t>
      </w:r>
      <w:r>
        <w:rPr>
          <w:rFonts w:hint="eastAsia"/>
          <w:color w:val="auto"/>
          <w:sz w:val="24"/>
          <w:szCs w:val="24"/>
          <w:lang w:eastAsia="zh-CN"/>
        </w:rPr>
        <w:t>成交</w:t>
      </w:r>
      <w:r>
        <w:rPr>
          <w:rFonts w:hint="eastAsia"/>
          <w:color w:val="auto"/>
          <w:sz w:val="24"/>
          <w:szCs w:val="24"/>
        </w:rPr>
        <w:t>供应商。所有候选成交供应商均未通过履约能力和价格核查的，采购人将终止竞价采购活动。</w:t>
      </w:r>
    </w:p>
    <w:p w14:paraId="3DCC3434">
      <w:pPr>
        <w:pStyle w:val="4"/>
        <w:spacing w:before="0" w:after="0" w:line="360" w:lineRule="auto"/>
        <w:rPr>
          <w:rFonts w:ascii="宋体" w:hAnsi="宋体" w:eastAsia="宋体" w:cs="宋体"/>
          <w:color w:val="auto"/>
          <w:sz w:val="24"/>
          <w:lang w:eastAsia="zh-CN"/>
        </w:rPr>
      </w:pPr>
      <w:bookmarkStart w:id="312" w:name="_Toc24801"/>
      <w:bookmarkStart w:id="313" w:name="bookmark1562"/>
      <w:bookmarkStart w:id="314" w:name="_Toc174302100"/>
      <w:bookmarkStart w:id="315" w:name="_Toc23206"/>
      <w:bookmarkStart w:id="316" w:name="bookmark1561"/>
      <w:bookmarkStart w:id="317" w:name="bookmark1560"/>
      <w:bookmarkStart w:id="318" w:name="_Toc21758"/>
      <w:r>
        <w:rPr>
          <w:rFonts w:hint="eastAsia" w:ascii="宋体" w:hAnsi="宋体" w:eastAsia="宋体" w:cs="宋体"/>
          <w:color w:val="auto"/>
          <w:sz w:val="24"/>
          <w:lang w:eastAsia="zh-CN"/>
        </w:rPr>
        <w:t>7.3 成交结果公示</w:t>
      </w:r>
      <w:bookmarkEnd w:id="312"/>
      <w:bookmarkEnd w:id="313"/>
      <w:bookmarkEnd w:id="314"/>
      <w:bookmarkEnd w:id="315"/>
      <w:bookmarkEnd w:id="316"/>
      <w:bookmarkEnd w:id="317"/>
      <w:bookmarkEnd w:id="318"/>
    </w:p>
    <w:p w14:paraId="5DFB7B77">
      <w:pPr>
        <w:pStyle w:val="39"/>
        <w:spacing w:line="360" w:lineRule="auto"/>
        <w:ind w:firstLine="480" w:firstLineChars="200"/>
        <w:rPr>
          <w:color w:val="auto"/>
          <w:sz w:val="24"/>
          <w:szCs w:val="24"/>
        </w:rPr>
      </w:pPr>
      <w:r>
        <w:rPr>
          <w:rFonts w:hint="eastAsia"/>
          <w:color w:val="auto"/>
          <w:sz w:val="24"/>
          <w:szCs w:val="24"/>
          <w:lang w:eastAsia="zh-CN"/>
        </w:rPr>
        <w:t>成交</w:t>
      </w:r>
      <w:r>
        <w:rPr>
          <w:rFonts w:hint="eastAsia"/>
          <w:color w:val="auto"/>
          <w:sz w:val="24"/>
          <w:szCs w:val="24"/>
        </w:rPr>
        <w:t>供应商候选人选定后，采购人将按照竞价采购公告</w:t>
      </w:r>
      <w:r>
        <w:rPr>
          <w:rFonts w:hint="eastAsia"/>
          <w:color w:val="auto"/>
          <w:sz w:val="24"/>
          <w:szCs w:val="24"/>
          <w:lang w:val="en-US" w:eastAsia="zh-CN" w:bidi="en-US"/>
        </w:rPr>
        <w:t xml:space="preserve">“8 </w:t>
      </w:r>
      <w:r>
        <w:rPr>
          <w:rFonts w:hint="eastAsia"/>
          <w:color w:val="auto"/>
          <w:sz w:val="24"/>
          <w:szCs w:val="24"/>
        </w:rPr>
        <w:t>项目公告和公示”规定的公示媒介和公示期限进行公示，公示信息包括：</w:t>
      </w:r>
    </w:p>
    <w:p w14:paraId="13BC7680">
      <w:pPr>
        <w:pStyle w:val="39"/>
        <w:numPr>
          <w:ilvl w:val="0"/>
          <w:numId w:val="4"/>
        </w:numPr>
        <w:tabs>
          <w:tab w:val="left" w:pos="2046"/>
        </w:tabs>
        <w:spacing w:line="360" w:lineRule="auto"/>
        <w:ind w:left="480" w:leftChars="200" w:firstLine="0"/>
        <w:rPr>
          <w:color w:val="auto"/>
          <w:sz w:val="24"/>
          <w:szCs w:val="24"/>
        </w:rPr>
      </w:pPr>
      <w:bookmarkStart w:id="319" w:name="bookmark1564"/>
      <w:bookmarkEnd w:id="319"/>
      <w:bookmarkStart w:id="320" w:name="bookmark1563"/>
      <w:bookmarkEnd w:id="320"/>
      <w:r>
        <w:rPr>
          <w:rFonts w:hint="eastAsia"/>
          <w:color w:val="auto"/>
          <w:sz w:val="24"/>
          <w:szCs w:val="24"/>
          <w:lang w:eastAsia="zh-CN"/>
        </w:rPr>
        <w:t>成交</w:t>
      </w:r>
      <w:r>
        <w:rPr>
          <w:rFonts w:hint="eastAsia"/>
          <w:color w:val="auto"/>
          <w:sz w:val="24"/>
          <w:szCs w:val="24"/>
        </w:rPr>
        <w:t>供应商名称；</w:t>
      </w:r>
    </w:p>
    <w:p w14:paraId="401AC00D">
      <w:pPr>
        <w:pStyle w:val="39"/>
        <w:spacing w:line="360" w:lineRule="auto"/>
        <w:ind w:firstLine="480" w:firstLineChars="200"/>
        <w:rPr>
          <w:color w:val="auto"/>
          <w:sz w:val="21"/>
          <w:szCs w:val="21"/>
        </w:rPr>
      </w:pPr>
      <w:bookmarkStart w:id="321" w:name="bookmark1565"/>
      <w:bookmarkEnd w:id="321"/>
      <w:bookmarkStart w:id="322" w:name="bookmark1566"/>
      <w:bookmarkEnd w:id="322"/>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竞价采购公告</w:t>
      </w:r>
      <w:r>
        <w:rPr>
          <w:rFonts w:hint="eastAsia"/>
          <w:color w:val="auto"/>
          <w:sz w:val="24"/>
          <w:szCs w:val="24"/>
          <w:lang w:val="en-US" w:eastAsia="zh-CN" w:bidi="en-US"/>
        </w:rPr>
        <w:t>“</w:t>
      </w:r>
      <w:r>
        <w:rPr>
          <w:rFonts w:hint="eastAsia"/>
          <w:color w:val="auto"/>
          <w:sz w:val="24"/>
          <w:szCs w:val="24"/>
        </w:rPr>
        <w:t>项目公告和公示”规定的其他内容。</w:t>
      </w:r>
    </w:p>
    <w:p w14:paraId="5D468B5D">
      <w:pPr>
        <w:pStyle w:val="4"/>
        <w:spacing w:before="0" w:after="0" w:line="360" w:lineRule="auto"/>
        <w:rPr>
          <w:rFonts w:ascii="宋体" w:hAnsi="宋体" w:eastAsia="宋体" w:cs="宋体"/>
          <w:color w:val="auto"/>
          <w:sz w:val="24"/>
          <w:lang w:eastAsia="zh-CN"/>
        </w:rPr>
      </w:pPr>
      <w:bookmarkStart w:id="323" w:name="bookmark1568"/>
      <w:bookmarkStart w:id="324" w:name="_Toc16478"/>
      <w:bookmarkStart w:id="325" w:name="bookmark1569"/>
      <w:bookmarkStart w:id="326" w:name="bookmark1567"/>
      <w:bookmarkStart w:id="327" w:name="_Toc18271"/>
      <w:bookmarkStart w:id="328" w:name="_Toc5227"/>
      <w:bookmarkStart w:id="329" w:name="_Toc174302101"/>
      <w:r>
        <w:rPr>
          <w:rFonts w:hint="eastAsia" w:ascii="宋体" w:hAnsi="宋体" w:eastAsia="宋体" w:cs="宋体"/>
          <w:color w:val="auto"/>
          <w:sz w:val="24"/>
          <w:lang w:eastAsia="zh-CN"/>
        </w:rPr>
        <w:t>7.4 发出成交通知书</w:t>
      </w:r>
      <w:bookmarkEnd w:id="323"/>
      <w:bookmarkEnd w:id="324"/>
      <w:bookmarkEnd w:id="325"/>
      <w:bookmarkEnd w:id="326"/>
      <w:bookmarkEnd w:id="327"/>
      <w:bookmarkEnd w:id="328"/>
      <w:bookmarkEnd w:id="329"/>
    </w:p>
    <w:p w14:paraId="765D440D">
      <w:pPr>
        <w:pStyle w:val="39"/>
        <w:spacing w:line="360" w:lineRule="auto"/>
        <w:ind w:firstLine="480" w:firstLineChars="200"/>
        <w:rPr>
          <w:color w:val="auto"/>
          <w:sz w:val="24"/>
          <w:szCs w:val="24"/>
        </w:rPr>
      </w:pPr>
      <w:r>
        <w:rPr>
          <w:rFonts w:hint="eastAsia"/>
          <w:color w:val="auto"/>
          <w:sz w:val="24"/>
          <w:szCs w:val="24"/>
        </w:rPr>
        <w:t>公示期结束后，在本须知第</w:t>
      </w:r>
      <w:r>
        <w:rPr>
          <w:rFonts w:hint="eastAsia"/>
          <w:color w:val="auto"/>
          <w:sz w:val="24"/>
          <w:szCs w:val="24"/>
          <w:lang w:val="en-US" w:eastAsia="zh-CN" w:bidi="en-US"/>
        </w:rPr>
        <w:t>5.</w:t>
      </w:r>
      <w:r>
        <w:rPr>
          <w:rFonts w:hint="eastAsia"/>
          <w:color w:val="auto"/>
          <w:sz w:val="24"/>
          <w:szCs w:val="24"/>
        </w:rPr>
        <w:t>2款规定的竞价报价有效期内，采购人通过电子竞价平台向</w:t>
      </w:r>
      <w:r>
        <w:rPr>
          <w:rFonts w:hint="eastAsia"/>
          <w:color w:val="auto"/>
          <w:sz w:val="24"/>
          <w:szCs w:val="24"/>
          <w:lang w:eastAsia="zh-CN"/>
        </w:rPr>
        <w:t>成交</w:t>
      </w:r>
      <w:r>
        <w:rPr>
          <w:rFonts w:hint="eastAsia"/>
          <w:color w:val="auto"/>
          <w:sz w:val="24"/>
          <w:szCs w:val="24"/>
        </w:rPr>
        <w:t>供应商发出成交通知书。</w:t>
      </w:r>
    </w:p>
    <w:p w14:paraId="73089BAF">
      <w:pPr>
        <w:pStyle w:val="4"/>
        <w:spacing w:before="0" w:after="0" w:line="360" w:lineRule="auto"/>
        <w:rPr>
          <w:rFonts w:ascii="宋体" w:hAnsi="宋体" w:eastAsia="宋体" w:cs="宋体"/>
          <w:color w:val="auto"/>
          <w:sz w:val="24"/>
          <w:lang w:eastAsia="zh-CN"/>
        </w:rPr>
      </w:pPr>
      <w:bookmarkStart w:id="330" w:name="bookmark1573"/>
      <w:bookmarkStart w:id="331" w:name="_Toc23540"/>
      <w:bookmarkStart w:id="332" w:name="bookmark1574"/>
      <w:bookmarkStart w:id="333" w:name="_Toc7433"/>
      <w:bookmarkStart w:id="334" w:name="_Toc174302103"/>
      <w:bookmarkStart w:id="335" w:name="_Toc13414"/>
      <w:bookmarkStart w:id="336" w:name="bookmark1575"/>
      <w:r>
        <w:rPr>
          <w:rFonts w:hint="eastAsia" w:ascii="宋体" w:hAnsi="宋体" w:eastAsia="宋体" w:cs="宋体"/>
          <w:color w:val="auto"/>
          <w:sz w:val="24"/>
          <w:lang w:eastAsia="zh-CN"/>
        </w:rPr>
        <w:t>7.5 履约保证金</w:t>
      </w:r>
      <w:bookmarkEnd w:id="330"/>
      <w:bookmarkEnd w:id="331"/>
      <w:bookmarkEnd w:id="332"/>
      <w:bookmarkEnd w:id="333"/>
      <w:bookmarkEnd w:id="334"/>
      <w:bookmarkEnd w:id="335"/>
      <w:bookmarkEnd w:id="336"/>
    </w:p>
    <w:p w14:paraId="2C49773F">
      <w:pPr>
        <w:pStyle w:val="39"/>
        <w:spacing w:line="360" w:lineRule="auto"/>
        <w:ind w:firstLine="480" w:firstLineChars="200"/>
        <w:rPr>
          <w:color w:val="auto"/>
          <w:sz w:val="24"/>
          <w:szCs w:val="24"/>
        </w:rPr>
      </w:pPr>
      <w:r>
        <w:rPr>
          <w:rFonts w:hint="eastAsia"/>
          <w:color w:val="auto"/>
          <w:sz w:val="24"/>
          <w:szCs w:val="24"/>
        </w:rPr>
        <w:t>竞价采购公告/竞价釆购邀请书规定递交履约保证金的，成交供应商应按其规定的金额、形式、有效期限和递交时间向采购人递交履约保证金。本项目履约保证金的规定见竞价采购公告</w:t>
      </w:r>
      <w:r>
        <w:rPr>
          <w:rFonts w:hint="eastAsia"/>
          <w:color w:val="auto"/>
          <w:sz w:val="24"/>
          <w:szCs w:val="24"/>
          <w:lang w:eastAsia="zh-CN"/>
        </w:rPr>
        <w:t xml:space="preserve"> </w:t>
      </w:r>
      <w:r>
        <w:rPr>
          <w:rFonts w:hint="eastAsia"/>
          <w:color w:val="auto"/>
          <w:sz w:val="24"/>
          <w:szCs w:val="24"/>
          <w:lang w:val="en-US" w:eastAsia="zh-CN" w:bidi="en-US"/>
        </w:rPr>
        <w:t>“</w:t>
      </w:r>
      <w:r>
        <w:rPr>
          <w:rFonts w:hint="eastAsia"/>
          <w:color w:val="auto"/>
          <w:sz w:val="24"/>
          <w:szCs w:val="24"/>
        </w:rPr>
        <w:t>合同主要条款”。</w:t>
      </w:r>
    </w:p>
    <w:p w14:paraId="19706A4E">
      <w:pPr>
        <w:pStyle w:val="4"/>
        <w:spacing w:before="0" w:after="0" w:line="360" w:lineRule="auto"/>
        <w:rPr>
          <w:rFonts w:ascii="宋体" w:hAnsi="宋体" w:eastAsia="宋体" w:cs="宋体"/>
          <w:color w:val="auto"/>
          <w:sz w:val="24"/>
          <w:lang w:eastAsia="zh-CN"/>
        </w:rPr>
      </w:pPr>
      <w:bookmarkStart w:id="337" w:name="bookmark1577"/>
      <w:bookmarkStart w:id="338" w:name="_Toc18306"/>
      <w:bookmarkStart w:id="339" w:name="bookmark1576"/>
      <w:bookmarkStart w:id="340" w:name="_Toc3229"/>
      <w:bookmarkStart w:id="341" w:name="_Toc20472"/>
      <w:bookmarkStart w:id="342" w:name="bookmark1578"/>
      <w:bookmarkStart w:id="343" w:name="_Toc174302104"/>
      <w:r>
        <w:rPr>
          <w:rFonts w:hint="eastAsia" w:ascii="宋体" w:hAnsi="宋体" w:eastAsia="宋体" w:cs="宋体"/>
          <w:color w:val="auto"/>
          <w:sz w:val="24"/>
          <w:lang w:eastAsia="zh-CN"/>
        </w:rPr>
        <w:t>7.6 签订合同</w:t>
      </w:r>
      <w:bookmarkEnd w:id="337"/>
      <w:bookmarkEnd w:id="338"/>
      <w:bookmarkEnd w:id="339"/>
      <w:bookmarkEnd w:id="340"/>
      <w:bookmarkEnd w:id="341"/>
      <w:bookmarkEnd w:id="342"/>
      <w:bookmarkEnd w:id="343"/>
    </w:p>
    <w:p w14:paraId="08AAF194">
      <w:pPr>
        <w:pStyle w:val="39"/>
        <w:spacing w:line="360" w:lineRule="auto"/>
        <w:ind w:firstLine="480" w:firstLineChars="200"/>
        <w:rPr>
          <w:color w:val="auto"/>
          <w:sz w:val="24"/>
          <w:szCs w:val="24"/>
          <w:lang w:eastAsia="zh-CN"/>
        </w:rPr>
      </w:pPr>
      <w:r>
        <w:rPr>
          <w:rFonts w:hint="eastAsia"/>
          <w:color w:val="auto"/>
          <w:sz w:val="24"/>
          <w:szCs w:val="24"/>
          <w:lang w:val="en-US" w:eastAsia="zh-CN" w:bidi="en-US"/>
        </w:rPr>
        <w:t xml:space="preserve">7.6.1 </w:t>
      </w:r>
      <w:r>
        <w:rPr>
          <w:rFonts w:hint="eastAsia"/>
          <w:color w:val="auto"/>
          <w:sz w:val="24"/>
          <w:szCs w:val="24"/>
        </w:rPr>
        <w:t>采购人和成交供应商应当在成交通知书下达后，根据采购文件和成交供应商报价、资格申请资料等订立书面合同。如存在以下情况，采购人有权取消其成交资格，其竞价保证金不予退还；给采购人造成的损失超过竞价保证金数额的，成交供应商还应当对超过部分予以赔偿。</w:t>
      </w:r>
    </w:p>
    <w:p w14:paraId="210279EF">
      <w:pPr>
        <w:pStyle w:val="39"/>
        <w:spacing w:line="360" w:lineRule="auto"/>
        <w:ind w:firstLine="480" w:firstLineChars="200"/>
        <w:rPr>
          <w:color w:val="auto"/>
          <w:sz w:val="24"/>
          <w:szCs w:val="24"/>
          <w:lang w:eastAsia="zh-CN"/>
        </w:rPr>
      </w:pPr>
      <w:r>
        <w:rPr>
          <w:rFonts w:hint="eastAsia"/>
          <w:color w:val="auto"/>
          <w:sz w:val="24"/>
          <w:szCs w:val="24"/>
        </w:rPr>
        <w:t>（</w:t>
      </w:r>
      <w:r>
        <w:rPr>
          <w:rFonts w:hint="eastAsia"/>
          <w:color w:val="auto"/>
          <w:sz w:val="24"/>
          <w:szCs w:val="24"/>
          <w:lang w:eastAsia="zh-CN"/>
        </w:rPr>
        <w:t>1</w:t>
      </w:r>
      <w:r>
        <w:rPr>
          <w:rFonts w:hint="eastAsia"/>
          <w:color w:val="auto"/>
          <w:sz w:val="24"/>
          <w:szCs w:val="24"/>
        </w:rPr>
        <w:t>）成交供应商无正当理由在无法在成交通知书下达</w:t>
      </w:r>
      <w:r>
        <w:rPr>
          <w:rFonts w:hint="eastAsia"/>
          <w:color w:val="auto"/>
          <w:sz w:val="24"/>
          <w:szCs w:val="24"/>
          <w:lang w:eastAsia="zh-CN"/>
        </w:rPr>
        <w:t>3天</w:t>
      </w:r>
      <w:r>
        <w:rPr>
          <w:rFonts w:hint="eastAsia"/>
          <w:color w:val="auto"/>
          <w:sz w:val="24"/>
          <w:szCs w:val="24"/>
        </w:rPr>
        <w:t>内签合同；及无正当理由拒签合同；</w:t>
      </w:r>
    </w:p>
    <w:p w14:paraId="770C7E04">
      <w:pPr>
        <w:pStyle w:val="39"/>
        <w:spacing w:line="360" w:lineRule="auto"/>
        <w:ind w:firstLine="480" w:firstLineChars="200"/>
        <w:rPr>
          <w:color w:val="auto"/>
          <w:sz w:val="24"/>
          <w:szCs w:val="24"/>
          <w:lang w:eastAsia="zh-CN"/>
        </w:rPr>
      </w:pPr>
      <w:r>
        <w:rPr>
          <w:rFonts w:hint="eastAsia"/>
          <w:color w:val="auto"/>
          <w:sz w:val="24"/>
          <w:szCs w:val="24"/>
        </w:rPr>
        <w:t>（</w:t>
      </w:r>
      <w:r>
        <w:rPr>
          <w:rFonts w:hint="eastAsia"/>
          <w:color w:val="auto"/>
          <w:sz w:val="24"/>
          <w:szCs w:val="24"/>
          <w:lang w:eastAsia="zh-CN"/>
        </w:rPr>
        <w:t>2</w:t>
      </w:r>
      <w:r>
        <w:rPr>
          <w:rFonts w:hint="eastAsia"/>
          <w:color w:val="auto"/>
          <w:sz w:val="24"/>
          <w:szCs w:val="24"/>
        </w:rPr>
        <w:t>）成交供应商无正当理由在无法在成交通知书下达</w:t>
      </w:r>
      <w:r>
        <w:rPr>
          <w:rFonts w:hint="eastAsia"/>
          <w:color w:val="auto"/>
          <w:sz w:val="24"/>
          <w:szCs w:val="24"/>
          <w:lang w:eastAsia="zh-CN"/>
        </w:rPr>
        <w:t>3天</w:t>
      </w:r>
      <w:r>
        <w:rPr>
          <w:rFonts w:hint="eastAsia"/>
          <w:color w:val="auto"/>
          <w:sz w:val="24"/>
          <w:szCs w:val="24"/>
        </w:rPr>
        <w:t>内将封样样品送至招标人指定地点进行封样。</w:t>
      </w:r>
    </w:p>
    <w:p w14:paraId="354B687F">
      <w:pPr>
        <w:pStyle w:val="39"/>
        <w:spacing w:line="360" w:lineRule="auto"/>
        <w:ind w:firstLine="480" w:firstLineChars="200"/>
        <w:rPr>
          <w:color w:val="auto"/>
          <w:sz w:val="24"/>
          <w:szCs w:val="24"/>
          <w:lang w:eastAsia="zh-CN"/>
        </w:rPr>
      </w:pPr>
      <w:r>
        <w:rPr>
          <w:rFonts w:hint="eastAsia"/>
          <w:color w:val="auto"/>
          <w:sz w:val="24"/>
          <w:szCs w:val="24"/>
        </w:rPr>
        <w:t>（</w:t>
      </w:r>
      <w:r>
        <w:rPr>
          <w:rFonts w:hint="eastAsia"/>
          <w:color w:val="auto"/>
          <w:sz w:val="24"/>
          <w:szCs w:val="24"/>
          <w:lang w:eastAsia="zh-CN"/>
        </w:rPr>
        <w:t>3</w:t>
      </w:r>
      <w:r>
        <w:rPr>
          <w:rFonts w:hint="eastAsia"/>
          <w:color w:val="auto"/>
          <w:sz w:val="24"/>
          <w:szCs w:val="24"/>
        </w:rPr>
        <w:t>）未按照采购文件在限定时间内送样封样；</w:t>
      </w:r>
    </w:p>
    <w:p w14:paraId="28F4B285">
      <w:pPr>
        <w:pStyle w:val="39"/>
        <w:spacing w:line="360" w:lineRule="auto"/>
        <w:ind w:firstLine="480" w:firstLineChars="200"/>
        <w:rPr>
          <w:color w:val="auto"/>
          <w:sz w:val="24"/>
          <w:szCs w:val="24"/>
          <w:lang w:eastAsia="zh-CN"/>
        </w:rPr>
      </w:pPr>
      <w:r>
        <w:rPr>
          <w:rFonts w:hint="eastAsia"/>
          <w:color w:val="auto"/>
          <w:sz w:val="24"/>
          <w:szCs w:val="24"/>
        </w:rPr>
        <w:t>（</w:t>
      </w:r>
      <w:r>
        <w:rPr>
          <w:rFonts w:hint="eastAsia"/>
          <w:color w:val="auto"/>
          <w:sz w:val="24"/>
          <w:szCs w:val="24"/>
          <w:lang w:eastAsia="zh-CN"/>
        </w:rPr>
        <w:t>4</w:t>
      </w:r>
      <w:r>
        <w:rPr>
          <w:rFonts w:hint="eastAsia"/>
          <w:color w:val="auto"/>
          <w:sz w:val="24"/>
          <w:szCs w:val="24"/>
        </w:rPr>
        <w:t>）在签订合同时向采购人提岀附加条件；</w:t>
      </w:r>
    </w:p>
    <w:p w14:paraId="4E715EC0">
      <w:pPr>
        <w:pStyle w:val="39"/>
        <w:spacing w:line="360" w:lineRule="auto"/>
        <w:ind w:firstLine="480" w:firstLineChars="200"/>
        <w:rPr>
          <w:color w:val="auto"/>
          <w:sz w:val="24"/>
          <w:szCs w:val="24"/>
          <w:lang w:eastAsia="zh-CN"/>
        </w:rPr>
      </w:pPr>
      <w:r>
        <w:rPr>
          <w:rFonts w:hint="eastAsia"/>
          <w:color w:val="auto"/>
          <w:sz w:val="24"/>
          <w:szCs w:val="24"/>
        </w:rPr>
        <w:t>（</w:t>
      </w:r>
      <w:r>
        <w:rPr>
          <w:rFonts w:hint="eastAsia"/>
          <w:color w:val="auto"/>
          <w:sz w:val="24"/>
          <w:szCs w:val="24"/>
          <w:lang w:eastAsia="zh-CN"/>
        </w:rPr>
        <w:t>5）</w:t>
      </w:r>
      <w:r>
        <w:rPr>
          <w:rFonts w:hint="eastAsia"/>
          <w:color w:val="auto"/>
          <w:sz w:val="24"/>
          <w:szCs w:val="24"/>
        </w:rPr>
        <w:t>不按照采购文件要求递交履约保证金的；</w:t>
      </w:r>
    </w:p>
    <w:p w14:paraId="6E4CBBB2">
      <w:pPr>
        <w:pStyle w:val="39"/>
        <w:spacing w:line="360" w:lineRule="auto"/>
        <w:ind w:firstLine="480" w:firstLineChars="200"/>
        <w:rPr>
          <w:color w:val="auto"/>
          <w:sz w:val="24"/>
          <w:szCs w:val="24"/>
          <w:lang w:eastAsia="zh-CN"/>
        </w:rPr>
      </w:pPr>
      <w:r>
        <w:rPr>
          <w:rFonts w:hint="eastAsia"/>
          <w:color w:val="auto"/>
          <w:sz w:val="24"/>
          <w:szCs w:val="24"/>
          <w:lang w:eastAsia="zh-CN"/>
        </w:rPr>
        <w:t>（6）提供复印件存在造假行为的，不得以提交错材料作为开脱理由。</w:t>
      </w:r>
    </w:p>
    <w:p w14:paraId="10C9949A">
      <w:pPr>
        <w:pStyle w:val="39"/>
        <w:spacing w:line="360" w:lineRule="auto"/>
        <w:ind w:firstLine="480" w:firstLineChars="200"/>
        <w:rPr>
          <w:color w:val="auto"/>
          <w:sz w:val="24"/>
          <w:szCs w:val="24"/>
          <w:lang w:eastAsia="zh-CN"/>
        </w:rPr>
      </w:pPr>
      <w:r>
        <w:rPr>
          <w:rFonts w:hint="eastAsia"/>
          <w:color w:val="auto"/>
          <w:sz w:val="24"/>
          <w:szCs w:val="24"/>
          <w:lang w:val="en-US" w:eastAsia="zh-CN"/>
        </w:rPr>
        <w:t xml:space="preserve">7.6.2 </w:t>
      </w:r>
      <w:r>
        <w:rPr>
          <w:rFonts w:hint="eastAsia"/>
          <w:color w:val="auto"/>
          <w:sz w:val="24"/>
          <w:szCs w:val="24"/>
        </w:rPr>
        <w:t>发出成交通知书后，采购人无正当理由拒签合同，或者在签订合同时向成交供应商提出附加条件的，采购人向成交供应商退还竞价保证金；给成交供应商造成损失的，还应当赔偿损失。</w:t>
      </w:r>
    </w:p>
    <w:p w14:paraId="20569204">
      <w:pPr>
        <w:pStyle w:val="4"/>
        <w:spacing w:before="0" w:after="0" w:line="360" w:lineRule="auto"/>
        <w:rPr>
          <w:rFonts w:ascii="宋体" w:hAnsi="宋体" w:eastAsia="宋体" w:cs="宋体"/>
          <w:color w:val="auto"/>
          <w:sz w:val="24"/>
          <w:lang w:eastAsia="zh-CN"/>
        </w:rPr>
      </w:pPr>
      <w:bookmarkStart w:id="344" w:name="_Toc174302105"/>
      <w:bookmarkStart w:id="345" w:name="bookmark1579"/>
      <w:bookmarkStart w:id="346" w:name="bookmark1581"/>
      <w:bookmarkStart w:id="347" w:name="bookmark1580"/>
      <w:bookmarkStart w:id="348" w:name="_Toc2264"/>
      <w:bookmarkStart w:id="349" w:name="_Toc18625"/>
      <w:bookmarkStart w:id="350" w:name="_Toc23236"/>
      <w:r>
        <w:rPr>
          <w:rFonts w:hint="eastAsia" w:ascii="宋体" w:hAnsi="宋体" w:eastAsia="宋体" w:cs="宋体"/>
          <w:color w:val="auto"/>
          <w:sz w:val="24"/>
          <w:lang w:eastAsia="zh-CN"/>
        </w:rPr>
        <w:t>7.7 特殊情形处理</w:t>
      </w:r>
      <w:bookmarkEnd w:id="344"/>
      <w:bookmarkEnd w:id="345"/>
      <w:bookmarkEnd w:id="346"/>
      <w:bookmarkEnd w:id="347"/>
      <w:bookmarkEnd w:id="348"/>
      <w:bookmarkEnd w:id="349"/>
      <w:bookmarkEnd w:id="350"/>
    </w:p>
    <w:p w14:paraId="342C7487">
      <w:pPr>
        <w:pStyle w:val="39"/>
        <w:spacing w:line="360" w:lineRule="auto"/>
        <w:ind w:firstLine="480" w:firstLineChars="200"/>
        <w:rPr>
          <w:color w:val="auto"/>
          <w:sz w:val="24"/>
          <w:szCs w:val="24"/>
        </w:rPr>
      </w:pPr>
      <w:r>
        <w:rPr>
          <w:rFonts w:hint="eastAsia"/>
          <w:color w:val="auto"/>
          <w:sz w:val="24"/>
          <w:szCs w:val="24"/>
          <w:lang w:val="en-US" w:eastAsia="zh-CN"/>
        </w:rPr>
        <w:t>因供应商提出异议成立且影响成交结果</w:t>
      </w:r>
      <w:r>
        <w:rPr>
          <w:rFonts w:hint="eastAsia"/>
          <w:color w:val="auto"/>
          <w:sz w:val="24"/>
          <w:szCs w:val="24"/>
        </w:rPr>
        <w:t>、成交供应商无正当理由拒绝签订合同、在签订合同时向采购人提出附加条件或者不按照采购文件要求递交履约保证金等导致采购人变更</w:t>
      </w:r>
      <w:r>
        <w:rPr>
          <w:rFonts w:hint="eastAsia"/>
          <w:color w:val="auto"/>
          <w:sz w:val="24"/>
          <w:szCs w:val="24"/>
          <w:lang w:eastAsia="zh-CN"/>
        </w:rPr>
        <w:t>成交</w:t>
      </w:r>
      <w:r>
        <w:rPr>
          <w:rFonts w:hint="eastAsia"/>
          <w:color w:val="auto"/>
          <w:sz w:val="24"/>
          <w:szCs w:val="24"/>
        </w:rPr>
        <w:t>结果的，采购人应按照本条规定的程序重新选择确定</w:t>
      </w:r>
      <w:r>
        <w:rPr>
          <w:rFonts w:hint="eastAsia"/>
          <w:color w:val="auto"/>
          <w:sz w:val="24"/>
          <w:szCs w:val="24"/>
          <w:lang w:eastAsia="zh-CN"/>
        </w:rPr>
        <w:t>成交</w:t>
      </w:r>
      <w:r>
        <w:rPr>
          <w:rFonts w:hint="eastAsia"/>
          <w:color w:val="auto"/>
          <w:sz w:val="24"/>
          <w:szCs w:val="24"/>
        </w:rPr>
        <w:t>供应商，进行公示、公告。</w:t>
      </w:r>
    </w:p>
    <w:p w14:paraId="287F270D">
      <w:pPr>
        <w:pStyle w:val="2"/>
        <w:spacing w:line="360" w:lineRule="auto"/>
        <w:rPr>
          <w:rFonts w:ascii="宋体" w:hAnsi="宋体" w:eastAsia="宋体" w:cs="宋体"/>
          <w:color w:val="auto"/>
          <w:sz w:val="28"/>
          <w:szCs w:val="28"/>
          <w:lang w:eastAsia="zh-CN"/>
        </w:rPr>
      </w:pPr>
      <w:bookmarkStart w:id="351" w:name="bookmark442"/>
      <w:bookmarkStart w:id="352" w:name="_Toc3829"/>
      <w:bookmarkStart w:id="353" w:name="_Toc174302106"/>
      <w:bookmarkStart w:id="354" w:name="_Toc15367"/>
      <w:bookmarkStart w:id="355" w:name="_Toc24989"/>
      <w:bookmarkStart w:id="356" w:name="bookmark444"/>
      <w:bookmarkStart w:id="357" w:name="_Toc17996"/>
      <w:bookmarkStart w:id="358" w:name="bookmark443"/>
      <w:bookmarkStart w:id="359" w:name="_Toc11803"/>
      <w:r>
        <w:rPr>
          <w:rFonts w:hint="eastAsia" w:ascii="宋体" w:hAnsi="宋体" w:eastAsia="宋体" w:cs="宋体"/>
          <w:color w:val="auto"/>
          <w:sz w:val="28"/>
          <w:szCs w:val="28"/>
          <w:lang w:eastAsia="zh-CN"/>
        </w:rPr>
        <w:t>8 异议</w:t>
      </w:r>
      <w:bookmarkEnd w:id="351"/>
      <w:bookmarkEnd w:id="352"/>
      <w:bookmarkEnd w:id="353"/>
      <w:bookmarkEnd w:id="354"/>
      <w:bookmarkEnd w:id="355"/>
      <w:bookmarkEnd w:id="356"/>
      <w:bookmarkEnd w:id="357"/>
      <w:bookmarkEnd w:id="358"/>
      <w:bookmarkEnd w:id="359"/>
    </w:p>
    <w:p w14:paraId="3109E68E">
      <w:pPr>
        <w:pStyle w:val="4"/>
        <w:spacing w:before="0" w:after="0" w:line="360" w:lineRule="auto"/>
        <w:rPr>
          <w:rFonts w:ascii="宋体" w:hAnsi="宋体" w:eastAsia="宋体" w:cs="宋体"/>
          <w:color w:val="auto"/>
          <w:sz w:val="24"/>
          <w:lang w:eastAsia="zh-CN"/>
        </w:rPr>
      </w:pPr>
      <w:bookmarkStart w:id="360" w:name="_Toc174302107"/>
      <w:bookmarkStart w:id="361" w:name="bookmark446"/>
      <w:bookmarkStart w:id="362" w:name="bookmark447"/>
      <w:bookmarkStart w:id="363" w:name="_Toc7252"/>
      <w:bookmarkStart w:id="364" w:name="bookmark445"/>
      <w:bookmarkStart w:id="365" w:name="_Toc20629"/>
      <w:bookmarkStart w:id="366" w:name="_Toc26444"/>
      <w:bookmarkStart w:id="367" w:name="_Toc9812"/>
      <w:bookmarkStart w:id="368" w:name="_Toc8229"/>
      <w:r>
        <w:rPr>
          <w:rFonts w:hint="eastAsia" w:ascii="宋体" w:hAnsi="宋体" w:eastAsia="宋体" w:cs="宋体"/>
          <w:color w:val="auto"/>
          <w:sz w:val="24"/>
          <w:lang w:eastAsia="zh-CN"/>
        </w:rPr>
        <w:t>8.1 提出异议</w:t>
      </w:r>
      <w:bookmarkEnd w:id="360"/>
      <w:bookmarkEnd w:id="361"/>
      <w:bookmarkEnd w:id="362"/>
      <w:bookmarkEnd w:id="363"/>
      <w:bookmarkEnd w:id="364"/>
      <w:bookmarkEnd w:id="365"/>
      <w:bookmarkEnd w:id="366"/>
      <w:bookmarkEnd w:id="367"/>
      <w:bookmarkEnd w:id="368"/>
    </w:p>
    <w:p w14:paraId="63DE9E57">
      <w:pPr>
        <w:pStyle w:val="39"/>
        <w:spacing w:line="360" w:lineRule="auto"/>
        <w:ind w:firstLine="480" w:firstLineChars="200"/>
        <w:rPr>
          <w:color w:val="auto"/>
          <w:sz w:val="24"/>
          <w:szCs w:val="24"/>
        </w:rPr>
      </w:pPr>
      <w:r>
        <w:rPr>
          <w:rFonts w:hint="eastAsia"/>
          <w:color w:val="auto"/>
          <w:sz w:val="24"/>
          <w:szCs w:val="24"/>
          <w:lang w:val="en-US" w:eastAsia="zh-CN"/>
        </w:rPr>
        <w:t xml:space="preserve">8.1.1 </w:t>
      </w:r>
      <w:r>
        <w:rPr>
          <w:rFonts w:hint="eastAsia"/>
          <w:color w:val="auto"/>
          <w:sz w:val="24"/>
          <w:szCs w:val="24"/>
        </w:rPr>
        <w:t>供应商或者其他利害关系人可以对</w:t>
      </w:r>
      <w:r>
        <w:rPr>
          <w:rFonts w:hint="eastAsia"/>
          <w:color w:val="auto"/>
          <w:sz w:val="24"/>
          <w:szCs w:val="24"/>
          <w:lang w:eastAsia="zh-CN"/>
        </w:rPr>
        <w:t>成交</w:t>
      </w:r>
      <w:r>
        <w:rPr>
          <w:rFonts w:hint="eastAsia"/>
          <w:color w:val="auto"/>
          <w:sz w:val="24"/>
          <w:szCs w:val="24"/>
        </w:rPr>
        <w:t>结果提出异议。异议应在</w:t>
      </w:r>
      <w:r>
        <w:rPr>
          <w:rFonts w:hint="eastAsia"/>
          <w:color w:val="auto"/>
          <w:sz w:val="24"/>
          <w:szCs w:val="24"/>
          <w:lang w:eastAsia="zh-CN"/>
        </w:rPr>
        <w:t>成交</w:t>
      </w:r>
      <w:r>
        <w:rPr>
          <w:rFonts w:hint="eastAsia"/>
          <w:color w:val="auto"/>
          <w:sz w:val="24"/>
          <w:szCs w:val="24"/>
        </w:rPr>
        <w:t>结果公示期间通过</w:t>
      </w:r>
      <w:r>
        <w:rPr>
          <w:rFonts w:hint="eastAsia"/>
          <w:color w:val="auto"/>
          <w:sz w:val="24"/>
          <w:szCs w:val="24"/>
          <w:lang w:eastAsia="zh-CN"/>
        </w:rPr>
        <w:t>电子竞价平台</w:t>
      </w:r>
      <w:r>
        <w:rPr>
          <w:rFonts w:hint="eastAsia"/>
          <w:color w:val="auto"/>
          <w:sz w:val="24"/>
          <w:szCs w:val="24"/>
        </w:rPr>
        <w:t>提出，并递交异议函和必要的证明材料。异议函包括但不限于下列内容：</w:t>
      </w:r>
    </w:p>
    <w:p w14:paraId="6E6D57C1">
      <w:pPr>
        <w:pStyle w:val="39"/>
        <w:tabs>
          <w:tab w:val="left" w:pos="1006"/>
        </w:tabs>
        <w:spacing w:line="360" w:lineRule="auto"/>
        <w:ind w:left="480" w:leftChars="200" w:firstLine="0"/>
        <w:rPr>
          <w:color w:val="auto"/>
          <w:sz w:val="24"/>
          <w:szCs w:val="24"/>
        </w:rPr>
      </w:pPr>
      <w:bookmarkStart w:id="369" w:name="bookmark448"/>
      <w:bookmarkEnd w:id="369"/>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异议人名称、地址、邮政编码、联系人及联系电话；</w:t>
      </w:r>
    </w:p>
    <w:p w14:paraId="73CC7362">
      <w:pPr>
        <w:pStyle w:val="39"/>
        <w:tabs>
          <w:tab w:val="left" w:pos="1006"/>
        </w:tabs>
        <w:spacing w:line="360" w:lineRule="auto"/>
        <w:ind w:left="480" w:leftChars="200" w:firstLine="0"/>
        <w:rPr>
          <w:color w:val="auto"/>
          <w:sz w:val="24"/>
          <w:szCs w:val="24"/>
        </w:rPr>
      </w:pPr>
      <w:bookmarkStart w:id="370" w:name="bookmark449"/>
      <w:bookmarkEnd w:id="370"/>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具体、明确的异议事项、事实依据及与异议事项相关的请求。</w:t>
      </w:r>
    </w:p>
    <w:p w14:paraId="05736294">
      <w:pPr>
        <w:pStyle w:val="39"/>
        <w:spacing w:line="360" w:lineRule="auto"/>
        <w:ind w:firstLine="480" w:firstLineChars="200"/>
        <w:rPr>
          <w:color w:val="auto"/>
          <w:sz w:val="24"/>
          <w:szCs w:val="24"/>
        </w:rPr>
      </w:pPr>
      <w:r>
        <w:rPr>
          <w:rFonts w:hint="eastAsia"/>
          <w:color w:val="auto"/>
          <w:sz w:val="24"/>
          <w:szCs w:val="24"/>
          <w:lang w:val="en-US" w:eastAsia="zh-CN"/>
        </w:rPr>
        <w:t xml:space="preserve">8.1.2 </w:t>
      </w:r>
      <w:r>
        <w:rPr>
          <w:rFonts w:hint="eastAsia"/>
          <w:color w:val="auto"/>
          <w:sz w:val="24"/>
          <w:szCs w:val="24"/>
        </w:rPr>
        <w:t>异议函应由供应商的</w:t>
      </w:r>
      <w:r>
        <w:rPr>
          <w:rFonts w:hint="eastAsia"/>
          <w:color w:val="auto"/>
          <w:sz w:val="24"/>
          <w:szCs w:val="24"/>
          <w:lang w:val="en-US" w:eastAsia="zh-CN" w:bidi="en-US"/>
        </w:rPr>
        <w:t>法定代表人（单位负责人）或者其授权的代理人签字或者加盖单位公章</w:t>
      </w:r>
      <w:r>
        <w:rPr>
          <w:rFonts w:hint="eastAsia"/>
          <w:color w:val="auto"/>
          <w:sz w:val="24"/>
          <w:szCs w:val="24"/>
        </w:rPr>
        <w:t>。</w:t>
      </w:r>
    </w:p>
    <w:p w14:paraId="36997180">
      <w:pPr>
        <w:pStyle w:val="4"/>
        <w:spacing w:before="0" w:after="0" w:line="360" w:lineRule="auto"/>
        <w:rPr>
          <w:rFonts w:ascii="宋体" w:hAnsi="宋体" w:eastAsia="宋体" w:cs="宋体"/>
          <w:color w:val="auto"/>
          <w:sz w:val="24"/>
          <w:lang w:eastAsia="zh-CN"/>
        </w:rPr>
      </w:pPr>
      <w:bookmarkStart w:id="371" w:name="bookmark451"/>
      <w:bookmarkStart w:id="372" w:name="_Toc21896"/>
      <w:bookmarkStart w:id="373" w:name="_Toc18594"/>
      <w:bookmarkStart w:id="374" w:name="bookmark450"/>
      <w:bookmarkStart w:id="375" w:name="_Toc3462"/>
      <w:bookmarkStart w:id="376" w:name="_Toc28541"/>
      <w:bookmarkStart w:id="377" w:name="_Toc174302108"/>
      <w:bookmarkStart w:id="378" w:name="_Toc7228"/>
      <w:bookmarkStart w:id="379" w:name="bookmark452"/>
      <w:r>
        <w:rPr>
          <w:rFonts w:hint="eastAsia" w:ascii="宋体" w:hAnsi="宋体" w:eastAsia="宋体" w:cs="宋体"/>
          <w:color w:val="auto"/>
          <w:sz w:val="24"/>
          <w:lang w:eastAsia="zh-CN"/>
        </w:rPr>
        <w:t>8.2 异议处理</w:t>
      </w:r>
      <w:bookmarkEnd w:id="371"/>
      <w:bookmarkEnd w:id="372"/>
      <w:bookmarkEnd w:id="373"/>
      <w:bookmarkEnd w:id="374"/>
      <w:bookmarkEnd w:id="375"/>
      <w:bookmarkEnd w:id="376"/>
      <w:bookmarkEnd w:id="377"/>
      <w:bookmarkEnd w:id="378"/>
      <w:bookmarkEnd w:id="379"/>
    </w:p>
    <w:p w14:paraId="37A41C02">
      <w:pPr>
        <w:pStyle w:val="39"/>
        <w:spacing w:line="360" w:lineRule="auto"/>
        <w:ind w:firstLine="480" w:firstLineChars="200"/>
        <w:rPr>
          <w:color w:val="auto"/>
          <w:sz w:val="24"/>
          <w:szCs w:val="24"/>
        </w:rPr>
      </w:pPr>
      <w:r>
        <w:rPr>
          <w:rFonts w:hint="eastAsia"/>
          <w:color w:val="auto"/>
          <w:sz w:val="24"/>
          <w:szCs w:val="24"/>
          <w:lang w:val="en-US" w:eastAsia="zh-CN"/>
        </w:rPr>
        <w:t xml:space="preserve">8.2.1 </w:t>
      </w:r>
      <w:r>
        <w:rPr>
          <w:rFonts w:hint="eastAsia"/>
          <w:color w:val="auto"/>
          <w:sz w:val="24"/>
          <w:szCs w:val="24"/>
        </w:rPr>
        <w:t>采购人将针对异议事项进行核查，经过核查，发现异议人对相关问题理解有误的，应作出解释；发现采购活动中确实存在错误或不当行为的，应及时予以改正或补救。</w:t>
      </w:r>
    </w:p>
    <w:p w14:paraId="2DD350C5">
      <w:pPr>
        <w:pStyle w:val="39"/>
        <w:spacing w:line="360" w:lineRule="auto"/>
        <w:ind w:firstLine="480" w:firstLineChars="200"/>
        <w:rPr>
          <w:color w:val="auto"/>
          <w:sz w:val="24"/>
          <w:szCs w:val="24"/>
        </w:rPr>
      </w:pPr>
      <w:r>
        <w:rPr>
          <w:rFonts w:hint="eastAsia"/>
          <w:color w:val="auto"/>
          <w:sz w:val="24"/>
          <w:szCs w:val="24"/>
          <w:lang w:val="en-US" w:eastAsia="zh-CN"/>
        </w:rPr>
        <w:t xml:space="preserve">8.2.2 </w:t>
      </w:r>
      <w:r>
        <w:rPr>
          <w:rFonts w:hint="eastAsia"/>
          <w:color w:val="auto"/>
          <w:sz w:val="24"/>
          <w:szCs w:val="24"/>
        </w:rPr>
        <w:t>异议人与采购人对异议事项无法达成一致的，异议人可向</w:t>
      </w:r>
      <w:r>
        <w:rPr>
          <w:rFonts w:hint="eastAsia"/>
          <w:color w:val="auto"/>
          <w:sz w:val="24"/>
          <w:szCs w:val="24"/>
          <w:lang w:val="en-US" w:eastAsia="zh-CN"/>
        </w:rPr>
        <w:t>有关</w:t>
      </w:r>
      <w:r>
        <w:rPr>
          <w:rFonts w:hint="eastAsia"/>
          <w:color w:val="auto"/>
          <w:sz w:val="24"/>
          <w:szCs w:val="24"/>
        </w:rPr>
        <w:t>行业组织或专业咨询机构申请调解或进行反映。</w:t>
      </w:r>
    </w:p>
    <w:p w14:paraId="1ECE5974">
      <w:pPr>
        <w:pStyle w:val="39"/>
        <w:spacing w:line="360" w:lineRule="auto"/>
        <w:ind w:firstLine="480" w:firstLineChars="200"/>
        <w:rPr>
          <w:color w:val="auto"/>
          <w:sz w:val="24"/>
          <w:szCs w:val="24"/>
        </w:rPr>
      </w:pPr>
      <w:r>
        <w:rPr>
          <w:rFonts w:hint="eastAsia"/>
          <w:color w:val="auto"/>
          <w:sz w:val="24"/>
          <w:szCs w:val="24"/>
          <w:lang w:val="en-US" w:eastAsia="zh-CN"/>
        </w:rPr>
        <w:t xml:space="preserve">8.2.3 </w:t>
      </w:r>
      <w:r>
        <w:rPr>
          <w:rFonts w:hint="eastAsia"/>
          <w:color w:val="auto"/>
          <w:sz w:val="24"/>
          <w:szCs w:val="24"/>
        </w:rPr>
        <w:t>采购人认为异议不成立</w:t>
      </w:r>
      <w:r>
        <w:rPr>
          <w:rFonts w:hint="eastAsia"/>
          <w:color w:val="auto"/>
          <w:sz w:val="24"/>
          <w:szCs w:val="24"/>
          <w:lang w:val="en-US" w:eastAsia="zh-CN"/>
        </w:rPr>
        <w:t>或者成立但</w:t>
      </w:r>
      <w:r>
        <w:rPr>
          <w:rFonts w:hint="eastAsia"/>
          <w:color w:val="auto"/>
          <w:sz w:val="24"/>
          <w:szCs w:val="24"/>
        </w:rPr>
        <w:t>不影响采购结果的，可以继续进行采购活动。</w:t>
      </w:r>
    </w:p>
    <w:p w14:paraId="6D4A8058">
      <w:pPr>
        <w:pStyle w:val="2"/>
        <w:spacing w:line="360" w:lineRule="auto"/>
        <w:rPr>
          <w:rFonts w:ascii="宋体" w:hAnsi="宋体" w:eastAsia="宋体" w:cs="宋体"/>
          <w:color w:val="auto"/>
          <w:sz w:val="28"/>
          <w:szCs w:val="28"/>
          <w:lang w:eastAsia="zh-CN"/>
        </w:rPr>
      </w:pPr>
      <w:bookmarkStart w:id="380" w:name="_Toc8309"/>
      <w:bookmarkStart w:id="381" w:name="_Toc29318"/>
      <w:bookmarkStart w:id="382" w:name="_Toc6164"/>
      <w:bookmarkStart w:id="383" w:name="_Toc30219"/>
      <w:bookmarkStart w:id="384" w:name="_Toc174302114"/>
      <w:bookmarkStart w:id="385" w:name="bookmark468"/>
      <w:bookmarkStart w:id="386" w:name="_Toc25552"/>
      <w:bookmarkStart w:id="387" w:name="bookmark469"/>
      <w:bookmarkStart w:id="388" w:name="bookmark470"/>
      <w:bookmarkStart w:id="389" w:name="_Toc17724"/>
      <w:r>
        <w:rPr>
          <w:rFonts w:hint="eastAsia" w:ascii="宋体" w:hAnsi="宋体" w:eastAsia="宋体" w:cs="宋体"/>
          <w:color w:val="auto"/>
          <w:sz w:val="28"/>
          <w:szCs w:val="28"/>
          <w:lang w:eastAsia="zh-CN"/>
        </w:rPr>
        <w:t>9 纪律和监督</w:t>
      </w:r>
      <w:bookmarkEnd w:id="380"/>
      <w:bookmarkEnd w:id="381"/>
    </w:p>
    <w:p w14:paraId="5E2A9B90">
      <w:pPr>
        <w:pStyle w:val="4"/>
        <w:spacing w:before="0" w:after="0" w:line="360" w:lineRule="auto"/>
        <w:rPr>
          <w:rFonts w:ascii="宋体" w:hAnsi="宋体" w:eastAsia="宋体" w:cs="宋体"/>
          <w:color w:val="auto"/>
          <w:sz w:val="24"/>
          <w:lang w:eastAsia="zh-CN"/>
        </w:rPr>
      </w:pPr>
      <w:bookmarkStart w:id="390" w:name="_Toc491883143"/>
      <w:bookmarkStart w:id="391" w:name="_Toc3370"/>
      <w:bookmarkStart w:id="392" w:name="_Toc14423"/>
      <w:bookmarkStart w:id="393" w:name="_Toc31692"/>
      <w:bookmarkStart w:id="394" w:name="_Toc26721"/>
      <w:bookmarkStart w:id="395" w:name="_Toc31196"/>
      <w:bookmarkStart w:id="396" w:name="_Toc2442"/>
      <w:bookmarkStart w:id="397" w:name="_Toc28810"/>
      <w:bookmarkStart w:id="398" w:name="_Toc14175"/>
      <w:bookmarkStart w:id="399" w:name="_Toc17261"/>
      <w:bookmarkStart w:id="400" w:name="_Toc8335"/>
      <w:r>
        <w:rPr>
          <w:rFonts w:hint="eastAsia" w:ascii="宋体" w:hAnsi="宋体" w:eastAsia="宋体" w:cs="宋体"/>
          <w:color w:val="auto"/>
          <w:sz w:val="24"/>
          <w:lang w:eastAsia="zh-CN"/>
        </w:rPr>
        <w:t>9.1 对采购人的纪律要求</w:t>
      </w:r>
      <w:bookmarkEnd w:id="390"/>
      <w:bookmarkEnd w:id="391"/>
      <w:bookmarkEnd w:id="392"/>
      <w:bookmarkEnd w:id="393"/>
      <w:bookmarkEnd w:id="394"/>
      <w:bookmarkEnd w:id="395"/>
      <w:bookmarkEnd w:id="396"/>
      <w:bookmarkEnd w:id="397"/>
      <w:bookmarkEnd w:id="398"/>
      <w:bookmarkEnd w:id="399"/>
      <w:bookmarkEnd w:id="400"/>
    </w:p>
    <w:p w14:paraId="239EDD39">
      <w:pPr>
        <w:spacing w:line="360" w:lineRule="auto"/>
        <w:ind w:firstLine="480" w:firstLineChars="200"/>
        <w:jc w:val="both"/>
        <w:rPr>
          <w:rFonts w:ascii="宋体" w:hAnsi="宋体" w:eastAsia="宋体" w:cs="宋体"/>
          <w:color w:val="auto"/>
          <w:sz w:val="21"/>
          <w:szCs w:val="21"/>
          <w:lang w:eastAsia="zh-CN"/>
        </w:rPr>
      </w:pPr>
      <w:r>
        <w:rPr>
          <w:rFonts w:hint="eastAsia" w:ascii="宋体" w:hAnsi="宋体" w:eastAsia="宋体" w:cs="宋体"/>
          <w:color w:val="auto"/>
          <w:lang w:eastAsia="zh-CN"/>
        </w:rPr>
        <w:t>采购人不得泄露采购活动中应当保密的情况和资料，不得与供应商串通损害国家利益、社会公共利益或者他人合法权益。</w:t>
      </w:r>
    </w:p>
    <w:p w14:paraId="20999B7E">
      <w:pPr>
        <w:pStyle w:val="4"/>
        <w:spacing w:before="0" w:after="0" w:line="360" w:lineRule="auto"/>
        <w:rPr>
          <w:rFonts w:ascii="宋体" w:hAnsi="宋体" w:eastAsia="宋体" w:cs="宋体"/>
          <w:color w:val="auto"/>
          <w:sz w:val="24"/>
          <w:lang w:eastAsia="zh-CN"/>
        </w:rPr>
      </w:pPr>
      <w:bookmarkStart w:id="401" w:name="_Toc12511"/>
      <w:bookmarkStart w:id="402" w:name="_Toc6584"/>
      <w:bookmarkStart w:id="403" w:name="_Toc10996"/>
      <w:bookmarkStart w:id="404" w:name="_Toc11721"/>
      <w:bookmarkStart w:id="405" w:name="_Toc16725"/>
      <w:bookmarkStart w:id="406" w:name="_Toc26173"/>
      <w:bookmarkStart w:id="407" w:name="_Toc2027"/>
      <w:bookmarkStart w:id="408" w:name="_Toc7788"/>
      <w:bookmarkStart w:id="409" w:name="_Toc16361"/>
      <w:bookmarkStart w:id="410" w:name="_Toc13259"/>
      <w:bookmarkStart w:id="411" w:name="_Toc491883144"/>
      <w:r>
        <w:rPr>
          <w:rFonts w:hint="eastAsia" w:ascii="宋体" w:hAnsi="宋体" w:eastAsia="宋体" w:cs="宋体"/>
          <w:color w:val="auto"/>
          <w:sz w:val="24"/>
          <w:lang w:eastAsia="zh-CN"/>
        </w:rPr>
        <w:t>9.2 对供应商的纪律要求</w:t>
      </w:r>
      <w:bookmarkEnd w:id="401"/>
      <w:bookmarkEnd w:id="402"/>
      <w:bookmarkEnd w:id="403"/>
      <w:bookmarkEnd w:id="404"/>
      <w:bookmarkEnd w:id="405"/>
      <w:bookmarkEnd w:id="406"/>
      <w:bookmarkEnd w:id="407"/>
      <w:bookmarkEnd w:id="408"/>
      <w:bookmarkEnd w:id="409"/>
      <w:bookmarkEnd w:id="410"/>
      <w:bookmarkEnd w:id="411"/>
    </w:p>
    <w:p w14:paraId="3FEEE4B3">
      <w:pPr>
        <w:wordWrap w:val="0"/>
        <w:spacing w:line="360" w:lineRule="auto"/>
        <w:ind w:firstLine="480" w:firstLineChars="200"/>
        <w:jc w:val="both"/>
        <w:rPr>
          <w:rFonts w:ascii="宋体" w:hAnsi="宋体" w:eastAsia="宋体" w:cs="宋体"/>
          <w:color w:val="auto"/>
          <w:kern w:val="2"/>
          <w:lang w:eastAsia="zh-CN" w:bidi="ar-SA"/>
        </w:rPr>
      </w:pPr>
      <w:r>
        <w:rPr>
          <w:rFonts w:hint="eastAsia" w:ascii="宋体" w:hAnsi="宋体" w:eastAsia="宋体" w:cs="宋体"/>
          <w:color w:val="auto"/>
          <w:lang w:eastAsia="zh-CN"/>
        </w:rPr>
        <w:t>供应商不得与采购人恶意串通，不得向采购人或者评审小组成员行贿谋取成交，不得以他人名义或者以其他方式弄虚作假骗取成交；供应商不得以任何方式干扰、影响评审工作。</w:t>
      </w:r>
    </w:p>
    <w:p w14:paraId="4AC87C25">
      <w:pPr>
        <w:pStyle w:val="4"/>
        <w:spacing w:before="0" w:after="0" w:line="360" w:lineRule="auto"/>
        <w:rPr>
          <w:rFonts w:ascii="宋体" w:hAnsi="宋体" w:eastAsia="宋体" w:cs="宋体"/>
          <w:color w:val="auto"/>
          <w:sz w:val="24"/>
          <w:lang w:eastAsia="zh-CN"/>
        </w:rPr>
      </w:pPr>
      <w:bookmarkStart w:id="412" w:name="_Toc21612"/>
      <w:bookmarkStart w:id="413" w:name="_Toc21584"/>
      <w:bookmarkStart w:id="414" w:name="_Toc24697"/>
      <w:bookmarkStart w:id="415" w:name="_Toc13717"/>
      <w:bookmarkStart w:id="416" w:name="_Toc9111"/>
      <w:bookmarkStart w:id="417" w:name="_Toc16672"/>
      <w:bookmarkStart w:id="418" w:name="_Toc30026"/>
      <w:bookmarkStart w:id="419" w:name="_Toc21472"/>
      <w:bookmarkStart w:id="420" w:name="_Toc32732"/>
      <w:bookmarkStart w:id="421" w:name="_Toc1636"/>
      <w:bookmarkStart w:id="422" w:name="_Toc491883145"/>
      <w:r>
        <w:rPr>
          <w:rFonts w:hint="eastAsia" w:ascii="宋体" w:hAnsi="宋体" w:eastAsia="宋体" w:cs="宋体"/>
          <w:color w:val="auto"/>
          <w:sz w:val="24"/>
          <w:lang w:eastAsia="zh-CN"/>
        </w:rPr>
        <w:t>9.3 对评审小组成员的纪律要求</w:t>
      </w:r>
      <w:bookmarkEnd w:id="412"/>
      <w:bookmarkEnd w:id="413"/>
      <w:bookmarkEnd w:id="414"/>
      <w:bookmarkEnd w:id="415"/>
      <w:bookmarkEnd w:id="416"/>
      <w:bookmarkEnd w:id="417"/>
      <w:bookmarkEnd w:id="418"/>
      <w:bookmarkEnd w:id="419"/>
      <w:bookmarkEnd w:id="420"/>
      <w:bookmarkEnd w:id="421"/>
      <w:bookmarkEnd w:id="422"/>
    </w:p>
    <w:p w14:paraId="084F7E79">
      <w:pPr>
        <w:spacing w:line="360" w:lineRule="auto"/>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评审小组成员不得收受他人的财物或者其他好处，不得向他人透露对响应文件的评审情况。评审活动中，评审小组成员应当客观、公正地履行职责，遵守职业道德，不得擅离职守，影响评审程序正常进行，不得使用采购文件中没有规定的评审因素和标准进行评审。</w:t>
      </w:r>
    </w:p>
    <w:p w14:paraId="6CB39210">
      <w:pPr>
        <w:pStyle w:val="4"/>
        <w:spacing w:before="0" w:after="0" w:line="360" w:lineRule="auto"/>
        <w:rPr>
          <w:rFonts w:ascii="宋体" w:hAnsi="宋体" w:eastAsia="宋体" w:cs="宋体"/>
          <w:color w:val="auto"/>
          <w:sz w:val="24"/>
          <w:lang w:eastAsia="zh-CN"/>
        </w:rPr>
      </w:pPr>
      <w:bookmarkStart w:id="423" w:name="_Toc6504"/>
      <w:bookmarkStart w:id="424" w:name="_Toc14003"/>
      <w:bookmarkStart w:id="425" w:name="_Toc13592"/>
      <w:bookmarkStart w:id="426" w:name="_Toc8182"/>
      <w:bookmarkStart w:id="427" w:name="_Toc18402"/>
      <w:bookmarkStart w:id="428" w:name="_Toc491883146"/>
      <w:bookmarkStart w:id="429" w:name="_Toc30234"/>
      <w:bookmarkStart w:id="430" w:name="_Toc19264"/>
      <w:bookmarkStart w:id="431" w:name="_Toc9422"/>
      <w:bookmarkStart w:id="432" w:name="_Toc1256"/>
      <w:bookmarkStart w:id="433" w:name="_Toc29969"/>
      <w:r>
        <w:rPr>
          <w:rFonts w:hint="eastAsia" w:ascii="宋体" w:hAnsi="宋体" w:eastAsia="宋体" w:cs="宋体"/>
          <w:color w:val="auto"/>
          <w:sz w:val="24"/>
          <w:lang w:eastAsia="zh-CN"/>
        </w:rPr>
        <w:t>9.4 对评审有关工作人员的纪律要求</w:t>
      </w:r>
      <w:bookmarkEnd w:id="423"/>
      <w:bookmarkEnd w:id="424"/>
      <w:bookmarkEnd w:id="425"/>
      <w:bookmarkEnd w:id="426"/>
      <w:bookmarkEnd w:id="427"/>
      <w:bookmarkEnd w:id="428"/>
      <w:bookmarkEnd w:id="429"/>
      <w:bookmarkEnd w:id="430"/>
      <w:bookmarkEnd w:id="431"/>
      <w:bookmarkEnd w:id="432"/>
      <w:bookmarkEnd w:id="433"/>
    </w:p>
    <w:p w14:paraId="3FF7732A">
      <w:pPr>
        <w:spacing w:line="360" w:lineRule="auto"/>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与评审活动有关的工作人员不得收受他人的财物或者其他好处，不得向他人透露对响应文件</w:t>
      </w:r>
      <w:bookmarkStart w:id="434" w:name="_Toc19429"/>
      <w:bookmarkStart w:id="435" w:name="_Toc300834992"/>
      <w:bookmarkStart w:id="436" w:name="_Toc384308254"/>
      <w:bookmarkStart w:id="437" w:name="_Toc144974537"/>
      <w:bookmarkStart w:id="438" w:name="_Toc152042345"/>
      <w:bookmarkStart w:id="439" w:name="_Toc247527594"/>
      <w:bookmarkStart w:id="440" w:name="_Toc247513993"/>
      <w:bookmarkStart w:id="441" w:name="_Toc361508629"/>
      <w:bookmarkStart w:id="442" w:name="_Toc352691516"/>
      <w:bookmarkStart w:id="443" w:name="_Toc369531560"/>
      <w:bookmarkStart w:id="444" w:name="_Toc152045569"/>
      <w:r>
        <w:rPr>
          <w:rFonts w:hint="eastAsia" w:ascii="宋体" w:hAnsi="宋体" w:eastAsia="宋体" w:cs="宋体"/>
          <w:color w:val="auto"/>
          <w:lang w:eastAsia="zh-CN"/>
        </w:rPr>
        <w:t>的评审</w:t>
      </w:r>
      <w:bookmarkEnd w:id="434"/>
      <w:bookmarkEnd w:id="435"/>
      <w:bookmarkEnd w:id="436"/>
      <w:bookmarkEnd w:id="437"/>
      <w:bookmarkEnd w:id="438"/>
      <w:bookmarkEnd w:id="439"/>
      <w:bookmarkEnd w:id="440"/>
      <w:bookmarkEnd w:id="441"/>
      <w:bookmarkEnd w:id="442"/>
      <w:bookmarkEnd w:id="443"/>
      <w:bookmarkEnd w:id="444"/>
      <w:r>
        <w:rPr>
          <w:rFonts w:hint="eastAsia" w:ascii="宋体" w:hAnsi="宋体" w:eastAsia="宋体" w:cs="宋体"/>
          <w:color w:val="auto"/>
          <w:lang w:eastAsia="zh-CN"/>
        </w:rPr>
        <w:t>情况。评审活动中，与评审活动有关的工作人员不得擅离职守，影响评审程序正常进行。</w:t>
      </w:r>
    </w:p>
    <w:p w14:paraId="1309D5C5">
      <w:pPr>
        <w:pStyle w:val="2"/>
        <w:rPr>
          <w:color w:val="auto"/>
          <w:lang w:eastAsia="zh-CN"/>
        </w:rPr>
      </w:pPr>
      <w:r>
        <w:rPr>
          <w:color w:val="auto"/>
          <w:lang w:eastAsia="zh-CN"/>
        </w:rPr>
        <w:br w:type="page"/>
      </w:r>
    </w:p>
    <w:bookmarkEnd w:id="382"/>
    <w:bookmarkEnd w:id="383"/>
    <w:bookmarkEnd w:id="384"/>
    <w:bookmarkEnd w:id="385"/>
    <w:bookmarkEnd w:id="386"/>
    <w:bookmarkEnd w:id="387"/>
    <w:bookmarkEnd w:id="388"/>
    <w:bookmarkEnd w:id="389"/>
    <w:p w14:paraId="7B5AB34A">
      <w:pPr>
        <w:pStyle w:val="3"/>
        <w:spacing w:before="200" w:after="200" w:line="720" w:lineRule="exact"/>
        <w:jc w:val="center"/>
        <w:rPr>
          <w:rFonts w:ascii="宋体" w:hAnsi="宋体" w:eastAsia="宋体" w:cs="宋体"/>
          <w:color w:val="auto"/>
          <w:szCs w:val="44"/>
          <w:lang w:eastAsia="zh-CN"/>
        </w:rPr>
      </w:pPr>
      <w:bookmarkStart w:id="445" w:name="_Toc3226"/>
      <w:bookmarkStart w:id="446" w:name="_Toc7093"/>
      <w:r>
        <w:rPr>
          <w:rFonts w:hint="eastAsia" w:ascii="宋体" w:hAnsi="宋体" w:eastAsia="宋体" w:cs="宋体"/>
          <w:color w:val="auto"/>
          <w:szCs w:val="44"/>
          <w:lang w:eastAsia="zh-CN"/>
        </w:rPr>
        <w:t>拟签订的合同文本（参考格式）</w:t>
      </w:r>
      <w:bookmarkEnd w:id="445"/>
    </w:p>
    <w:p w14:paraId="619D1E15">
      <w:pPr>
        <w:widowControl/>
        <w:kinsoku w:val="0"/>
        <w:autoSpaceDE w:val="0"/>
        <w:autoSpaceDN w:val="0"/>
        <w:adjustRightInd w:val="0"/>
        <w:snapToGrid w:val="0"/>
        <w:spacing w:before="132"/>
        <w:ind w:firstLine="13200" w:firstLineChars="3000"/>
        <w:jc w:val="center"/>
        <w:textAlignment w:val="baseline"/>
        <w:rPr>
          <w:rFonts w:ascii="宋体" w:hAnsi="宋体" w:eastAsia="宋体" w:cs="宋体"/>
          <w:color w:val="auto"/>
          <w:sz w:val="44"/>
          <w:szCs w:val="44"/>
          <w:lang w:eastAsia="zh-CN"/>
        </w:rPr>
      </w:pPr>
      <w:r>
        <w:rPr>
          <w:rFonts w:hint="eastAsia" w:ascii="仿宋" w:hAnsi="仿宋" w:eastAsia="仿宋" w:cs="宋体"/>
          <w:color w:val="auto"/>
          <w:sz w:val="44"/>
          <w:szCs w:val="44"/>
          <w:lang w:eastAsia="zh-CN"/>
        </w:rPr>
        <w:t>材</w:t>
      </w:r>
      <w:r>
        <w:rPr>
          <w:rFonts w:hint="eastAsia" w:ascii="宋体" w:hAnsi="宋体" w:eastAsia="宋体" w:cs="宋体"/>
          <w:color w:val="auto"/>
          <w:sz w:val="44"/>
          <w:szCs w:val="44"/>
          <w:lang w:eastAsia="zh-CN"/>
        </w:rPr>
        <w:t>材料采购合同</w:t>
      </w:r>
    </w:p>
    <w:p w14:paraId="639803BD">
      <w:pPr>
        <w:widowControl/>
        <w:kinsoku w:val="0"/>
        <w:autoSpaceDE w:val="0"/>
        <w:autoSpaceDN w:val="0"/>
        <w:adjustRightInd w:val="0"/>
        <w:snapToGrid w:val="0"/>
        <w:spacing w:before="132"/>
        <w:ind w:firstLine="6900" w:firstLineChars="3000"/>
        <w:textAlignment w:val="baseline"/>
        <w:rPr>
          <w:rFonts w:ascii="宋体" w:hAnsi="宋体" w:eastAsia="宋体" w:cs="宋体"/>
          <w:color w:val="auto"/>
          <w:spacing w:val="-5"/>
          <w:lang w:eastAsia="zh-CN"/>
        </w:rPr>
      </w:pPr>
      <w:r>
        <w:rPr>
          <w:rFonts w:hint="eastAsia" w:ascii="宋体" w:hAnsi="宋体" w:eastAsia="宋体" w:cs="宋体"/>
          <w:color w:val="auto"/>
          <w:spacing w:val="-5"/>
          <w:lang w:eastAsia="zh-CN"/>
        </w:rPr>
        <w:t>合同编号：</w:t>
      </w:r>
    </w:p>
    <w:p w14:paraId="59D44A04">
      <w:pPr>
        <w:widowControl/>
        <w:kinsoku w:val="0"/>
        <w:autoSpaceDE w:val="0"/>
        <w:autoSpaceDN w:val="0"/>
        <w:adjustRightInd w:val="0"/>
        <w:snapToGrid w:val="0"/>
        <w:spacing w:before="132"/>
        <w:ind w:firstLine="6900" w:firstLineChars="3000"/>
        <w:textAlignment w:val="baseline"/>
        <w:rPr>
          <w:rFonts w:ascii="宋体" w:hAnsi="宋体" w:eastAsia="宋体" w:cs="宋体"/>
          <w:color w:val="auto"/>
          <w:spacing w:val="-5"/>
          <w:lang w:eastAsia="zh-CN"/>
        </w:rPr>
      </w:pPr>
      <w:r>
        <w:rPr>
          <w:rFonts w:hint="eastAsia" w:ascii="宋体" w:hAnsi="宋体" w:eastAsia="宋体" w:cs="宋体"/>
          <w:color w:val="auto"/>
          <w:spacing w:val="-5"/>
          <w:lang w:eastAsia="zh-CN"/>
        </w:rPr>
        <w:t xml:space="preserve">合同日期： </w:t>
      </w:r>
    </w:p>
    <w:p w14:paraId="40286BEC">
      <w:pPr>
        <w:widowControl/>
        <w:kinsoku w:val="0"/>
        <w:autoSpaceDE w:val="0"/>
        <w:autoSpaceDN w:val="0"/>
        <w:adjustRightInd w:val="0"/>
        <w:snapToGrid w:val="0"/>
        <w:spacing w:before="132"/>
        <w:ind w:firstLine="6900" w:firstLineChars="3000"/>
        <w:textAlignment w:val="baseline"/>
        <w:rPr>
          <w:rFonts w:ascii="宋体" w:hAnsi="宋体" w:eastAsia="宋体" w:cs="宋体"/>
          <w:color w:val="auto"/>
          <w:lang w:eastAsia="zh-CN"/>
        </w:rPr>
      </w:pPr>
      <w:r>
        <w:rPr>
          <w:rFonts w:hint="eastAsia" w:ascii="宋体" w:hAnsi="宋体" w:eastAsia="宋体" w:cs="宋体"/>
          <w:color w:val="auto"/>
          <w:spacing w:val="-5"/>
          <w:lang w:eastAsia="zh-CN"/>
        </w:rPr>
        <w:t>签订地点：江西抚州</w:t>
      </w:r>
    </w:p>
    <w:p w14:paraId="69C108DC">
      <w:pPr>
        <w:widowControl/>
        <w:kinsoku w:val="0"/>
        <w:autoSpaceDE w:val="0"/>
        <w:autoSpaceDN w:val="0"/>
        <w:adjustRightInd w:val="0"/>
        <w:snapToGrid w:val="0"/>
        <w:spacing w:before="132"/>
        <w:ind w:left="546"/>
        <w:textAlignment w:val="baseline"/>
        <w:rPr>
          <w:rFonts w:ascii="宋体" w:hAnsi="宋体" w:eastAsia="宋体" w:cs="宋体"/>
          <w:color w:val="auto"/>
          <w:lang w:eastAsia="zh-CN"/>
        </w:rPr>
      </w:pPr>
      <w:r>
        <w:rPr>
          <w:rFonts w:hint="eastAsia" w:ascii="宋体" w:hAnsi="宋体" w:eastAsia="宋体" w:cs="宋体"/>
          <w:color w:val="auto"/>
          <w:spacing w:val="-5"/>
          <w:lang w:eastAsia="zh-CN"/>
        </w:rPr>
        <w:t>甲方：</w:t>
      </w:r>
      <w:r>
        <w:rPr>
          <w:rFonts w:hint="eastAsia" w:ascii="宋体" w:hAnsi="宋体" w:eastAsia="宋体" w:cs="宋体"/>
          <w:color w:val="auto"/>
          <w:spacing w:val="-5"/>
          <w:u w:val="single"/>
          <w:lang w:eastAsia="zh-CN"/>
        </w:rPr>
        <w:t>抚州市国控供应链管理有限公司</w:t>
      </w:r>
    </w:p>
    <w:p w14:paraId="2D7DCEBE">
      <w:pPr>
        <w:widowControl/>
        <w:kinsoku w:val="0"/>
        <w:autoSpaceDE w:val="0"/>
        <w:autoSpaceDN w:val="0"/>
        <w:adjustRightInd w:val="0"/>
        <w:snapToGrid w:val="0"/>
        <w:spacing w:before="137"/>
        <w:ind w:left="546"/>
        <w:textAlignment w:val="baseline"/>
        <w:rPr>
          <w:rFonts w:ascii="宋体" w:hAnsi="宋体" w:eastAsia="宋体" w:cs="宋体"/>
          <w:color w:val="auto"/>
          <w:spacing w:val="-8"/>
          <w:u w:val="single"/>
          <w:lang w:eastAsia="zh-CN"/>
        </w:rPr>
      </w:pPr>
      <w:r>
        <w:rPr>
          <w:rFonts w:hint="eastAsia" w:ascii="宋体" w:hAnsi="宋体" w:eastAsia="宋体" w:cs="宋体"/>
          <w:color w:val="auto"/>
          <w:spacing w:val="-8"/>
          <w:lang w:eastAsia="zh-CN"/>
        </w:rPr>
        <w:t>乙方：</w:t>
      </w:r>
      <w:r>
        <w:rPr>
          <w:rFonts w:hint="eastAsia" w:ascii="宋体" w:hAnsi="宋体" w:eastAsia="宋体" w:cs="宋体"/>
          <w:color w:val="auto"/>
          <w:spacing w:val="-8"/>
          <w:u w:val="single"/>
          <w:lang w:eastAsia="zh-CN"/>
        </w:rPr>
        <w:t xml:space="preserve">                               </w:t>
      </w:r>
    </w:p>
    <w:p w14:paraId="4E711B4D">
      <w:pPr>
        <w:autoSpaceDE w:val="0"/>
        <w:autoSpaceDN w:val="0"/>
        <w:adjustRightInd w:val="0"/>
        <w:snapToGrid w:val="0"/>
        <w:spacing w:line="360" w:lineRule="auto"/>
        <w:ind w:firstLine="420" w:firstLineChars="200"/>
        <w:jc w:val="both"/>
        <w:rPr>
          <w:rFonts w:ascii="宋体" w:hAnsi="宋体" w:eastAsia="宋体" w:cs="宋体"/>
          <w:color w:val="auto"/>
          <w:sz w:val="21"/>
          <w:szCs w:val="21"/>
          <w:u w:val="single"/>
          <w:lang w:eastAsia="zh-CN"/>
        </w:rPr>
      </w:pPr>
    </w:p>
    <w:p w14:paraId="64312F5D">
      <w:pPr>
        <w:spacing w:before="115" w:line="221" w:lineRule="auto"/>
        <w:ind w:firstLine="460" w:firstLineChars="200"/>
        <w:rPr>
          <w:rFonts w:ascii="宋体" w:hAnsi="宋体" w:eastAsia="宋体" w:cs="宋体"/>
          <w:b/>
          <w:bCs/>
          <w:color w:val="auto"/>
          <w:spacing w:val="-12"/>
          <w:lang w:eastAsia="zh-CN"/>
        </w:rPr>
      </w:pPr>
      <w:r>
        <w:rPr>
          <w:rFonts w:hint="eastAsia" w:ascii="宋体" w:hAnsi="宋体" w:eastAsia="宋体" w:cs="宋体"/>
          <w:color w:val="auto"/>
          <w:spacing w:val="-5"/>
          <w:position w:val="12"/>
          <w:lang w:eastAsia="zh-CN"/>
        </w:rPr>
        <w:t>根据《中华人民共和国民法典》、《中华人民共和国建筑法》及有关法律法规和本项建设工程的具体要求，甲乙双方在协商一致基础上，本着自愿、公平和诚信的原则，就甲方所需的</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lang w:eastAsia="zh-CN"/>
        </w:rPr>
        <w:t>供应事宜签订本合同，以资共同遵守。</w:t>
      </w:r>
    </w:p>
    <w:p w14:paraId="4DF2ED2F">
      <w:pPr>
        <w:spacing w:before="115" w:line="221" w:lineRule="auto"/>
        <w:rPr>
          <w:rFonts w:ascii="宋体" w:hAnsi="宋体" w:eastAsia="宋体" w:cs="宋体"/>
          <w:color w:val="auto"/>
          <w:lang w:eastAsia="zh-CN"/>
        </w:rPr>
      </w:pPr>
      <w:r>
        <w:rPr>
          <w:rFonts w:hint="eastAsia" w:ascii="宋体" w:hAnsi="宋体" w:eastAsia="宋体" w:cs="宋体"/>
          <w:b/>
          <w:bCs/>
          <w:color w:val="auto"/>
          <w:spacing w:val="-12"/>
          <w:lang w:eastAsia="zh-CN"/>
        </w:rPr>
        <w:t>第一条 标的名称、规格、单位、数量、单价、金额</w:t>
      </w:r>
    </w:p>
    <w:p w14:paraId="7B81FB36">
      <w:pPr>
        <w:spacing w:line="99" w:lineRule="exact"/>
        <w:rPr>
          <w:rFonts w:ascii="宋体" w:hAnsi="宋体" w:eastAsia="宋体" w:cs="宋体"/>
          <w:color w:val="auto"/>
          <w:lang w:eastAsia="zh-CN"/>
        </w:rPr>
      </w:pPr>
    </w:p>
    <w:tbl>
      <w:tblPr>
        <w:tblStyle w:val="50"/>
        <w:tblW w:w="9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179"/>
        <w:gridCol w:w="635"/>
        <w:gridCol w:w="544"/>
        <w:gridCol w:w="709"/>
        <w:gridCol w:w="645"/>
        <w:gridCol w:w="903"/>
        <w:gridCol w:w="929"/>
        <w:gridCol w:w="783"/>
        <w:gridCol w:w="743"/>
        <w:gridCol w:w="863"/>
        <w:gridCol w:w="1067"/>
        <w:gridCol w:w="1274"/>
      </w:tblGrid>
      <w:tr w14:paraId="5C4F9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576" w:type="dxa"/>
            <w:vMerge w:val="restart"/>
            <w:tcBorders>
              <w:bottom w:val="nil"/>
            </w:tcBorders>
            <w:textDirection w:val="tbRlV"/>
          </w:tcPr>
          <w:p w14:paraId="448F5056">
            <w:pPr>
              <w:pStyle w:val="49"/>
              <w:keepNext w:val="0"/>
              <w:keepLines w:val="0"/>
              <w:pageBreakBefore w:val="0"/>
              <w:widowControl w:val="0"/>
              <w:kinsoku/>
              <w:wordWrap/>
              <w:overflowPunct/>
              <w:topLinePunct w:val="0"/>
              <w:autoSpaceDE/>
              <w:autoSpaceDN/>
              <w:bidi w:val="0"/>
              <w:adjustRightInd/>
              <w:snapToGrid/>
              <w:spacing w:line="199" w:lineRule="auto"/>
              <w:ind w:left="363"/>
              <w:jc w:val="center"/>
              <w:textAlignment w:val="auto"/>
              <w:rPr>
                <w:color w:val="auto"/>
                <w:sz w:val="24"/>
                <w:szCs w:val="24"/>
              </w:rPr>
            </w:pPr>
            <w:r>
              <w:rPr>
                <w:rFonts w:hint="eastAsia"/>
                <w:color w:val="auto"/>
                <w:sz w:val="24"/>
                <w:szCs w:val="24"/>
              </w:rPr>
              <w:t>序</w:t>
            </w:r>
            <w:r>
              <w:rPr>
                <w:rFonts w:hint="eastAsia"/>
                <w:color w:val="auto"/>
                <w:spacing w:val="27"/>
                <w:sz w:val="24"/>
                <w:szCs w:val="24"/>
              </w:rPr>
              <w:t xml:space="preserve"> </w:t>
            </w:r>
            <w:r>
              <w:rPr>
                <w:rFonts w:hint="eastAsia"/>
                <w:color w:val="auto"/>
                <w:sz w:val="24"/>
                <w:szCs w:val="24"/>
              </w:rPr>
              <w:t>号</w:t>
            </w:r>
          </w:p>
        </w:tc>
        <w:tc>
          <w:tcPr>
            <w:tcW w:w="814" w:type="dxa"/>
            <w:gridSpan w:val="2"/>
            <w:vMerge w:val="restart"/>
            <w:tcBorders>
              <w:bottom w:val="nil"/>
            </w:tcBorders>
          </w:tcPr>
          <w:p w14:paraId="4909C7B0">
            <w:pPr>
              <w:keepNext w:val="0"/>
              <w:keepLines w:val="0"/>
              <w:pageBreakBefore w:val="0"/>
              <w:widowControl w:val="0"/>
              <w:kinsoku/>
              <w:wordWrap/>
              <w:overflowPunct/>
              <w:topLinePunct w:val="0"/>
              <w:autoSpaceDE/>
              <w:autoSpaceDN/>
              <w:bidi w:val="0"/>
              <w:adjustRightInd/>
              <w:snapToGrid/>
              <w:spacing w:line="341" w:lineRule="auto"/>
              <w:jc w:val="center"/>
              <w:textAlignment w:val="auto"/>
              <w:rPr>
                <w:rFonts w:ascii="宋体" w:hAnsi="宋体" w:eastAsia="宋体" w:cs="宋体"/>
                <w:color w:val="auto"/>
              </w:rPr>
            </w:pPr>
          </w:p>
          <w:p w14:paraId="3A408523">
            <w:pPr>
              <w:pStyle w:val="49"/>
              <w:keepNext w:val="0"/>
              <w:keepLines w:val="0"/>
              <w:pageBreakBefore w:val="0"/>
              <w:widowControl w:val="0"/>
              <w:kinsoku/>
              <w:wordWrap/>
              <w:overflowPunct/>
              <w:topLinePunct w:val="0"/>
              <w:autoSpaceDE/>
              <w:autoSpaceDN/>
              <w:bidi w:val="0"/>
              <w:adjustRightInd/>
              <w:snapToGrid/>
              <w:spacing w:line="241" w:lineRule="auto"/>
              <w:ind w:left="329" w:right="90" w:hanging="219"/>
              <w:jc w:val="center"/>
              <w:textAlignment w:val="auto"/>
              <w:rPr>
                <w:rFonts w:hint="eastAsia"/>
                <w:color w:val="auto"/>
                <w:spacing w:val="9"/>
                <w:sz w:val="24"/>
                <w:szCs w:val="24"/>
                <w:lang w:eastAsia="zh-CN"/>
              </w:rPr>
            </w:pPr>
            <w:r>
              <w:rPr>
                <w:rFonts w:hint="eastAsia"/>
                <w:color w:val="auto"/>
                <w:spacing w:val="9"/>
                <w:sz w:val="24"/>
                <w:szCs w:val="24"/>
                <w:lang w:eastAsia="zh-CN"/>
              </w:rPr>
              <w:t>物</w:t>
            </w:r>
          </w:p>
          <w:p w14:paraId="00616809">
            <w:pPr>
              <w:pStyle w:val="49"/>
              <w:keepNext w:val="0"/>
              <w:keepLines w:val="0"/>
              <w:pageBreakBefore w:val="0"/>
              <w:widowControl w:val="0"/>
              <w:kinsoku/>
              <w:wordWrap/>
              <w:overflowPunct/>
              <w:topLinePunct w:val="0"/>
              <w:autoSpaceDE/>
              <w:autoSpaceDN/>
              <w:bidi w:val="0"/>
              <w:adjustRightInd/>
              <w:snapToGrid/>
              <w:spacing w:line="241" w:lineRule="auto"/>
              <w:ind w:left="329" w:right="90" w:hanging="219"/>
              <w:jc w:val="center"/>
              <w:textAlignment w:val="auto"/>
              <w:rPr>
                <w:rFonts w:hint="eastAsia"/>
                <w:color w:val="auto"/>
                <w:spacing w:val="9"/>
                <w:sz w:val="24"/>
                <w:szCs w:val="24"/>
                <w:lang w:eastAsia="zh-CN"/>
              </w:rPr>
            </w:pPr>
            <w:r>
              <w:rPr>
                <w:rFonts w:hint="eastAsia"/>
                <w:color w:val="auto"/>
                <w:spacing w:val="9"/>
                <w:sz w:val="24"/>
                <w:szCs w:val="24"/>
                <w:lang w:eastAsia="zh-CN"/>
              </w:rPr>
              <w:t>料</w:t>
            </w:r>
          </w:p>
          <w:p w14:paraId="62532F51">
            <w:pPr>
              <w:pStyle w:val="49"/>
              <w:keepNext w:val="0"/>
              <w:keepLines w:val="0"/>
              <w:pageBreakBefore w:val="0"/>
              <w:widowControl w:val="0"/>
              <w:kinsoku/>
              <w:wordWrap/>
              <w:overflowPunct/>
              <w:topLinePunct w:val="0"/>
              <w:autoSpaceDE/>
              <w:autoSpaceDN/>
              <w:bidi w:val="0"/>
              <w:adjustRightInd/>
              <w:snapToGrid/>
              <w:spacing w:line="241" w:lineRule="auto"/>
              <w:ind w:left="329" w:right="90" w:hanging="219"/>
              <w:jc w:val="center"/>
              <w:textAlignment w:val="auto"/>
              <w:rPr>
                <w:rFonts w:hint="eastAsia"/>
                <w:color w:val="auto"/>
                <w:spacing w:val="9"/>
                <w:sz w:val="24"/>
                <w:szCs w:val="24"/>
                <w:lang w:eastAsia="zh-CN"/>
              </w:rPr>
            </w:pPr>
            <w:r>
              <w:rPr>
                <w:rFonts w:hint="eastAsia"/>
                <w:color w:val="auto"/>
                <w:spacing w:val="9"/>
                <w:sz w:val="24"/>
                <w:szCs w:val="24"/>
                <w:lang w:eastAsia="zh-CN"/>
              </w:rPr>
              <w:t>名</w:t>
            </w:r>
          </w:p>
          <w:p w14:paraId="173E799D">
            <w:pPr>
              <w:pStyle w:val="49"/>
              <w:keepNext w:val="0"/>
              <w:keepLines w:val="0"/>
              <w:pageBreakBefore w:val="0"/>
              <w:widowControl w:val="0"/>
              <w:kinsoku/>
              <w:wordWrap/>
              <w:overflowPunct/>
              <w:topLinePunct w:val="0"/>
              <w:autoSpaceDE/>
              <w:autoSpaceDN/>
              <w:bidi w:val="0"/>
              <w:adjustRightInd/>
              <w:snapToGrid/>
              <w:spacing w:line="241" w:lineRule="auto"/>
              <w:ind w:left="329" w:right="90" w:hanging="219"/>
              <w:jc w:val="center"/>
              <w:textAlignment w:val="auto"/>
              <w:rPr>
                <w:color w:val="auto"/>
                <w:sz w:val="24"/>
                <w:szCs w:val="24"/>
                <w:lang w:eastAsia="zh-CN"/>
              </w:rPr>
            </w:pPr>
            <w:r>
              <w:rPr>
                <w:rFonts w:hint="eastAsia"/>
                <w:color w:val="auto"/>
                <w:spacing w:val="9"/>
                <w:sz w:val="24"/>
                <w:szCs w:val="24"/>
                <w:lang w:eastAsia="zh-CN"/>
              </w:rPr>
              <w:t>称</w:t>
            </w:r>
          </w:p>
        </w:tc>
        <w:tc>
          <w:tcPr>
            <w:tcW w:w="544" w:type="dxa"/>
            <w:vMerge w:val="restart"/>
            <w:tcBorders>
              <w:bottom w:val="nil"/>
            </w:tcBorders>
            <w:textDirection w:val="tbRlV"/>
          </w:tcPr>
          <w:p w14:paraId="52CC4B3C">
            <w:pPr>
              <w:pStyle w:val="49"/>
              <w:keepNext w:val="0"/>
              <w:keepLines w:val="0"/>
              <w:pageBreakBefore w:val="0"/>
              <w:widowControl w:val="0"/>
              <w:kinsoku/>
              <w:wordWrap/>
              <w:overflowPunct/>
              <w:topLinePunct w:val="0"/>
              <w:autoSpaceDE/>
              <w:autoSpaceDN/>
              <w:bidi w:val="0"/>
              <w:adjustRightInd/>
              <w:snapToGrid/>
              <w:spacing w:line="202" w:lineRule="auto"/>
              <w:ind w:left="365"/>
              <w:jc w:val="center"/>
              <w:textAlignment w:val="auto"/>
              <w:rPr>
                <w:color w:val="auto"/>
                <w:sz w:val="24"/>
                <w:szCs w:val="24"/>
              </w:rPr>
            </w:pPr>
            <w:r>
              <w:rPr>
                <w:rFonts w:hint="eastAsia"/>
                <w:color w:val="auto"/>
                <w:sz w:val="24"/>
                <w:szCs w:val="24"/>
              </w:rPr>
              <w:t>单</w:t>
            </w:r>
            <w:r>
              <w:rPr>
                <w:rFonts w:hint="eastAsia"/>
                <w:color w:val="auto"/>
                <w:spacing w:val="25"/>
                <w:sz w:val="24"/>
                <w:szCs w:val="24"/>
              </w:rPr>
              <w:t xml:space="preserve"> </w:t>
            </w:r>
            <w:r>
              <w:rPr>
                <w:rFonts w:hint="eastAsia"/>
                <w:color w:val="auto"/>
                <w:sz w:val="24"/>
                <w:szCs w:val="24"/>
              </w:rPr>
              <w:t>位</w:t>
            </w:r>
          </w:p>
        </w:tc>
        <w:tc>
          <w:tcPr>
            <w:tcW w:w="709" w:type="dxa"/>
            <w:vMerge w:val="restart"/>
            <w:tcBorders>
              <w:bottom w:val="nil"/>
            </w:tcBorders>
          </w:tcPr>
          <w:p w14:paraId="026F166A">
            <w:pPr>
              <w:keepNext w:val="0"/>
              <w:keepLines w:val="0"/>
              <w:pageBreakBefore w:val="0"/>
              <w:widowControl w:val="0"/>
              <w:kinsoku/>
              <w:wordWrap/>
              <w:overflowPunct/>
              <w:topLinePunct w:val="0"/>
              <w:autoSpaceDE/>
              <w:autoSpaceDN/>
              <w:bidi w:val="0"/>
              <w:adjustRightInd/>
              <w:snapToGrid/>
              <w:spacing w:line="319" w:lineRule="auto"/>
              <w:jc w:val="center"/>
              <w:textAlignment w:val="auto"/>
              <w:rPr>
                <w:rFonts w:ascii="宋体" w:hAnsi="宋体" w:eastAsia="宋体" w:cs="宋体"/>
                <w:color w:val="auto"/>
              </w:rPr>
            </w:pPr>
          </w:p>
          <w:p w14:paraId="7ABB9D45">
            <w:pPr>
              <w:pStyle w:val="49"/>
              <w:keepNext w:val="0"/>
              <w:keepLines w:val="0"/>
              <w:pageBreakBefore w:val="0"/>
              <w:widowControl w:val="0"/>
              <w:kinsoku/>
              <w:wordWrap/>
              <w:overflowPunct/>
              <w:topLinePunct w:val="0"/>
              <w:autoSpaceDE/>
              <w:autoSpaceDN/>
              <w:bidi w:val="0"/>
              <w:adjustRightInd/>
              <w:snapToGrid/>
              <w:spacing w:line="258" w:lineRule="auto"/>
              <w:ind w:left="120" w:right="124"/>
              <w:jc w:val="center"/>
              <w:textAlignment w:val="auto"/>
              <w:rPr>
                <w:color w:val="auto"/>
                <w:sz w:val="24"/>
                <w:szCs w:val="24"/>
                <w:lang w:eastAsia="zh-CN"/>
              </w:rPr>
            </w:pPr>
            <w:r>
              <w:rPr>
                <w:rFonts w:hint="eastAsia"/>
                <w:color w:val="auto"/>
                <w:spacing w:val="-5"/>
                <w:sz w:val="24"/>
                <w:szCs w:val="24"/>
              </w:rPr>
              <w:t>规格</w:t>
            </w:r>
            <w:r>
              <w:rPr>
                <w:rFonts w:hint="eastAsia"/>
                <w:color w:val="auto"/>
                <w:spacing w:val="-5"/>
                <w:sz w:val="24"/>
                <w:szCs w:val="24"/>
                <w:lang w:eastAsia="zh-CN"/>
              </w:rPr>
              <w:t>型号</w:t>
            </w:r>
          </w:p>
        </w:tc>
        <w:tc>
          <w:tcPr>
            <w:tcW w:w="645" w:type="dxa"/>
            <w:vMerge w:val="restart"/>
            <w:tcBorders>
              <w:bottom w:val="nil"/>
            </w:tcBorders>
          </w:tcPr>
          <w:p w14:paraId="0A8D6C30">
            <w:pPr>
              <w:keepNext w:val="0"/>
              <w:keepLines w:val="0"/>
              <w:pageBreakBefore w:val="0"/>
              <w:widowControl w:val="0"/>
              <w:kinsoku/>
              <w:wordWrap/>
              <w:overflowPunct/>
              <w:topLinePunct w:val="0"/>
              <w:autoSpaceDE/>
              <w:autoSpaceDN/>
              <w:bidi w:val="0"/>
              <w:adjustRightInd/>
              <w:snapToGrid/>
              <w:spacing w:line="479" w:lineRule="auto"/>
              <w:jc w:val="center"/>
              <w:textAlignment w:val="auto"/>
              <w:rPr>
                <w:rFonts w:ascii="宋体" w:hAnsi="宋体" w:eastAsia="宋体" w:cs="宋体"/>
                <w:color w:val="auto"/>
              </w:rPr>
            </w:pPr>
          </w:p>
          <w:p w14:paraId="6E7C2B40">
            <w:pPr>
              <w:pStyle w:val="49"/>
              <w:keepNext w:val="0"/>
              <w:keepLines w:val="0"/>
              <w:pageBreakBefore w:val="0"/>
              <w:widowControl w:val="0"/>
              <w:kinsoku/>
              <w:wordWrap/>
              <w:overflowPunct/>
              <w:topLinePunct w:val="0"/>
              <w:autoSpaceDE/>
              <w:autoSpaceDN/>
              <w:bidi w:val="0"/>
              <w:adjustRightInd/>
              <w:snapToGrid/>
              <w:spacing w:line="219" w:lineRule="auto"/>
              <w:ind w:left="142"/>
              <w:jc w:val="center"/>
              <w:textAlignment w:val="auto"/>
              <w:rPr>
                <w:color w:val="auto"/>
                <w:sz w:val="24"/>
                <w:szCs w:val="24"/>
              </w:rPr>
            </w:pPr>
            <w:r>
              <w:rPr>
                <w:rFonts w:hint="eastAsia"/>
                <w:color w:val="auto"/>
                <w:spacing w:val="4"/>
                <w:sz w:val="24"/>
                <w:szCs w:val="24"/>
              </w:rPr>
              <w:t>品牌</w:t>
            </w:r>
          </w:p>
        </w:tc>
        <w:tc>
          <w:tcPr>
            <w:tcW w:w="903" w:type="dxa"/>
            <w:vMerge w:val="restart"/>
            <w:tcBorders>
              <w:bottom w:val="nil"/>
            </w:tcBorders>
          </w:tcPr>
          <w:p w14:paraId="2C9430D6">
            <w:pPr>
              <w:keepNext w:val="0"/>
              <w:keepLines w:val="0"/>
              <w:pageBreakBefore w:val="0"/>
              <w:widowControl w:val="0"/>
              <w:kinsoku/>
              <w:wordWrap/>
              <w:overflowPunct/>
              <w:topLinePunct w:val="0"/>
              <w:autoSpaceDE/>
              <w:autoSpaceDN/>
              <w:bidi w:val="0"/>
              <w:adjustRightInd/>
              <w:snapToGrid/>
              <w:spacing w:line="479" w:lineRule="auto"/>
              <w:jc w:val="center"/>
              <w:textAlignment w:val="auto"/>
              <w:rPr>
                <w:rFonts w:ascii="宋体" w:hAnsi="宋体" w:eastAsia="宋体" w:cs="宋体"/>
                <w:color w:val="auto"/>
              </w:rPr>
            </w:pPr>
          </w:p>
          <w:p w14:paraId="4C223B83">
            <w:pPr>
              <w:pStyle w:val="49"/>
              <w:keepNext w:val="0"/>
              <w:keepLines w:val="0"/>
              <w:pageBreakBefore w:val="0"/>
              <w:widowControl w:val="0"/>
              <w:kinsoku/>
              <w:wordWrap/>
              <w:overflowPunct/>
              <w:topLinePunct w:val="0"/>
              <w:autoSpaceDE/>
              <w:autoSpaceDN/>
              <w:bidi w:val="0"/>
              <w:adjustRightInd/>
              <w:snapToGrid/>
              <w:spacing w:line="219" w:lineRule="auto"/>
              <w:ind w:left="143"/>
              <w:jc w:val="center"/>
              <w:textAlignment w:val="auto"/>
              <w:rPr>
                <w:color w:val="auto"/>
                <w:sz w:val="24"/>
                <w:szCs w:val="24"/>
              </w:rPr>
            </w:pPr>
            <w:r>
              <w:rPr>
                <w:rFonts w:hint="eastAsia"/>
                <w:color w:val="auto"/>
                <w:spacing w:val="-3"/>
                <w:sz w:val="24"/>
                <w:szCs w:val="24"/>
              </w:rPr>
              <w:t>数量</w:t>
            </w:r>
          </w:p>
        </w:tc>
        <w:tc>
          <w:tcPr>
            <w:tcW w:w="3318" w:type="dxa"/>
            <w:gridSpan w:val="4"/>
          </w:tcPr>
          <w:p w14:paraId="5851EC27">
            <w:pPr>
              <w:pStyle w:val="49"/>
              <w:keepNext w:val="0"/>
              <w:keepLines w:val="0"/>
              <w:pageBreakBefore w:val="0"/>
              <w:widowControl w:val="0"/>
              <w:kinsoku/>
              <w:wordWrap/>
              <w:overflowPunct/>
              <w:topLinePunct w:val="0"/>
              <w:autoSpaceDE/>
              <w:autoSpaceDN/>
              <w:bidi w:val="0"/>
              <w:adjustRightInd/>
              <w:snapToGrid/>
              <w:spacing w:line="218" w:lineRule="auto"/>
              <w:ind w:left="1054"/>
              <w:jc w:val="center"/>
              <w:textAlignment w:val="auto"/>
              <w:rPr>
                <w:color w:val="auto"/>
                <w:sz w:val="24"/>
                <w:szCs w:val="24"/>
              </w:rPr>
            </w:pPr>
            <w:r>
              <w:rPr>
                <w:rFonts w:hint="eastAsia"/>
                <w:color w:val="auto"/>
                <w:spacing w:val="6"/>
                <w:sz w:val="24"/>
                <w:szCs w:val="24"/>
              </w:rPr>
              <w:t>综合单价(元)</w:t>
            </w:r>
          </w:p>
        </w:tc>
        <w:tc>
          <w:tcPr>
            <w:tcW w:w="1067" w:type="dxa"/>
            <w:vMerge w:val="restart"/>
            <w:tcBorders>
              <w:bottom w:val="nil"/>
            </w:tcBorders>
          </w:tcPr>
          <w:p w14:paraId="59DD6CA8">
            <w:pPr>
              <w:pStyle w:val="49"/>
              <w:keepNext w:val="0"/>
              <w:keepLines w:val="0"/>
              <w:pageBreakBefore w:val="0"/>
              <w:widowControl w:val="0"/>
              <w:kinsoku/>
              <w:wordWrap/>
              <w:overflowPunct/>
              <w:topLinePunct w:val="0"/>
              <w:autoSpaceDE/>
              <w:autoSpaceDN/>
              <w:bidi w:val="0"/>
              <w:adjustRightInd/>
              <w:snapToGrid/>
              <w:spacing w:line="218" w:lineRule="auto"/>
              <w:ind w:left="168"/>
              <w:jc w:val="center"/>
              <w:textAlignment w:val="auto"/>
              <w:rPr>
                <w:color w:val="auto"/>
                <w:sz w:val="24"/>
                <w:szCs w:val="24"/>
              </w:rPr>
            </w:pPr>
            <w:r>
              <w:rPr>
                <w:rFonts w:hint="eastAsia"/>
                <w:color w:val="auto"/>
                <w:spacing w:val="-3"/>
                <w:sz w:val="24"/>
                <w:szCs w:val="24"/>
              </w:rPr>
              <w:t>价税金</w:t>
            </w:r>
          </w:p>
          <w:p w14:paraId="1E9E56BB">
            <w:pPr>
              <w:pStyle w:val="49"/>
              <w:keepNext w:val="0"/>
              <w:keepLines w:val="0"/>
              <w:pageBreakBefore w:val="0"/>
              <w:widowControl w:val="0"/>
              <w:kinsoku/>
              <w:wordWrap/>
              <w:overflowPunct/>
              <w:topLinePunct w:val="0"/>
              <w:autoSpaceDE/>
              <w:autoSpaceDN/>
              <w:bidi w:val="0"/>
              <w:adjustRightInd/>
              <w:snapToGrid/>
              <w:spacing w:line="219" w:lineRule="auto"/>
              <w:ind w:left="168"/>
              <w:jc w:val="center"/>
              <w:textAlignment w:val="auto"/>
              <w:rPr>
                <w:color w:val="auto"/>
                <w:sz w:val="24"/>
                <w:szCs w:val="24"/>
              </w:rPr>
            </w:pPr>
            <w:r>
              <w:rPr>
                <w:rFonts w:hint="eastAsia"/>
                <w:color w:val="auto"/>
                <w:spacing w:val="-2"/>
                <w:sz w:val="24"/>
                <w:szCs w:val="24"/>
              </w:rPr>
              <w:t>额合计</w:t>
            </w:r>
          </w:p>
          <w:p w14:paraId="3B71F46A">
            <w:pPr>
              <w:pStyle w:val="49"/>
              <w:keepNext w:val="0"/>
              <w:keepLines w:val="0"/>
              <w:pageBreakBefore w:val="0"/>
              <w:widowControl w:val="0"/>
              <w:kinsoku/>
              <w:wordWrap/>
              <w:overflowPunct/>
              <w:topLinePunct w:val="0"/>
              <w:autoSpaceDE/>
              <w:autoSpaceDN/>
              <w:bidi w:val="0"/>
              <w:adjustRightInd/>
              <w:snapToGrid/>
              <w:spacing w:line="220" w:lineRule="auto"/>
              <w:ind w:left="277"/>
              <w:jc w:val="center"/>
              <w:textAlignment w:val="auto"/>
              <w:rPr>
                <w:color w:val="auto"/>
                <w:sz w:val="24"/>
                <w:szCs w:val="24"/>
              </w:rPr>
            </w:pPr>
            <w:r>
              <w:rPr>
                <w:rFonts w:hint="eastAsia"/>
                <w:color w:val="auto"/>
                <w:spacing w:val="16"/>
                <w:sz w:val="24"/>
                <w:szCs w:val="24"/>
              </w:rPr>
              <w:t>(元)</w:t>
            </w:r>
          </w:p>
        </w:tc>
        <w:tc>
          <w:tcPr>
            <w:tcW w:w="1274" w:type="dxa"/>
            <w:vMerge w:val="restart"/>
            <w:tcBorders>
              <w:bottom w:val="nil"/>
            </w:tcBorders>
          </w:tcPr>
          <w:p w14:paraId="1DBA4DFE">
            <w:pPr>
              <w:keepNext w:val="0"/>
              <w:keepLines w:val="0"/>
              <w:pageBreakBefore w:val="0"/>
              <w:widowControl w:val="0"/>
              <w:kinsoku/>
              <w:wordWrap/>
              <w:overflowPunct/>
              <w:topLinePunct w:val="0"/>
              <w:autoSpaceDE/>
              <w:autoSpaceDN/>
              <w:bidi w:val="0"/>
              <w:adjustRightInd/>
              <w:snapToGrid/>
              <w:spacing w:line="478" w:lineRule="auto"/>
              <w:jc w:val="center"/>
              <w:textAlignment w:val="auto"/>
              <w:rPr>
                <w:rFonts w:ascii="宋体" w:hAnsi="宋体" w:eastAsia="宋体" w:cs="宋体"/>
                <w:color w:val="auto"/>
              </w:rPr>
            </w:pPr>
          </w:p>
          <w:p w14:paraId="0F4EC7B1">
            <w:pPr>
              <w:pStyle w:val="49"/>
              <w:keepNext w:val="0"/>
              <w:keepLines w:val="0"/>
              <w:pageBreakBefore w:val="0"/>
              <w:widowControl w:val="0"/>
              <w:kinsoku/>
              <w:wordWrap/>
              <w:overflowPunct/>
              <w:topLinePunct w:val="0"/>
              <w:autoSpaceDE/>
              <w:autoSpaceDN/>
              <w:bidi w:val="0"/>
              <w:adjustRightInd/>
              <w:snapToGrid/>
              <w:spacing w:line="219" w:lineRule="auto"/>
              <w:ind w:left="188"/>
              <w:jc w:val="center"/>
              <w:textAlignment w:val="auto"/>
              <w:rPr>
                <w:color w:val="auto"/>
                <w:sz w:val="24"/>
                <w:szCs w:val="24"/>
              </w:rPr>
            </w:pPr>
            <w:r>
              <w:rPr>
                <w:rFonts w:hint="eastAsia"/>
                <w:color w:val="auto"/>
                <w:spacing w:val="4"/>
                <w:sz w:val="24"/>
                <w:szCs w:val="24"/>
              </w:rPr>
              <w:t>交货地点</w:t>
            </w:r>
          </w:p>
        </w:tc>
      </w:tr>
      <w:tr w14:paraId="73874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76" w:type="dxa"/>
            <w:vMerge w:val="continue"/>
            <w:tcBorders>
              <w:top w:val="nil"/>
            </w:tcBorders>
            <w:textDirection w:val="tbRlV"/>
          </w:tcPr>
          <w:p w14:paraId="7368E3A8">
            <w:pPr>
              <w:rPr>
                <w:rFonts w:ascii="宋体" w:hAnsi="宋体" w:eastAsia="宋体" w:cs="宋体"/>
                <w:color w:val="auto"/>
              </w:rPr>
            </w:pPr>
          </w:p>
        </w:tc>
        <w:tc>
          <w:tcPr>
            <w:tcW w:w="814" w:type="dxa"/>
            <w:gridSpan w:val="2"/>
            <w:vMerge w:val="continue"/>
            <w:tcBorders>
              <w:top w:val="nil"/>
            </w:tcBorders>
          </w:tcPr>
          <w:p w14:paraId="19F2A8F5">
            <w:pPr>
              <w:rPr>
                <w:rFonts w:ascii="宋体" w:hAnsi="宋体" w:eastAsia="宋体" w:cs="宋体"/>
                <w:color w:val="auto"/>
              </w:rPr>
            </w:pPr>
          </w:p>
        </w:tc>
        <w:tc>
          <w:tcPr>
            <w:tcW w:w="544" w:type="dxa"/>
            <w:vMerge w:val="continue"/>
            <w:tcBorders>
              <w:top w:val="nil"/>
            </w:tcBorders>
            <w:textDirection w:val="tbRlV"/>
          </w:tcPr>
          <w:p w14:paraId="0D487B79">
            <w:pPr>
              <w:rPr>
                <w:rFonts w:ascii="宋体" w:hAnsi="宋体" w:eastAsia="宋体" w:cs="宋体"/>
                <w:color w:val="auto"/>
              </w:rPr>
            </w:pPr>
          </w:p>
        </w:tc>
        <w:tc>
          <w:tcPr>
            <w:tcW w:w="709" w:type="dxa"/>
            <w:vMerge w:val="continue"/>
            <w:tcBorders>
              <w:top w:val="nil"/>
            </w:tcBorders>
          </w:tcPr>
          <w:p w14:paraId="30B59AD6">
            <w:pPr>
              <w:rPr>
                <w:rFonts w:ascii="宋体" w:hAnsi="宋体" w:eastAsia="宋体" w:cs="宋体"/>
                <w:color w:val="auto"/>
              </w:rPr>
            </w:pPr>
          </w:p>
        </w:tc>
        <w:tc>
          <w:tcPr>
            <w:tcW w:w="645" w:type="dxa"/>
            <w:vMerge w:val="continue"/>
            <w:tcBorders>
              <w:top w:val="nil"/>
            </w:tcBorders>
          </w:tcPr>
          <w:p w14:paraId="4201E154">
            <w:pPr>
              <w:rPr>
                <w:rFonts w:ascii="宋体" w:hAnsi="宋体" w:eastAsia="宋体" w:cs="宋体"/>
                <w:color w:val="auto"/>
              </w:rPr>
            </w:pPr>
          </w:p>
        </w:tc>
        <w:tc>
          <w:tcPr>
            <w:tcW w:w="903" w:type="dxa"/>
            <w:vMerge w:val="continue"/>
            <w:tcBorders>
              <w:top w:val="nil"/>
            </w:tcBorders>
          </w:tcPr>
          <w:p w14:paraId="5D2E2855">
            <w:pPr>
              <w:rPr>
                <w:rFonts w:ascii="宋体" w:hAnsi="宋体" w:eastAsia="宋体" w:cs="宋体"/>
                <w:color w:val="auto"/>
              </w:rPr>
            </w:pPr>
          </w:p>
        </w:tc>
        <w:tc>
          <w:tcPr>
            <w:tcW w:w="929" w:type="dxa"/>
          </w:tcPr>
          <w:p w14:paraId="4ECE3665">
            <w:pPr>
              <w:pStyle w:val="49"/>
              <w:spacing w:before="72" w:line="218" w:lineRule="auto"/>
              <w:ind w:left="224"/>
              <w:rPr>
                <w:color w:val="auto"/>
                <w:spacing w:val="-3"/>
                <w:sz w:val="24"/>
                <w:szCs w:val="24"/>
              </w:rPr>
            </w:pPr>
            <w:r>
              <w:rPr>
                <w:rFonts w:hint="eastAsia"/>
                <w:color w:val="auto"/>
                <w:spacing w:val="-3"/>
                <w:sz w:val="24"/>
                <w:szCs w:val="24"/>
              </w:rPr>
              <w:t>单</w:t>
            </w:r>
          </w:p>
          <w:p w14:paraId="5809A1A6">
            <w:pPr>
              <w:pStyle w:val="49"/>
              <w:spacing w:before="72" w:line="218" w:lineRule="auto"/>
              <w:ind w:left="224"/>
              <w:rPr>
                <w:color w:val="auto"/>
                <w:sz w:val="24"/>
                <w:szCs w:val="24"/>
              </w:rPr>
            </w:pPr>
            <w:r>
              <w:rPr>
                <w:rFonts w:hint="eastAsia"/>
                <w:color w:val="auto"/>
                <w:spacing w:val="-3"/>
                <w:sz w:val="24"/>
                <w:szCs w:val="24"/>
              </w:rPr>
              <w:t>价</w:t>
            </w:r>
          </w:p>
        </w:tc>
        <w:tc>
          <w:tcPr>
            <w:tcW w:w="783" w:type="dxa"/>
          </w:tcPr>
          <w:p w14:paraId="048B38CC">
            <w:pPr>
              <w:pStyle w:val="49"/>
              <w:spacing w:before="39"/>
              <w:ind w:left="134" w:right="123"/>
              <w:jc w:val="both"/>
              <w:rPr>
                <w:color w:val="auto"/>
                <w:sz w:val="24"/>
                <w:szCs w:val="24"/>
              </w:rPr>
            </w:pPr>
            <w:r>
              <w:rPr>
                <w:rFonts w:hint="eastAsia"/>
                <w:color w:val="auto"/>
                <w:spacing w:val="-2"/>
                <w:sz w:val="24"/>
                <w:szCs w:val="24"/>
                <w:lang w:eastAsia="zh-CN"/>
              </w:rPr>
              <w:t>发票票面</w:t>
            </w:r>
            <w:r>
              <w:rPr>
                <w:rFonts w:hint="eastAsia"/>
                <w:color w:val="auto"/>
                <w:spacing w:val="-2"/>
                <w:sz w:val="24"/>
                <w:szCs w:val="24"/>
              </w:rPr>
              <w:t>税率</w:t>
            </w:r>
          </w:p>
        </w:tc>
        <w:tc>
          <w:tcPr>
            <w:tcW w:w="743" w:type="dxa"/>
          </w:tcPr>
          <w:p w14:paraId="6C0E9544">
            <w:pPr>
              <w:spacing w:line="277" w:lineRule="auto"/>
              <w:rPr>
                <w:rFonts w:ascii="宋体" w:hAnsi="宋体" w:eastAsia="宋体" w:cs="宋体"/>
                <w:color w:val="auto"/>
              </w:rPr>
            </w:pPr>
          </w:p>
          <w:p w14:paraId="06814386">
            <w:pPr>
              <w:pStyle w:val="49"/>
              <w:spacing w:before="71" w:line="219" w:lineRule="auto"/>
              <w:jc w:val="center"/>
              <w:rPr>
                <w:color w:val="auto"/>
                <w:sz w:val="24"/>
                <w:szCs w:val="24"/>
              </w:rPr>
            </w:pPr>
            <w:r>
              <w:rPr>
                <w:rFonts w:hint="eastAsia"/>
                <w:color w:val="auto"/>
                <w:spacing w:val="-2"/>
                <w:sz w:val="24"/>
                <w:szCs w:val="24"/>
              </w:rPr>
              <w:t>税额</w:t>
            </w:r>
          </w:p>
        </w:tc>
        <w:tc>
          <w:tcPr>
            <w:tcW w:w="863" w:type="dxa"/>
          </w:tcPr>
          <w:p w14:paraId="28081BDC">
            <w:pPr>
              <w:pStyle w:val="49"/>
              <w:spacing w:before="187" w:line="259" w:lineRule="auto"/>
              <w:ind w:left="147" w:right="161"/>
              <w:rPr>
                <w:color w:val="auto"/>
                <w:sz w:val="24"/>
                <w:szCs w:val="24"/>
              </w:rPr>
            </w:pPr>
            <w:r>
              <w:rPr>
                <w:rFonts w:hint="eastAsia"/>
                <w:color w:val="auto"/>
                <w:spacing w:val="-5"/>
                <w:sz w:val="24"/>
                <w:szCs w:val="24"/>
              </w:rPr>
              <w:t>价税</w:t>
            </w:r>
            <w:r>
              <w:rPr>
                <w:rFonts w:hint="eastAsia"/>
                <w:color w:val="auto"/>
                <w:sz w:val="24"/>
                <w:szCs w:val="24"/>
              </w:rPr>
              <w:t xml:space="preserve"> </w:t>
            </w:r>
            <w:r>
              <w:rPr>
                <w:rFonts w:hint="eastAsia"/>
                <w:color w:val="auto"/>
                <w:spacing w:val="-5"/>
                <w:sz w:val="24"/>
                <w:szCs w:val="24"/>
              </w:rPr>
              <w:t>合计</w:t>
            </w:r>
          </w:p>
        </w:tc>
        <w:tc>
          <w:tcPr>
            <w:tcW w:w="1067" w:type="dxa"/>
            <w:vMerge w:val="continue"/>
            <w:tcBorders>
              <w:top w:val="nil"/>
            </w:tcBorders>
          </w:tcPr>
          <w:p w14:paraId="5A2198E4">
            <w:pPr>
              <w:rPr>
                <w:rFonts w:ascii="宋体" w:hAnsi="宋体" w:eastAsia="宋体" w:cs="宋体"/>
                <w:color w:val="auto"/>
              </w:rPr>
            </w:pPr>
          </w:p>
        </w:tc>
        <w:tc>
          <w:tcPr>
            <w:tcW w:w="1274" w:type="dxa"/>
            <w:vMerge w:val="continue"/>
            <w:tcBorders>
              <w:top w:val="nil"/>
            </w:tcBorders>
          </w:tcPr>
          <w:p w14:paraId="55F35817">
            <w:pPr>
              <w:rPr>
                <w:rFonts w:ascii="宋体" w:hAnsi="宋体" w:eastAsia="宋体" w:cs="宋体"/>
                <w:color w:val="auto"/>
              </w:rPr>
            </w:pPr>
          </w:p>
        </w:tc>
      </w:tr>
      <w:tr w14:paraId="1386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76" w:type="dxa"/>
          </w:tcPr>
          <w:p w14:paraId="28D9D21F">
            <w:pPr>
              <w:spacing w:line="474" w:lineRule="auto"/>
              <w:rPr>
                <w:rFonts w:ascii="宋体" w:hAnsi="宋体" w:eastAsia="宋体" w:cs="宋体"/>
                <w:color w:val="auto"/>
              </w:rPr>
            </w:pPr>
          </w:p>
          <w:p w14:paraId="475EAD3A">
            <w:pPr>
              <w:pStyle w:val="49"/>
              <w:spacing w:before="71" w:line="184" w:lineRule="auto"/>
              <w:ind w:left="165"/>
              <w:rPr>
                <w:color w:val="auto"/>
                <w:sz w:val="24"/>
                <w:szCs w:val="24"/>
              </w:rPr>
            </w:pPr>
            <w:r>
              <w:rPr>
                <w:rFonts w:hint="eastAsia"/>
                <w:color w:val="auto"/>
                <w:sz w:val="24"/>
                <w:szCs w:val="24"/>
              </w:rPr>
              <w:t>1</w:t>
            </w:r>
          </w:p>
        </w:tc>
        <w:tc>
          <w:tcPr>
            <w:tcW w:w="814" w:type="dxa"/>
            <w:gridSpan w:val="2"/>
          </w:tcPr>
          <w:p w14:paraId="16286C3B">
            <w:pPr>
              <w:pStyle w:val="49"/>
              <w:spacing w:before="71" w:line="219" w:lineRule="auto"/>
              <w:jc w:val="center"/>
              <w:rPr>
                <w:color w:val="auto"/>
                <w:spacing w:val="-2"/>
                <w:sz w:val="24"/>
                <w:szCs w:val="24"/>
                <w:lang w:eastAsia="zh-CN"/>
              </w:rPr>
            </w:pPr>
          </w:p>
          <w:p w14:paraId="27CCC4F7">
            <w:pPr>
              <w:pStyle w:val="49"/>
              <w:spacing w:before="71" w:line="219" w:lineRule="auto"/>
              <w:jc w:val="center"/>
              <w:rPr>
                <w:color w:val="auto"/>
                <w:sz w:val="24"/>
                <w:szCs w:val="24"/>
                <w:lang w:eastAsia="zh-CN"/>
              </w:rPr>
            </w:pPr>
          </w:p>
        </w:tc>
        <w:tc>
          <w:tcPr>
            <w:tcW w:w="544" w:type="dxa"/>
          </w:tcPr>
          <w:p w14:paraId="75ACEDAD">
            <w:pPr>
              <w:spacing w:line="429" w:lineRule="auto"/>
              <w:rPr>
                <w:rFonts w:ascii="宋体" w:hAnsi="宋体" w:eastAsia="宋体" w:cs="宋体"/>
                <w:color w:val="auto"/>
              </w:rPr>
            </w:pPr>
          </w:p>
          <w:p w14:paraId="0626FDA9">
            <w:pPr>
              <w:pStyle w:val="49"/>
              <w:spacing w:before="72" w:line="229" w:lineRule="auto"/>
              <w:ind w:left="170"/>
              <w:rPr>
                <w:color w:val="auto"/>
                <w:sz w:val="24"/>
                <w:szCs w:val="24"/>
              </w:rPr>
            </w:pPr>
          </w:p>
        </w:tc>
        <w:tc>
          <w:tcPr>
            <w:tcW w:w="709" w:type="dxa"/>
          </w:tcPr>
          <w:p w14:paraId="20DE00F5">
            <w:pPr>
              <w:spacing w:line="422" w:lineRule="auto"/>
              <w:rPr>
                <w:rFonts w:ascii="宋体" w:hAnsi="宋体" w:eastAsia="宋体" w:cs="宋体"/>
                <w:color w:val="auto"/>
              </w:rPr>
            </w:pPr>
          </w:p>
          <w:p w14:paraId="7FD77232">
            <w:pPr>
              <w:pStyle w:val="49"/>
              <w:spacing w:before="71" w:line="221" w:lineRule="auto"/>
              <w:jc w:val="center"/>
              <w:rPr>
                <w:color w:val="auto"/>
                <w:sz w:val="24"/>
                <w:szCs w:val="24"/>
                <w:lang w:eastAsia="zh-CN"/>
              </w:rPr>
            </w:pPr>
          </w:p>
        </w:tc>
        <w:tc>
          <w:tcPr>
            <w:tcW w:w="645" w:type="dxa"/>
          </w:tcPr>
          <w:p w14:paraId="0744D50A">
            <w:pPr>
              <w:pStyle w:val="49"/>
              <w:spacing w:before="72" w:line="232" w:lineRule="auto"/>
              <w:ind w:right="144"/>
              <w:jc w:val="both"/>
              <w:rPr>
                <w:color w:val="auto"/>
                <w:sz w:val="24"/>
                <w:szCs w:val="24"/>
                <w:lang w:eastAsia="zh-CN"/>
              </w:rPr>
            </w:pPr>
          </w:p>
          <w:p w14:paraId="76AD9142">
            <w:pPr>
              <w:pStyle w:val="49"/>
              <w:spacing w:before="72" w:line="232" w:lineRule="auto"/>
              <w:ind w:right="144"/>
              <w:jc w:val="center"/>
              <w:rPr>
                <w:color w:val="auto"/>
                <w:sz w:val="24"/>
                <w:szCs w:val="24"/>
                <w:lang w:eastAsia="zh-CN"/>
              </w:rPr>
            </w:pPr>
          </w:p>
        </w:tc>
        <w:tc>
          <w:tcPr>
            <w:tcW w:w="903" w:type="dxa"/>
          </w:tcPr>
          <w:p w14:paraId="7BAA8CC1">
            <w:pPr>
              <w:pStyle w:val="49"/>
              <w:spacing w:before="111" w:line="215" w:lineRule="auto"/>
              <w:ind w:right="120"/>
              <w:rPr>
                <w:color w:val="auto"/>
                <w:sz w:val="24"/>
                <w:szCs w:val="24"/>
              </w:rPr>
            </w:pPr>
          </w:p>
        </w:tc>
        <w:tc>
          <w:tcPr>
            <w:tcW w:w="929" w:type="dxa"/>
          </w:tcPr>
          <w:p w14:paraId="58E6CB03">
            <w:pPr>
              <w:spacing w:line="474" w:lineRule="auto"/>
              <w:jc w:val="both"/>
              <w:rPr>
                <w:rFonts w:ascii="宋体" w:hAnsi="宋体" w:eastAsia="宋体" w:cs="宋体"/>
                <w:color w:val="auto"/>
              </w:rPr>
            </w:pPr>
          </w:p>
          <w:p w14:paraId="29071885">
            <w:pPr>
              <w:pStyle w:val="49"/>
              <w:spacing w:before="71" w:line="184" w:lineRule="auto"/>
              <w:jc w:val="center"/>
              <w:rPr>
                <w:color w:val="auto"/>
                <w:sz w:val="24"/>
                <w:szCs w:val="24"/>
                <w:lang w:eastAsia="zh-CN"/>
              </w:rPr>
            </w:pPr>
          </w:p>
        </w:tc>
        <w:tc>
          <w:tcPr>
            <w:tcW w:w="783" w:type="dxa"/>
          </w:tcPr>
          <w:p w14:paraId="10446569">
            <w:pPr>
              <w:spacing w:line="474" w:lineRule="auto"/>
              <w:jc w:val="both"/>
              <w:rPr>
                <w:rFonts w:ascii="宋体" w:hAnsi="宋体" w:eastAsia="宋体" w:cs="宋体"/>
                <w:color w:val="auto"/>
              </w:rPr>
            </w:pPr>
          </w:p>
          <w:p w14:paraId="2AF31E60">
            <w:pPr>
              <w:pStyle w:val="49"/>
              <w:spacing w:before="71" w:line="184" w:lineRule="auto"/>
              <w:ind w:left="185"/>
              <w:jc w:val="both"/>
              <w:rPr>
                <w:color w:val="auto"/>
                <w:sz w:val="24"/>
                <w:szCs w:val="24"/>
              </w:rPr>
            </w:pPr>
          </w:p>
        </w:tc>
        <w:tc>
          <w:tcPr>
            <w:tcW w:w="743" w:type="dxa"/>
          </w:tcPr>
          <w:p w14:paraId="4BE10950">
            <w:pPr>
              <w:spacing w:line="474" w:lineRule="auto"/>
              <w:jc w:val="both"/>
              <w:rPr>
                <w:rFonts w:ascii="宋体" w:hAnsi="宋体" w:eastAsia="宋体" w:cs="宋体"/>
                <w:color w:val="auto"/>
              </w:rPr>
            </w:pPr>
          </w:p>
          <w:p w14:paraId="132F23FF">
            <w:pPr>
              <w:pStyle w:val="49"/>
              <w:spacing w:before="71" w:line="184" w:lineRule="auto"/>
              <w:jc w:val="center"/>
              <w:rPr>
                <w:color w:val="auto"/>
                <w:sz w:val="24"/>
                <w:szCs w:val="24"/>
                <w:lang w:eastAsia="zh-CN"/>
              </w:rPr>
            </w:pPr>
          </w:p>
        </w:tc>
        <w:tc>
          <w:tcPr>
            <w:tcW w:w="863" w:type="dxa"/>
          </w:tcPr>
          <w:p w14:paraId="1284B0A0">
            <w:pPr>
              <w:spacing w:line="474" w:lineRule="auto"/>
              <w:jc w:val="both"/>
              <w:rPr>
                <w:rFonts w:ascii="宋体" w:hAnsi="宋体" w:eastAsia="宋体" w:cs="宋体"/>
                <w:color w:val="auto"/>
              </w:rPr>
            </w:pPr>
          </w:p>
          <w:p w14:paraId="0778AC71">
            <w:pPr>
              <w:pStyle w:val="49"/>
              <w:spacing w:before="71" w:line="184" w:lineRule="auto"/>
              <w:ind w:left="207"/>
              <w:jc w:val="both"/>
              <w:rPr>
                <w:color w:val="auto"/>
                <w:sz w:val="24"/>
                <w:szCs w:val="24"/>
              </w:rPr>
            </w:pPr>
          </w:p>
        </w:tc>
        <w:tc>
          <w:tcPr>
            <w:tcW w:w="1067" w:type="dxa"/>
          </w:tcPr>
          <w:p w14:paraId="3B7C1503">
            <w:pPr>
              <w:spacing w:line="474" w:lineRule="auto"/>
              <w:jc w:val="both"/>
              <w:rPr>
                <w:rFonts w:ascii="宋体" w:hAnsi="宋体" w:eastAsia="宋体" w:cs="宋体"/>
                <w:color w:val="auto"/>
              </w:rPr>
            </w:pPr>
          </w:p>
          <w:p w14:paraId="223EE324">
            <w:pPr>
              <w:pStyle w:val="49"/>
              <w:spacing w:before="71" w:line="184" w:lineRule="auto"/>
              <w:ind w:left="108"/>
              <w:jc w:val="both"/>
              <w:rPr>
                <w:color w:val="auto"/>
                <w:sz w:val="24"/>
                <w:szCs w:val="24"/>
              </w:rPr>
            </w:pPr>
          </w:p>
        </w:tc>
        <w:tc>
          <w:tcPr>
            <w:tcW w:w="1274" w:type="dxa"/>
          </w:tcPr>
          <w:p w14:paraId="619CA7C1">
            <w:pPr>
              <w:spacing w:line="288" w:lineRule="auto"/>
              <w:rPr>
                <w:rFonts w:ascii="宋体" w:hAnsi="宋体" w:eastAsia="宋体" w:cs="宋体"/>
                <w:color w:val="auto"/>
              </w:rPr>
            </w:pPr>
          </w:p>
          <w:p w14:paraId="51DC827C">
            <w:pPr>
              <w:pStyle w:val="49"/>
              <w:spacing w:before="30" w:line="220" w:lineRule="auto"/>
              <w:ind w:left="188"/>
              <w:rPr>
                <w:color w:val="auto"/>
                <w:sz w:val="24"/>
                <w:szCs w:val="24"/>
              </w:rPr>
            </w:pPr>
          </w:p>
        </w:tc>
      </w:tr>
      <w:tr w14:paraId="65DB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34" w:type="dxa"/>
            <w:gridSpan w:val="4"/>
          </w:tcPr>
          <w:p w14:paraId="31B62ADE">
            <w:pPr>
              <w:pStyle w:val="49"/>
              <w:spacing w:before="114" w:line="219" w:lineRule="auto"/>
              <w:jc w:val="right"/>
              <w:rPr>
                <w:color w:val="auto"/>
                <w:sz w:val="24"/>
                <w:szCs w:val="24"/>
              </w:rPr>
            </w:pPr>
            <w:r>
              <w:rPr>
                <w:rFonts w:hint="eastAsia"/>
                <w:color w:val="auto"/>
                <w:spacing w:val="5"/>
                <w:sz w:val="24"/>
                <w:szCs w:val="24"/>
              </w:rPr>
              <w:t>金额合计(人民币)</w:t>
            </w:r>
          </w:p>
        </w:tc>
        <w:tc>
          <w:tcPr>
            <w:tcW w:w="2257" w:type="dxa"/>
            <w:gridSpan w:val="3"/>
          </w:tcPr>
          <w:p w14:paraId="34975FD0">
            <w:pPr>
              <w:pStyle w:val="49"/>
              <w:spacing w:before="116" w:line="220" w:lineRule="auto"/>
              <w:ind w:left="800"/>
              <w:rPr>
                <w:color w:val="auto"/>
                <w:sz w:val="24"/>
                <w:szCs w:val="24"/>
                <w:lang w:eastAsia="zh-CN"/>
              </w:rPr>
            </w:pPr>
          </w:p>
        </w:tc>
        <w:tc>
          <w:tcPr>
            <w:tcW w:w="3318" w:type="dxa"/>
            <w:gridSpan w:val="4"/>
          </w:tcPr>
          <w:p w14:paraId="2E438E3F">
            <w:pPr>
              <w:pStyle w:val="49"/>
              <w:spacing w:before="116" w:line="219" w:lineRule="auto"/>
              <w:ind w:left="943"/>
              <w:rPr>
                <w:color w:val="auto"/>
                <w:sz w:val="24"/>
                <w:szCs w:val="24"/>
                <w:lang w:eastAsia="zh-CN"/>
              </w:rPr>
            </w:pPr>
            <w:r>
              <w:rPr>
                <w:rFonts w:hint="eastAsia"/>
                <w:color w:val="auto"/>
                <w:sz w:val="24"/>
                <w:szCs w:val="24"/>
                <w:lang w:eastAsia="zh-CN"/>
              </w:rPr>
              <w:t>大写：</w:t>
            </w:r>
          </w:p>
        </w:tc>
        <w:tc>
          <w:tcPr>
            <w:tcW w:w="2341" w:type="dxa"/>
            <w:gridSpan w:val="2"/>
          </w:tcPr>
          <w:p w14:paraId="70B4DF00">
            <w:pPr>
              <w:pStyle w:val="49"/>
              <w:spacing w:before="171" w:line="184" w:lineRule="auto"/>
              <w:jc w:val="center"/>
              <w:rPr>
                <w:color w:val="auto"/>
                <w:sz w:val="24"/>
                <w:szCs w:val="24"/>
              </w:rPr>
            </w:pPr>
          </w:p>
        </w:tc>
      </w:tr>
      <w:tr w14:paraId="0460E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55" w:type="dxa"/>
            <w:gridSpan w:val="2"/>
          </w:tcPr>
          <w:p w14:paraId="4234CD81">
            <w:pPr>
              <w:jc w:val="center"/>
              <w:rPr>
                <w:rFonts w:ascii="宋体" w:hAnsi="宋体" w:eastAsia="宋体" w:cs="宋体"/>
                <w:color w:val="auto"/>
              </w:rPr>
            </w:pPr>
          </w:p>
          <w:p w14:paraId="7EBC9A70">
            <w:pPr>
              <w:jc w:val="center"/>
              <w:rPr>
                <w:rFonts w:ascii="宋体" w:hAnsi="宋体" w:eastAsia="宋体" w:cs="宋体"/>
                <w:color w:val="auto"/>
              </w:rPr>
            </w:pPr>
            <w:r>
              <w:rPr>
                <w:rFonts w:hint="eastAsia" w:ascii="宋体" w:hAnsi="宋体" w:eastAsia="宋体" w:cs="宋体"/>
                <w:color w:val="auto"/>
              </w:rPr>
              <w:t>备注：</w:t>
            </w:r>
          </w:p>
        </w:tc>
        <w:tc>
          <w:tcPr>
            <w:tcW w:w="9095" w:type="dxa"/>
            <w:gridSpan w:val="11"/>
          </w:tcPr>
          <w:p w14:paraId="247DACF5">
            <w:pPr>
              <w:pStyle w:val="49"/>
              <w:spacing w:before="65" w:line="218" w:lineRule="auto"/>
              <w:rPr>
                <w:color w:val="auto"/>
                <w:sz w:val="24"/>
                <w:szCs w:val="24"/>
                <w:lang w:eastAsia="zh-CN"/>
              </w:rPr>
            </w:pPr>
            <w:r>
              <w:rPr>
                <w:rFonts w:hint="eastAsia"/>
                <w:color w:val="auto"/>
                <w:sz w:val="24"/>
                <w:szCs w:val="24"/>
                <w:lang w:eastAsia="zh-CN"/>
              </w:rPr>
              <w:t>本合同单价为价税合计单价，含13%的增值税专用发票，含运费、装卸</w:t>
            </w:r>
            <w:r>
              <w:rPr>
                <w:rFonts w:hint="eastAsia"/>
                <w:color w:val="auto"/>
                <w:spacing w:val="-1"/>
                <w:sz w:val="24"/>
                <w:szCs w:val="24"/>
                <w:lang w:eastAsia="zh-CN"/>
              </w:rPr>
              <w:t>费，</w:t>
            </w:r>
            <w:r>
              <w:rPr>
                <w:rFonts w:hint="eastAsia"/>
                <w:color w:val="auto"/>
                <w:sz w:val="24"/>
                <w:szCs w:val="24"/>
                <w:lang w:eastAsia="zh-CN"/>
              </w:rPr>
              <w:t>最终按照甲方项目地实际签收数量结算。</w:t>
            </w:r>
          </w:p>
        </w:tc>
      </w:tr>
    </w:tbl>
    <w:p w14:paraId="147C8E1A">
      <w:pPr>
        <w:widowControl/>
        <w:kinsoku w:val="0"/>
        <w:autoSpaceDE w:val="0"/>
        <w:autoSpaceDN w:val="0"/>
        <w:adjustRightInd w:val="0"/>
        <w:snapToGrid w:val="0"/>
        <w:spacing w:before="115"/>
        <w:textAlignment w:val="baseline"/>
        <w:rPr>
          <w:rFonts w:ascii="宋体" w:hAnsi="宋体" w:eastAsia="宋体" w:cs="宋体"/>
          <w:b/>
          <w:bCs/>
          <w:color w:val="auto"/>
          <w:spacing w:val="-12"/>
          <w:lang w:eastAsia="zh-CN"/>
        </w:rPr>
      </w:pPr>
    </w:p>
    <w:p w14:paraId="0964263C">
      <w:pPr>
        <w:widowControl/>
        <w:kinsoku w:val="0"/>
        <w:autoSpaceDE w:val="0"/>
        <w:autoSpaceDN w:val="0"/>
        <w:adjustRightInd w:val="0"/>
        <w:snapToGrid w:val="0"/>
        <w:spacing w:before="115"/>
        <w:textAlignment w:val="baseline"/>
        <w:rPr>
          <w:rFonts w:ascii="宋体" w:hAnsi="宋体" w:eastAsia="宋体" w:cs="宋体"/>
          <w:b/>
          <w:bCs/>
          <w:color w:val="auto"/>
          <w:spacing w:val="-12"/>
          <w:lang w:eastAsia="zh-CN"/>
        </w:rPr>
      </w:pPr>
      <w:r>
        <w:rPr>
          <w:rFonts w:hint="eastAsia" w:ascii="宋体" w:hAnsi="宋体" w:eastAsia="宋体" w:cs="宋体"/>
          <w:b/>
          <w:bCs/>
          <w:color w:val="auto"/>
          <w:spacing w:val="-12"/>
          <w:lang w:eastAsia="zh-CN"/>
        </w:rPr>
        <w:t>第二条 材料交货地点、供货期限</w:t>
      </w:r>
    </w:p>
    <w:p w14:paraId="621B7468">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1.交货地址：</w:t>
      </w:r>
      <w:r>
        <w:rPr>
          <w:rFonts w:hint="eastAsia" w:ascii="宋体" w:hAnsi="宋体" w:eastAsia="宋体" w:cs="宋体"/>
          <w:color w:val="auto"/>
          <w:spacing w:val="-5"/>
          <w:position w:val="12"/>
          <w:u w:val="single"/>
          <w:lang w:eastAsia="zh-CN"/>
        </w:rPr>
        <w:t xml:space="preserve">                               </w:t>
      </w:r>
    </w:p>
    <w:p w14:paraId="524DA4DA">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2.供货时间：</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lang w:eastAsia="zh-CN"/>
        </w:rPr>
        <w:t>年</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lang w:eastAsia="zh-CN"/>
        </w:rPr>
        <w:t>月</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lang w:eastAsia="zh-CN"/>
        </w:rPr>
        <w:t>日起至项目完工。</w:t>
      </w:r>
    </w:p>
    <w:p w14:paraId="07BA2EB1">
      <w:pPr>
        <w:widowControl/>
        <w:ind w:firstLine="460" w:firstLineChars="200"/>
        <w:jc w:val="both"/>
        <w:rPr>
          <w:rFonts w:ascii="宋体" w:hAnsi="宋体" w:eastAsia="宋体" w:cs="宋体"/>
          <w:b/>
          <w:bCs/>
          <w:color w:val="auto"/>
          <w:spacing w:val="-5"/>
          <w:position w:val="12"/>
          <w:lang w:eastAsia="zh-CN"/>
        </w:rPr>
      </w:pPr>
      <w:bookmarkStart w:id="447" w:name="_Hlk201689029"/>
      <w:r>
        <w:rPr>
          <w:rFonts w:hint="eastAsia" w:ascii="宋体" w:hAnsi="宋体" w:eastAsia="宋体" w:cs="宋体"/>
          <w:color w:val="auto"/>
          <w:spacing w:val="-5"/>
          <w:position w:val="12"/>
          <w:lang w:eastAsia="zh-CN"/>
        </w:rPr>
        <w:t>3.收货方式：材料送到</w:t>
      </w:r>
      <w:r>
        <w:rPr>
          <w:rFonts w:hint="eastAsia" w:ascii="宋体" w:hAnsi="宋体" w:eastAsia="宋体" w:cs="宋体"/>
          <w:color w:val="auto"/>
          <w:spacing w:val="-5"/>
          <w:position w:val="12"/>
          <w:u w:val="single"/>
          <w:lang w:eastAsia="zh-CN"/>
        </w:rPr>
        <w:t xml:space="preserve"> 项目指定地点</w:t>
      </w:r>
      <w:r>
        <w:rPr>
          <w:rFonts w:hint="eastAsia" w:ascii="宋体" w:hAnsi="宋体" w:eastAsia="宋体" w:cs="宋体"/>
          <w:color w:val="auto"/>
          <w:spacing w:val="-5"/>
          <w:position w:val="12"/>
          <w:lang w:eastAsia="zh-CN"/>
        </w:rPr>
        <w:t>，甲方会指定专人代表在收货地点进行检验及签收，货物数量最终按照甲方项目地实际签收数量结算。货物损耗计算方法：乙方必须加大运输管理，确保货物损耗不超过5%，超出的货损、货差由乙方承担全额赔偿。</w:t>
      </w:r>
      <w:r>
        <w:rPr>
          <w:rFonts w:ascii="宋体" w:hAnsi="宋体" w:eastAsia="宋体" w:cs="宋体"/>
          <w:b/>
          <w:bCs/>
          <w:color w:val="auto"/>
          <w:spacing w:val="-5"/>
          <w:position w:val="12"/>
          <w:lang w:eastAsia="zh-CN"/>
        </w:rPr>
        <w:t>若连续两次发生超出货损情形，项目部将启动乙方全车型运输方量核定程序，核定结果将作为全新基准执行：1</w:t>
      </w:r>
      <w:r>
        <w:rPr>
          <w:rFonts w:hint="eastAsia" w:ascii="宋体" w:hAnsi="宋体" w:eastAsia="宋体" w:cs="宋体"/>
          <w:b/>
          <w:bCs/>
          <w:color w:val="auto"/>
          <w:spacing w:val="-5"/>
          <w:position w:val="12"/>
          <w:lang w:eastAsia="zh-CN"/>
        </w:rPr>
        <w:t>）</w:t>
      </w:r>
      <w:r>
        <w:rPr>
          <w:rFonts w:ascii="宋体" w:hAnsi="宋体" w:eastAsia="宋体" w:cs="宋体"/>
          <w:b/>
          <w:bCs/>
          <w:color w:val="auto"/>
          <w:spacing w:val="-5"/>
          <w:position w:val="12"/>
          <w:lang w:eastAsia="zh-CN"/>
        </w:rPr>
        <w:t>追溯调整全部历史运输数据至最新标准；</w:t>
      </w:r>
      <w:r>
        <w:rPr>
          <w:rFonts w:hint="eastAsia" w:ascii="宋体" w:hAnsi="宋体" w:eastAsia="宋体" w:cs="宋体"/>
          <w:b/>
          <w:bCs/>
          <w:color w:val="auto"/>
          <w:spacing w:val="-5"/>
          <w:position w:val="12"/>
          <w:lang w:eastAsia="zh-CN"/>
        </w:rPr>
        <w:t>2）</w:t>
      </w:r>
      <w:r>
        <w:rPr>
          <w:rFonts w:ascii="宋体" w:hAnsi="宋体" w:eastAsia="宋体" w:cs="宋体"/>
          <w:b/>
          <w:bCs/>
          <w:color w:val="auto"/>
          <w:spacing w:val="-5"/>
          <w:position w:val="12"/>
          <w:lang w:eastAsia="zh-CN"/>
        </w:rPr>
        <w:t>后续运输均按此核定方量执行。若核定后仍出现超损，须立即重新核定方量，并按照最新核定的最低允许方量标准进行动态调整。</w:t>
      </w:r>
    </w:p>
    <w:bookmarkEnd w:id="447"/>
    <w:p w14:paraId="0C9DFA92">
      <w:pPr>
        <w:widowControl/>
        <w:ind w:firstLine="460" w:firstLineChars="200"/>
        <w:jc w:val="both"/>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4.供货时限：乙方接收到送货计划书后需及时回馈并开展供货工作，供货时限为</w:t>
      </w:r>
      <w:r>
        <w:rPr>
          <w:rFonts w:hint="eastAsia" w:ascii="宋体" w:hAnsi="宋体" w:eastAsia="宋体" w:cs="宋体"/>
          <w:color w:val="auto"/>
          <w:spacing w:val="-5"/>
          <w:position w:val="12"/>
          <w:lang w:val="en-US" w:eastAsia="zh-CN"/>
        </w:rPr>
        <w:t>接到订单4小时内送达项目现场</w:t>
      </w:r>
      <w:r>
        <w:rPr>
          <w:rFonts w:hint="eastAsia" w:ascii="宋体" w:hAnsi="宋体" w:eastAsia="宋体" w:cs="宋体"/>
          <w:color w:val="auto"/>
          <w:spacing w:val="-5"/>
          <w:position w:val="12"/>
          <w:lang w:eastAsia="zh-CN"/>
        </w:rPr>
        <w:t>，逾期</w:t>
      </w:r>
      <w:r>
        <w:rPr>
          <w:rFonts w:hint="eastAsia" w:ascii="宋体" w:hAnsi="宋体" w:eastAsia="宋体" w:cs="宋体"/>
          <w:color w:val="auto"/>
          <w:spacing w:val="-5"/>
          <w:position w:val="12"/>
          <w:lang w:val="en-US" w:eastAsia="zh-CN"/>
        </w:rPr>
        <w:t>未送达</w:t>
      </w:r>
      <w:r>
        <w:rPr>
          <w:rFonts w:hint="eastAsia" w:ascii="宋体" w:hAnsi="宋体" w:eastAsia="宋体" w:cs="宋体"/>
          <w:color w:val="auto"/>
          <w:spacing w:val="-5"/>
          <w:position w:val="12"/>
          <w:lang w:eastAsia="zh-CN"/>
        </w:rPr>
        <w:t>造成的工程经济损失由乙方承担，同时甲方将按批次货物金额及逾期天数扣除乙方履约保证金。</w:t>
      </w:r>
    </w:p>
    <w:p w14:paraId="23A26458">
      <w:pPr>
        <w:widowControl/>
        <w:kinsoku w:val="0"/>
        <w:autoSpaceDE w:val="0"/>
        <w:autoSpaceDN w:val="0"/>
        <w:adjustRightInd w:val="0"/>
        <w:snapToGrid w:val="0"/>
        <w:spacing w:before="117"/>
        <w:textAlignment w:val="baseline"/>
        <w:rPr>
          <w:rFonts w:ascii="宋体" w:hAnsi="宋体" w:eastAsia="宋体" w:cs="宋体"/>
          <w:b/>
          <w:bCs/>
          <w:color w:val="auto"/>
          <w:spacing w:val="-12"/>
          <w:lang w:eastAsia="zh-CN"/>
        </w:rPr>
      </w:pPr>
      <w:r>
        <w:rPr>
          <w:rFonts w:hint="eastAsia" w:ascii="宋体" w:hAnsi="宋体" w:eastAsia="宋体" w:cs="宋体"/>
          <w:b/>
          <w:bCs/>
          <w:color w:val="auto"/>
          <w:spacing w:val="-12"/>
          <w:lang w:eastAsia="zh-CN"/>
        </w:rPr>
        <w:t>第三条 结算和货款支付条款</w:t>
      </w:r>
    </w:p>
    <w:p w14:paraId="27F04B61">
      <w:pPr>
        <w:widowControl/>
        <w:kinsoku w:val="0"/>
        <w:autoSpaceDE w:val="0"/>
        <w:autoSpaceDN w:val="0"/>
        <w:adjustRightInd w:val="0"/>
        <w:snapToGrid w:val="0"/>
        <w:spacing w:before="115" w:line="360" w:lineRule="auto"/>
        <w:ind w:firstLine="48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lang w:eastAsia="zh-CN"/>
        </w:rPr>
        <w:t>1.结算方式：现金/银行承兑结算，每月的21日至次月的20日为双方对账时间。双方自签署签收单后双方对账后，乙方凭开具的13%的全额增值税专用发票给甲方，甲方在收到有效发票后10个工作日内支付当期货款。乙方全权承担因中标人开具的税务发票所造成的税务风险责任。</w:t>
      </w:r>
    </w:p>
    <w:p w14:paraId="48887FAF">
      <w:pPr>
        <w:widowControl/>
        <w:kinsoku w:val="0"/>
        <w:autoSpaceDE w:val="0"/>
        <w:autoSpaceDN w:val="0"/>
        <w:adjustRightInd w:val="0"/>
        <w:snapToGrid w:val="0"/>
        <w:spacing w:before="115"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2.付款方式：</w:t>
      </w:r>
    </w:p>
    <w:p w14:paraId="3797464D">
      <w:pPr>
        <w:widowControl/>
        <w:kinsoku w:val="0"/>
        <w:autoSpaceDE w:val="0"/>
        <w:autoSpaceDN w:val="0"/>
        <w:adjustRightInd w:val="0"/>
        <w:snapToGrid w:val="0"/>
        <w:spacing w:before="115"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3.乙方提供增值税专用发票应遵守如下条款：</w:t>
      </w:r>
    </w:p>
    <w:p w14:paraId="4170B6C3">
      <w:pPr>
        <w:widowControl/>
        <w:kinsoku w:val="0"/>
        <w:autoSpaceDE w:val="0"/>
        <w:autoSpaceDN w:val="0"/>
        <w:adjustRightInd w:val="0"/>
        <w:snapToGrid w:val="0"/>
        <w:spacing w:before="115"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(1)乙方必须开具税率为13%、货物或应税劳务、服务名称为</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lang w:eastAsia="zh-CN"/>
        </w:rPr>
        <w:t>，增值税发票须与甲方财务部门办理交接手续，否则，视为未提供增值税专用发票 。</w:t>
      </w:r>
    </w:p>
    <w:p w14:paraId="1C2038EC">
      <w:pPr>
        <w:widowControl/>
        <w:kinsoku w:val="0"/>
        <w:autoSpaceDE w:val="0"/>
        <w:autoSpaceDN w:val="0"/>
        <w:adjustRightInd w:val="0"/>
        <w:snapToGrid w:val="0"/>
        <w:spacing w:before="115"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(2)乙方开具虚假、作废等无效发票或者违反国家法律法规开具、提供发票的， 应承担无效发票总额的</w:t>
      </w:r>
      <w:r>
        <w:rPr>
          <w:rFonts w:hint="eastAsia" w:ascii="宋体" w:hAnsi="宋体" w:eastAsia="宋体" w:cs="宋体"/>
          <w:color w:val="auto"/>
          <w:spacing w:val="-5"/>
          <w:position w:val="12"/>
          <w:u w:val="single"/>
          <w:lang w:eastAsia="zh-CN"/>
        </w:rPr>
        <w:t>13%</w:t>
      </w:r>
      <w:r>
        <w:rPr>
          <w:rFonts w:hint="eastAsia" w:ascii="宋体" w:hAnsi="宋体" w:eastAsia="宋体" w:cs="宋体"/>
          <w:color w:val="auto"/>
          <w:spacing w:val="-5"/>
          <w:position w:val="12"/>
          <w:lang w:eastAsia="zh-CN"/>
        </w:rPr>
        <w:t>的违约金，且甲方有权解除合同。</w:t>
      </w:r>
    </w:p>
    <w:p w14:paraId="1B3486A9">
      <w:pPr>
        <w:widowControl/>
        <w:kinsoku w:val="0"/>
        <w:autoSpaceDE w:val="0"/>
        <w:autoSpaceDN w:val="0"/>
        <w:adjustRightInd w:val="0"/>
        <w:snapToGrid w:val="0"/>
        <w:spacing w:before="115"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(3)若甲方丢失增值税发票联和抵扣联，乙方应向甲方提供发票记账联复印件 及税务机关出具的《丢失增值税专用发票已报税证明单》。</w:t>
      </w:r>
    </w:p>
    <w:p w14:paraId="491EBB77">
      <w:pPr>
        <w:widowControl/>
        <w:kinsoku w:val="0"/>
        <w:autoSpaceDE w:val="0"/>
        <w:autoSpaceDN w:val="0"/>
        <w:adjustRightInd w:val="0"/>
        <w:snapToGrid w:val="0"/>
        <w:spacing w:before="115"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4.增值税专用发票开票信息与收款信息：</w:t>
      </w:r>
    </w:p>
    <w:p w14:paraId="3B0A954E">
      <w:pPr>
        <w:widowControl/>
        <w:kinsoku w:val="0"/>
        <w:autoSpaceDE w:val="0"/>
        <w:autoSpaceDN w:val="0"/>
        <w:adjustRightInd w:val="0"/>
        <w:snapToGrid w:val="0"/>
        <w:spacing w:before="117"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单位名称：抚州市国控供应链管理有限公司</w:t>
      </w:r>
    </w:p>
    <w:p w14:paraId="200E9958">
      <w:pPr>
        <w:widowControl/>
        <w:kinsoku w:val="0"/>
        <w:autoSpaceDE w:val="0"/>
        <w:autoSpaceDN w:val="0"/>
        <w:adjustRightInd w:val="0"/>
        <w:snapToGrid w:val="0"/>
        <w:spacing w:before="117"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地址：</w:t>
      </w:r>
    </w:p>
    <w:p w14:paraId="6B1D8DCC">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纳税识别号：</w:t>
      </w:r>
    </w:p>
    <w:p w14:paraId="67D5BA3A">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电话：</w:t>
      </w:r>
    </w:p>
    <w:p w14:paraId="0D562B4D">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户名：抚州市国控供应链管理有限公司</w:t>
      </w:r>
    </w:p>
    <w:p w14:paraId="3DC7CF7C">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开户行：</w:t>
      </w:r>
    </w:p>
    <w:p w14:paraId="356FAFD3">
      <w:pPr>
        <w:widowControl/>
        <w:kinsoku w:val="0"/>
        <w:autoSpaceDE w:val="0"/>
        <w:autoSpaceDN w:val="0"/>
        <w:adjustRightInd w:val="0"/>
        <w:snapToGrid w:val="0"/>
        <w:spacing w:before="115"/>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账号：</w:t>
      </w:r>
    </w:p>
    <w:p w14:paraId="18B8FB16">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乙方收款账户信息：</w:t>
      </w:r>
    </w:p>
    <w:p w14:paraId="0B852EC5">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 xml:space="preserve">户名：                 </w:t>
      </w:r>
    </w:p>
    <w:p w14:paraId="0F6002C0">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 xml:space="preserve">开户银行                    </w:t>
      </w:r>
    </w:p>
    <w:p w14:paraId="715648A7">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 xml:space="preserve">账号：                       </w:t>
      </w:r>
    </w:p>
    <w:p w14:paraId="162E24C2">
      <w:pPr>
        <w:widowControl/>
        <w:kinsoku w:val="0"/>
        <w:autoSpaceDE w:val="0"/>
        <w:autoSpaceDN w:val="0"/>
        <w:adjustRightInd w:val="0"/>
        <w:snapToGrid w:val="0"/>
        <w:spacing w:before="115"/>
        <w:textAlignment w:val="baseline"/>
        <w:rPr>
          <w:rFonts w:ascii="宋体" w:hAnsi="宋体" w:eastAsia="宋体" w:cs="宋体"/>
          <w:b/>
          <w:bCs/>
          <w:color w:val="auto"/>
          <w:spacing w:val="-12"/>
          <w:lang w:eastAsia="zh-CN"/>
        </w:rPr>
      </w:pPr>
      <w:r>
        <w:rPr>
          <w:rFonts w:hint="eastAsia" w:ascii="宋体" w:hAnsi="宋体" w:eastAsia="宋体" w:cs="宋体"/>
          <w:b/>
          <w:bCs/>
          <w:color w:val="auto"/>
          <w:spacing w:val="-12"/>
          <w:lang w:eastAsia="zh-CN"/>
        </w:rPr>
        <w:t>第四条 履约保证金条款及逾期约定</w:t>
      </w:r>
    </w:p>
    <w:p w14:paraId="0344E426">
      <w:pPr>
        <w:widowControl/>
        <w:kinsoku w:val="0"/>
        <w:autoSpaceDE w:val="0"/>
        <w:autoSpaceDN w:val="0"/>
        <w:adjustRightInd w:val="0"/>
        <w:snapToGrid w:val="0"/>
        <w:spacing w:before="117"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甲方通知乙方中标后，乙方需在3个工作日内，向甲方指定账户支付</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u w:val="single"/>
          <w:lang w:val="en-US" w:eastAsia="zh-CN"/>
        </w:rPr>
        <w:t>20</w:t>
      </w:r>
      <w:r>
        <w:rPr>
          <w:rFonts w:hint="eastAsia" w:ascii="宋体" w:hAnsi="宋体" w:eastAsia="宋体" w:cs="宋体"/>
          <w:color w:val="auto"/>
          <w:spacing w:val="-5"/>
          <w:position w:val="12"/>
          <w:u w:val="single"/>
          <w:lang w:eastAsia="zh-CN"/>
        </w:rPr>
        <w:t xml:space="preserve">万 </w:t>
      </w:r>
      <w:r>
        <w:rPr>
          <w:rFonts w:hint="eastAsia" w:ascii="宋体" w:hAnsi="宋体" w:eastAsia="宋体" w:cs="宋体"/>
          <w:color w:val="auto"/>
          <w:spacing w:val="-5"/>
          <w:position w:val="12"/>
          <w:lang w:eastAsia="zh-CN"/>
        </w:rPr>
        <w:t>元人民币作为本合同履约保证金，乙方支付该履约保证金作为本合同生效的条件之一。如乙方履行完本协议内容/合同到期后，由乙方提起申请，甲方审核后30个工作日内将该履约保证金无息返还给乙方。</w:t>
      </w:r>
    </w:p>
    <w:p w14:paraId="04F125BA">
      <w:pPr>
        <w:widowControl/>
        <w:kinsoku w:val="0"/>
        <w:autoSpaceDE w:val="0"/>
        <w:autoSpaceDN w:val="0"/>
        <w:adjustRightInd w:val="0"/>
        <w:snapToGrid w:val="0"/>
        <w:spacing w:before="117"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甲方向乙方发送供货订单进行通知后，乙方造成逾期，甲方有权追究乙方供货逾期责任，乙方将承担本批次材料总金额的百分之十/每天；多次逾期（三次或逾期5天）后甲方将认为乙方不具备合作能力，解除与乙方签署的采购合同，并扣除乙方全部履约保证金。</w:t>
      </w:r>
    </w:p>
    <w:p w14:paraId="32411296">
      <w:pPr>
        <w:widowControl/>
        <w:numPr>
          <w:ilvl w:val="0"/>
          <w:numId w:val="5"/>
        </w:numPr>
        <w:kinsoku w:val="0"/>
        <w:autoSpaceDE w:val="0"/>
        <w:autoSpaceDN w:val="0"/>
        <w:adjustRightInd w:val="0"/>
        <w:snapToGrid w:val="0"/>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质量保证金条款及质量约定</w:t>
      </w:r>
    </w:p>
    <w:p w14:paraId="0572CFF1">
      <w:pPr>
        <w:widowControl/>
        <w:kinsoku w:val="0"/>
        <w:autoSpaceDE w:val="0"/>
        <w:autoSpaceDN w:val="0"/>
        <w:adjustRightInd w:val="0"/>
        <w:snapToGrid w:val="0"/>
        <w:ind w:firstLine="522"/>
        <w:textAlignment w:val="baseline"/>
        <w:rPr>
          <w:rFonts w:hint="default" w:ascii="宋体" w:hAnsi="宋体" w:eastAsia="宋体" w:cs="宋体"/>
          <w:color w:val="auto"/>
          <w:spacing w:val="-5"/>
          <w:position w:val="12"/>
          <w:lang w:val="en-US" w:eastAsia="zh-CN"/>
        </w:rPr>
      </w:pPr>
      <w:r>
        <w:rPr>
          <w:rFonts w:hint="eastAsia" w:ascii="宋体" w:hAnsi="宋体" w:eastAsia="宋体" w:cs="宋体"/>
          <w:color w:val="auto"/>
          <w:spacing w:val="-5"/>
          <w:position w:val="12"/>
          <w:lang w:eastAsia="zh-CN"/>
        </w:rPr>
        <w:t>质量保证金：</w:t>
      </w:r>
      <w:r>
        <w:rPr>
          <w:rFonts w:hint="eastAsia" w:ascii="宋体" w:hAnsi="宋体" w:eastAsia="宋体" w:cs="宋体"/>
          <w:color w:val="auto"/>
          <w:spacing w:val="-5"/>
          <w:position w:val="12"/>
          <w:lang w:val="en-US" w:eastAsia="zh-CN"/>
        </w:rPr>
        <w:t>无</w:t>
      </w:r>
    </w:p>
    <w:p w14:paraId="209FF169">
      <w:pPr>
        <w:widowControl/>
        <w:kinsoku w:val="0"/>
        <w:autoSpaceDE w:val="0"/>
        <w:autoSpaceDN w:val="0"/>
        <w:adjustRightInd w:val="0"/>
        <w:snapToGrid w:val="0"/>
        <w:spacing w:before="115"/>
        <w:textAlignment w:val="baseline"/>
        <w:rPr>
          <w:rFonts w:ascii="宋体" w:hAnsi="宋体" w:eastAsia="宋体" w:cs="宋体"/>
          <w:b/>
          <w:bCs/>
          <w:color w:val="auto"/>
          <w:spacing w:val="-12"/>
          <w:lang w:eastAsia="zh-CN"/>
        </w:rPr>
      </w:pPr>
      <w:r>
        <w:rPr>
          <w:rFonts w:hint="eastAsia" w:ascii="宋体" w:hAnsi="宋体" w:eastAsia="宋体" w:cs="宋体"/>
          <w:b/>
          <w:bCs/>
          <w:color w:val="auto"/>
          <w:spacing w:val="-5"/>
          <w:position w:val="12"/>
          <w:lang w:eastAsia="zh-CN"/>
        </w:rPr>
        <w:t>第六条 质量标准和验收</w:t>
      </w:r>
    </w:p>
    <w:p w14:paraId="32FD025A">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1.乙方应对供应材料的质量负责。</w:t>
      </w:r>
    </w:p>
    <w:p w14:paraId="2F50178B">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2.材料应符合现行国家质量要求和行业有关标准，符合项目设计及业主要求。</w:t>
      </w:r>
    </w:p>
    <w:p w14:paraId="2EA3ED5A">
      <w:pPr>
        <w:widowControl/>
        <w:kinsoku w:val="0"/>
        <w:autoSpaceDE w:val="0"/>
        <w:autoSpaceDN w:val="0"/>
        <w:adjustRightInd w:val="0"/>
        <w:snapToGrid w:val="0"/>
        <w:spacing w:before="117"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3.乙方货到后甲方与项目部应组织人员在现场进行初验，初验合格后，甲方签收并联系项目方入库；初验不合格的，甲方退回乙方，</w:t>
      </w:r>
      <w:r>
        <w:rPr>
          <w:rFonts w:hint="eastAsia" w:ascii="宋体" w:hAnsi="宋体" w:eastAsia="宋体" w:cs="宋体"/>
          <w:color w:val="auto"/>
          <w:spacing w:val="-5"/>
          <w:position w:val="12"/>
          <w:lang w:val="en-US" w:eastAsia="zh-CN"/>
        </w:rPr>
        <w:t>乙方需两小时内重新送至指定地点，如</w:t>
      </w:r>
      <w:r>
        <w:rPr>
          <w:rFonts w:hint="eastAsia" w:ascii="宋体" w:hAnsi="宋体" w:eastAsia="宋体" w:cs="宋体"/>
          <w:color w:val="auto"/>
          <w:spacing w:val="-5"/>
          <w:position w:val="12"/>
          <w:lang w:eastAsia="zh-CN"/>
        </w:rPr>
        <w:t>由此造成的运输费用及工程误工费用由乙方承担；</w:t>
      </w:r>
    </w:p>
    <w:p w14:paraId="50F2E13C">
      <w:pPr>
        <w:widowControl/>
        <w:kinsoku w:val="0"/>
        <w:autoSpaceDE w:val="0"/>
        <w:autoSpaceDN w:val="0"/>
        <w:adjustRightInd w:val="0"/>
        <w:snapToGrid w:val="0"/>
        <w:spacing w:before="117" w:line="360" w:lineRule="auto"/>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4.甲方初验只是根据现场实验室条件进行初步检测，不意味材料最终合格，项目方将在实际使用过程中对产品进一步检测和第三方送检，如发现质量不合格或不能满足施工要求，甲方将以工作联络函形式告知乙方，乙方有权提疑，但必须在接收联络函后三个自然日内安排相关人员与甲方一起至项目部进行复检，逾期未至，甲方将认为乙方承认质量不合格事实；若开展复检，结果依然不合格，甲方有权从未付材料款及合同质保金中扣除该批次不合格产品的相关货款，同时乙方检测结果为不合格的批次产品对现场施工造成的返工及直接经济损失由乙方承担，甲方将直接全额扣除乙方质量保证金。</w:t>
      </w:r>
    </w:p>
    <w:p w14:paraId="10B79683">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第七条 甲方的权利和义务</w:t>
      </w:r>
    </w:p>
    <w:p w14:paraId="6E15DFA7">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1.甲方应根据项目施工进度，提前向乙方发送供货订单进行通知，通知包括但不限于书面、口头、传真、电话、电子邮件方式。</w:t>
      </w:r>
    </w:p>
    <w:p w14:paraId="5831EF1F">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2.材料到场后，甲方应及时组织初验，初验合格的，及时签收确认，初验不合格的，通知乙方退货或作换货处理。</w:t>
      </w:r>
    </w:p>
    <w:p w14:paraId="0EAF5002">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3.甲方有权监督乙方材料的质量并随时对乙方材料进行抽样检查，乙方无条件接受甲方的抽样检测要求，并配合甲方完成一切检查的有关工作。</w:t>
      </w:r>
    </w:p>
    <w:p w14:paraId="769D04BC">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4.及时办理所购材料款的结算及支付工作。</w:t>
      </w:r>
    </w:p>
    <w:p w14:paraId="00CBA05A">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第八条 乙方的权利和义务</w:t>
      </w:r>
    </w:p>
    <w:p w14:paraId="1ED36082">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1.乙方应按合同要求及时保质保量供应材料，如不能按时供应，或供应的材料不合格，由此给甲方造成的损失，乙方应负责赔偿。</w:t>
      </w:r>
    </w:p>
    <w:p w14:paraId="2E2A1D77">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2.乙方应按国家有关规定及时向甲方提供相关资料。</w:t>
      </w:r>
    </w:p>
    <w:p w14:paraId="20B93317">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3.乙方应遵守施工工地有关的规章制度，并负责乙方人员及设备的安全。乙方人员及车辆设备所发生的事故，均由乙方自行承担责任。如给甲方及第三方造成损失的，还应承担赔偿责任。</w:t>
      </w:r>
    </w:p>
    <w:p w14:paraId="7BE9B4CF">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4.购买的材料在甲方未办理接收手续前的一切风险均由乙方承担，只有当材料在甲方验收合格并办理了接收手续后，确定是甲方原因引起的材料损坏或其他风险， 则由甲方承担。</w:t>
      </w:r>
    </w:p>
    <w:p w14:paraId="4FCA5B47">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5.材料若出现质量问题时，乙方应负责无条件换货，并承担该批次产品对现场施工造成的返工及直接经济损失。</w:t>
      </w:r>
    </w:p>
    <w:p w14:paraId="211C8E95">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6.甲方在每次需用材料时会向乙方提前</w:t>
      </w:r>
      <w:r>
        <w:rPr>
          <w:rFonts w:hint="eastAsia" w:ascii="宋体" w:hAnsi="宋体" w:eastAsia="宋体" w:cs="宋体"/>
          <w:color w:val="auto"/>
          <w:spacing w:val="-5"/>
          <w:position w:val="12"/>
          <w:lang w:val="en-US" w:eastAsia="zh-CN"/>
        </w:rPr>
        <w:t>4小时</w:t>
      </w:r>
      <w:r>
        <w:rPr>
          <w:rFonts w:hint="eastAsia" w:ascii="宋体" w:hAnsi="宋体" w:eastAsia="宋体" w:cs="宋体"/>
          <w:color w:val="auto"/>
          <w:spacing w:val="-5"/>
          <w:position w:val="12"/>
          <w:lang w:eastAsia="zh-CN"/>
        </w:rPr>
        <w:t>进行书面或电话申请，申请内容涵盖需要材料数量及规格，乙方应在收到申请后立即给甲方发货，如收到申请后</w:t>
      </w:r>
      <w:r>
        <w:rPr>
          <w:rFonts w:hint="eastAsia" w:ascii="宋体" w:hAnsi="宋体" w:eastAsia="宋体" w:cs="宋体"/>
          <w:color w:val="auto"/>
          <w:spacing w:val="-5"/>
          <w:position w:val="12"/>
          <w:lang w:val="en-US" w:eastAsia="zh-CN"/>
        </w:rPr>
        <w:t>4小时</w:t>
      </w:r>
      <w:r>
        <w:rPr>
          <w:rFonts w:hint="eastAsia" w:ascii="宋体" w:hAnsi="宋体" w:eastAsia="宋体" w:cs="宋体"/>
          <w:color w:val="auto"/>
          <w:spacing w:val="-5"/>
          <w:position w:val="12"/>
          <w:lang w:eastAsia="zh-CN"/>
        </w:rPr>
        <w:t>内没有到货视为逾期，则应按照逾期交货金额每日</w:t>
      </w:r>
      <w:r>
        <w:rPr>
          <w:rFonts w:hint="eastAsia" w:ascii="宋体" w:hAnsi="宋体" w:eastAsia="宋体" w:cs="宋体"/>
          <w:color w:val="auto"/>
          <w:spacing w:val="-5"/>
          <w:position w:val="12"/>
          <w:u w:val="single"/>
          <w:lang w:val="en-US" w:eastAsia="zh-CN"/>
        </w:rPr>
        <w:t xml:space="preserve">    </w:t>
      </w:r>
      <w:r>
        <w:rPr>
          <w:rFonts w:hint="eastAsia" w:ascii="宋体" w:hAnsi="宋体" w:eastAsia="宋体" w:cs="宋体"/>
          <w:color w:val="auto"/>
          <w:spacing w:val="-5"/>
          <w:position w:val="12"/>
          <w:lang w:eastAsia="zh-CN"/>
        </w:rPr>
        <w:t>元计算（</w:t>
      </w:r>
      <w:r>
        <w:rPr>
          <w:rFonts w:hint="eastAsia" w:ascii="宋体" w:hAnsi="宋体" w:eastAsia="宋体" w:cs="宋体"/>
          <w:color w:val="auto"/>
          <w:spacing w:val="-5"/>
          <w:position w:val="12"/>
          <w:lang w:val="en-US" w:eastAsia="zh-CN"/>
        </w:rPr>
        <w:t>逾期金额根据项目要求按实际计算）</w:t>
      </w:r>
      <w:r>
        <w:rPr>
          <w:rFonts w:hint="eastAsia" w:ascii="宋体" w:hAnsi="宋体" w:eastAsia="宋体" w:cs="宋体"/>
          <w:color w:val="auto"/>
          <w:spacing w:val="-5"/>
          <w:position w:val="12"/>
          <w:lang w:eastAsia="zh-CN"/>
        </w:rPr>
        <w:t>，向甲方支付逾期交货的违约金，并赔偿甲方因此所遭受的损失。如逾期超过10日，甲方有权终止合同， 乙方已收取的预付款或价款应全额返还给甲方，并赔偿甲方遭受的损失。</w:t>
      </w:r>
    </w:p>
    <w:p w14:paraId="5F96B129">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第九条 知识产权与商业秘密的保护</w:t>
      </w:r>
    </w:p>
    <w:p w14:paraId="3317533A">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乙方承诺并保证其提供的产品不会侵犯任何第三方的知识产权或其他权利。若乙方为产品的原厂生产商，必须保证对其所提供的产品拥有完全知识产权，并应向甲方提供产品的知识产权权利文件证明作为合同附件。乙方进一步承诺将就违反上述承 诺与保证所引起的一切诉讼、索赔、行政处罚、损失与损害向甲方承担赔偿责任。</w:t>
      </w:r>
    </w:p>
    <w:p w14:paraId="20E0B00A">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2.甲乙双方在合作过程中知悉的对方一切商业秘密，任何一方均不得泄露、 使用或许可给第三方使用。</w:t>
      </w:r>
    </w:p>
    <w:p w14:paraId="66CE2C8C">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3.本条款的适用不因合同履行完毕、合同终止或合同解除而失效。</w:t>
      </w:r>
    </w:p>
    <w:p w14:paraId="0E8FEA8D">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第十条 甲乙双方其他约定条款</w:t>
      </w:r>
    </w:p>
    <w:p w14:paraId="4225E815">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1.材料使用后甲方若发现质量问题，应及时通知乙方，甲乙双方应及时协商解决。</w:t>
      </w:r>
    </w:p>
    <w:p w14:paraId="434544B2">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2.乙方保证材料在供应之前所有权确为自己所有，不存在权利瑕疵，如若引发侵权责任由乙方承担。</w:t>
      </w:r>
    </w:p>
    <w:p w14:paraId="53693D0D">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第十一条 违约责任</w:t>
      </w:r>
    </w:p>
    <w:p w14:paraId="0757F424">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1.如因业主方未按照约定向甲方支付货款导致甲方逾期付款的，甲方不承担逾 期付款违约责任，乙方予以理解并接受。</w:t>
      </w:r>
    </w:p>
    <w:p w14:paraId="543DC971">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2、因乙方违约承担违约责任时，还应承担甲方为追索乙方违约责任所产生的相关费用，包括但不限于诉讼及仲裁费用、鉴定费用、律师费、差旅费等。</w:t>
      </w:r>
    </w:p>
    <w:p w14:paraId="6165CF03">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第十二条 禁止商业贿赂</w:t>
      </w:r>
    </w:p>
    <w:p w14:paraId="19C39390">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1.乙方及所属相关业务人员不得直接或间接贿赂甲方工作人员，包含回扣或馈赠礼品、礼金、高档消费、借款等一切形式的贿赂；</w:t>
      </w:r>
    </w:p>
    <w:p w14:paraId="7F00BD3F">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2.乙方如发现甲方及其他工作人员有要求回扣、借款及高档消费等任何违规行 为，有责任向甲方审计部举报；</w:t>
      </w:r>
    </w:p>
    <w:p w14:paraId="5A691418">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3.乙方如违反上述“1”条款，甲方将立即冻结并扣除乙方所有未付款项，且永 久禁止合作；另外需赔偿甲方因此造成的所有损失，赔偿金额上不封顶，最低100万元；且甲方保留一切法律追诉的权利；</w:t>
      </w:r>
    </w:p>
    <w:p w14:paraId="0C34C074">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4.乙方如违反上述“2”条款，甲方将立即冻结并扣除该供应商所有未付款项。</w:t>
      </w:r>
    </w:p>
    <w:p w14:paraId="5EC7CC8C">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第十三条  争议解决条款</w:t>
      </w:r>
    </w:p>
    <w:p w14:paraId="31FF0FB8">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lang w:eastAsia="zh-CN"/>
        </w:rPr>
      </w:pPr>
      <w:r>
        <w:rPr>
          <w:rFonts w:hint="eastAsia" w:ascii="宋体" w:hAnsi="宋体" w:eastAsia="宋体" w:cs="宋体"/>
          <w:color w:val="auto"/>
          <w:spacing w:val="-5"/>
          <w:position w:val="12"/>
          <w:lang w:eastAsia="zh-CN"/>
        </w:rPr>
        <w:t>本合同在执行过程中，双方所发生的一切纠纷由双方协商解决，协商不成，双方同意向抚州仲裁委员会申请仲裁解决。</w:t>
      </w:r>
    </w:p>
    <w:p w14:paraId="210ADF29">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第十四条  本协议的终止</w:t>
      </w:r>
    </w:p>
    <w:p w14:paraId="391FEF27">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1.当乙方严重违约时，甲方可以单方面解除合同。</w:t>
      </w:r>
    </w:p>
    <w:p w14:paraId="19267B0B">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2.合同有效期自合同签订之日起至双方权利义务履行完毕之日止。</w:t>
      </w:r>
    </w:p>
    <w:p w14:paraId="744B2099">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3.甲乙双方均已按合同完成相关事宜，并无异议时视为自动解除。</w:t>
      </w:r>
    </w:p>
    <w:p w14:paraId="012E71FD">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4.合同执行过程中，甲乙双方可协商解除合同，达成一致意见后，甲方出具末次结算支付证书，乙方出具合同终止说明，签字盖章后，合同解除。</w:t>
      </w:r>
    </w:p>
    <w:p w14:paraId="6DD7B9AB">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第十五条 其它事项</w:t>
      </w:r>
    </w:p>
    <w:p w14:paraId="07FACF42">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1.按本合同规定应该偿付的违约金、赔偿金等，应当在明确责任后十天内支付，否则按逾期付款处理。任何一方不得在双方未协商一致时自行扣发货物或扣付货款来冲抵。</w:t>
      </w:r>
    </w:p>
    <w:p w14:paraId="3BEDD8D7">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2.甲乙双方对于与本合同履行有关的行为中涉及到的对方商业秘密和技术秘密负有保密义务。</w:t>
      </w:r>
    </w:p>
    <w:p w14:paraId="2EA47CFC">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3.乙方应当充分理解甲方的环境方针宗旨，在提供物料、运输等各个环节中，均保证其不含国家法律法规、国家/行业标准中禁用的物质。</w:t>
      </w:r>
    </w:p>
    <w:p w14:paraId="775B90F5">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5.本合同有效期限：</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lang w:eastAsia="zh-CN"/>
        </w:rPr>
        <w:t>年</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lang w:eastAsia="zh-CN"/>
        </w:rPr>
        <w:t>月</w:t>
      </w:r>
      <w:r>
        <w:rPr>
          <w:rFonts w:hint="eastAsia" w:ascii="宋体" w:hAnsi="宋体" w:eastAsia="宋体" w:cs="宋体"/>
          <w:color w:val="auto"/>
          <w:spacing w:val="-5"/>
          <w:position w:val="12"/>
          <w:u w:val="single"/>
          <w:lang w:eastAsia="zh-CN"/>
        </w:rPr>
        <w:t xml:space="preserve">       </w:t>
      </w:r>
      <w:r>
        <w:rPr>
          <w:rFonts w:hint="eastAsia" w:ascii="宋体" w:hAnsi="宋体" w:eastAsia="宋体" w:cs="宋体"/>
          <w:color w:val="auto"/>
          <w:spacing w:val="-5"/>
          <w:position w:val="12"/>
          <w:lang w:eastAsia="zh-CN"/>
        </w:rPr>
        <w:t>日至项目结束。</w:t>
      </w:r>
    </w:p>
    <w:p w14:paraId="0ED4F6CD">
      <w:pPr>
        <w:widowControl/>
        <w:kinsoku w:val="0"/>
        <w:autoSpaceDE w:val="0"/>
        <w:autoSpaceDN w:val="0"/>
        <w:adjustRightInd w:val="0"/>
        <w:snapToGrid w:val="0"/>
        <w:spacing w:before="117"/>
        <w:ind w:firstLine="46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6.本合同自双方签字盖章之日起生效，合同期内，甲乙双方均不得随意变更或解除合同。合同如有未尽事宜，须经双方协商，作出补充规定，补充规定与本合同具有同等效力。本合同正本一式肆份，甲乙双方各执贰份。</w:t>
      </w:r>
    </w:p>
    <w:p w14:paraId="1B0CCA40">
      <w:pPr>
        <w:widowControl/>
        <w:kinsoku w:val="0"/>
        <w:autoSpaceDE w:val="0"/>
        <w:autoSpaceDN w:val="0"/>
        <w:adjustRightInd w:val="0"/>
        <w:snapToGrid w:val="0"/>
        <w:spacing w:before="117"/>
        <w:textAlignment w:val="baseline"/>
        <w:rPr>
          <w:rFonts w:ascii="宋体" w:hAnsi="宋体" w:eastAsia="宋体" w:cs="宋体"/>
          <w:b/>
          <w:bCs/>
          <w:color w:val="auto"/>
          <w:spacing w:val="-5"/>
          <w:position w:val="12"/>
          <w:lang w:eastAsia="zh-CN"/>
        </w:rPr>
      </w:pPr>
      <w:r>
        <w:rPr>
          <w:rFonts w:hint="eastAsia" w:ascii="宋体" w:hAnsi="宋体" w:eastAsia="宋体" w:cs="宋体"/>
          <w:b/>
          <w:bCs/>
          <w:color w:val="auto"/>
          <w:spacing w:val="-5"/>
          <w:position w:val="12"/>
          <w:lang w:eastAsia="zh-CN"/>
        </w:rPr>
        <w:t>第十六条 补充条款</w:t>
      </w:r>
    </w:p>
    <w:p w14:paraId="54B7C06E">
      <w:pPr>
        <w:spacing w:line="360" w:lineRule="auto"/>
        <w:rPr>
          <w:rFonts w:ascii="宋体" w:hAnsi="宋体" w:eastAsia="宋体" w:cs="宋体"/>
          <w:color w:val="auto"/>
          <w:spacing w:val="-5"/>
          <w:position w:val="12"/>
          <w:lang w:eastAsia="zh-CN"/>
        </w:rPr>
      </w:pPr>
      <w:r>
        <w:rPr>
          <w:rFonts w:hint="eastAsia" w:ascii="宋体" w:hAnsi="宋体" w:eastAsia="宋体" w:cs="宋体"/>
          <w:color w:val="auto"/>
          <w:spacing w:val="-5"/>
          <w:position w:val="12"/>
          <w:u w:val="single"/>
          <w:lang w:eastAsia="zh-CN"/>
        </w:rPr>
        <w:t xml:space="preserve">                              无 内 容 。                                  </w:t>
      </w:r>
    </w:p>
    <w:p w14:paraId="285E2B3B">
      <w:pPr>
        <w:spacing w:line="360" w:lineRule="auto"/>
        <w:rPr>
          <w:rFonts w:ascii="宋体" w:hAnsi="宋体" w:eastAsia="宋体" w:cs="宋体"/>
          <w:color w:val="auto"/>
          <w:spacing w:val="-5"/>
          <w:position w:val="12"/>
          <w:lang w:eastAsia="zh-CN"/>
        </w:rPr>
      </w:pPr>
    </w:p>
    <w:p w14:paraId="3FAD4628">
      <w:pPr>
        <w:spacing w:line="360" w:lineRule="auto"/>
        <w:rPr>
          <w:rFonts w:ascii="宋体" w:hAnsi="宋体" w:eastAsia="宋体" w:cs="宋体"/>
          <w:color w:val="auto"/>
          <w:spacing w:val="-5"/>
          <w:position w:val="12"/>
          <w:lang w:eastAsia="zh-CN"/>
        </w:rPr>
      </w:pPr>
    </w:p>
    <w:p w14:paraId="7569508F">
      <w:pPr>
        <w:spacing w:line="360" w:lineRule="auto"/>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 xml:space="preserve">甲方：抚州市国控供应链管理有限公司  乙方：  </w:t>
      </w:r>
    </w:p>
    <w:p w14:paraId="64446A98">
      <w:pPr>
        <w:spacing w:line="360" w:lineRule="auto"/>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 xml:space="preserve">法定代表人：                         法定代表人： </w:t>
      </w:r>
    </w:p>
    <w:p w14:paraId="2FBA31BF">
      <w:pPr>
        <w:spacing w:line="360" w:lineRule="auto"/>
        <w:rPr>
          <w:rFonts w:ascii="宋体" w:hAnsi="宋体" w:eastAsia="宋体" w:cs="宋体"/>
          <w:color w:val="auto"/>
          <w:spacing w:val="-5"/>
          <w:position w:val="12"/>
          <w:lang w:eastAsia="zh-CN"/>
        </w:rPr>
      </w:pPr>
      <w:r>
        <w:rPr>
          <w:rFonts w:hint="eastAsia" w:ascii="宋体" w:hAnsi="宋体" w:eastAsia="宋体" w:cs="宋体"/>
          <w:color w:val="auto"/>
          <w:spacing w:val="-5"/>
          <w:position w:val="12"/>
          <w:lang w:eastAsia="zh-CN"/>
        </w:rPr>
        <w:t>委托代理人：                         委托代理人：</w:t>
      </w:r>
    </w:p>
    <w:p w14:paraId="15132EC7">
      <w:pPr>
        <w:spacing w:line="360" w:lineRule="auto"/>
        <w:rPr>
          <w:rFonts w:eastAsia="宋体"/>
          <w:color w:val="auto"/>
          <w:lang w:eastAsia="zh-CN" w:bidi="zh-TW"/>
        </w:rPr>
      </w:pPr>
      <w:r>
        <w:rPr>
          <w:rFonts w:hint="eastAsia" w:ascii="宋体" w:hAnsi="宋体" w:eastAsia="宋体" w:cs="宋体"/>
          <w:color w:val="auto"/>
          <w:spacing w:val="-5"/>
          <w:position w:val="12"/>
          <w:lang w:eastAsia="zh-CN"/>
        </w:rPr>
        <w:t>电话：                               电话：</w:t>
      </w:r>
      <w:bookmarkEnd w:id="446"/>
      <w:bookmarkStart w:id="448" w:name="_Toc12583"/>
      <w:r>
        <w:rPr>
          <w:rFonts w:hint="eastAsia" w:eastAsia="宋体"/>
          <w:color w:val="auto"/>
          <w:lang w:eastAsia="zh-CN" w:bidi="zh-TW"/>
        </w:rPr>
        <w:t xml:space="preserve"> </w:t>
      </w:r>
    </w:p>
    <w:p w14:paraId="1BF63939">
      <w:pPr>
        <w:pStyle w:val="2"/>
        <w:rPr>
          <w:color w:val="auto"/>
          <w:lang w:eastAsia="zh-CN" w:bidi="zh-TW"/>
        </w:rPr>
      </w:pPr>
      <w:r>
        <w:rPr>
          <w:color w:val="auto"/>
          <w:lang w:eastAsia="zh-CN" w:bidi="zh-TW"/>
        </w:rPr>
        <w:br w:type="page"/>
      </w:r>
    </w:p>
    <w:p w14:paraId="4FFE0AA2">
      <w:pPr>
        <w:pStyle w:val="2"/>
        <w:jc w:val="center"/>
        <w:rPr>
          <w:color w:val="auto"/>
          <w:lang w:eastAsia="zh-CN" w:bidi="zh-TW"/>
        </w:rPr>
      </w:pPr>
      <w:bookmarkStart w:id="449" w:name="_Toc6250"/>
      <w:bookmarkStart w:id="450" w:name="_Hlk201563289"/>
      <w:r>
        <w:rPr>
          <w:rFonts w:hint="eastAsia" w:ascii="宋体" w:hAnsi="宋体" w:eastAsia="宋体" w:cs="宋体"/>
          <w:color w:val="auto"/>
          <w:szCs w:val="44"/>
          <w:lang w:eastAsia="zh-CN"/>
        </w:rPr>
        <w:t>供货要求</w:t>
      </w:r>
      <w:bookmarkEnd w:id="449"/>
    </w:p>
    <w:bookmarkEnd w:id="448"/>
    <w:bookmarkEnd w:id="450"/>
    <w:p w14:paraId="5FEADB44">
      <w:pPr>
        <w:rPr>
          <w:rFonts w:eastAsia="宋体"/>
          <w:color w:val="auto"/>
          <w:lang w:eastAsia="zh-CN"/>
        </w:rPr>
      </w:pPr>
      <w:bookmarkStart w:id="451" w:name="_Toc8146"/>
      <w:bookmarkStart w:id="452" w:name="_Toc9916"/>
      <w:bookmarkStart w:id="453" w:name="_Toc14479"/>
      <w:bookmarkStart w:id="454" w:name="_Toc27872"/>
      <w:bookmarkStart w:id="455" w:name="_Toc19133"/>
      <w:bookmarkStart w:id="456" w:name="_Toc20498"/>
      <w:bookmarkStart w:id="457" w:name="_Toc27744"/>
      <w:bookmarkStart w:id="458" w:name="_Toc268"/>
      <w:bookmarkStart w:id="459" w:name="_Toc11206"/>
      <w:r>
        <w:rPr>
          <w:rFonts w:hint="eastAsia" w:eastAsia="宋体"/>
          <w:color w:val="auto"/>
          <w:lang w:eastAsia="zh-CN"/>
        </w:rPr>
        <w:t>技术要求</w:t>
      </w:r>
      <w:bookmarkEnd w:id="451"/>
      <w:bookmarkEnd w:id="452"/>
      <w:bookmarkEnd w:id="453"/>
      <w:bookmarkEnd w:id="454"/>
      <w:bookmarkEnd w:id="455"/>
      <w:bookmarkEnd w:id="456"/>
      <w:bookmarkEnd w:id="457"/>
      <w:bookmarkEnd w:id="458"/>
      <w:bookmarkEnd w:id="459"/>
    </w:p>
    <w:p w14:paraId="4FEAA78E">
      <w:pPr>
        <w:adjustRightInd w:val="0"/>
        <w:snapToGrid w:val="0"/>
        <w:spacing w:line="360" w:lineRule="auto"/>
        <w:rPr>
          <w:rFonts w:ascii="宋体" w:hAnsi="宋体" w:eastAsia="宋体" w:cs="宋体"/>
          <w:color w:val="auto"/>
          <w:lang w:eastAsia="zh-CN"/>
        </w:rPr>
      </w:pPr>
      <w:r>
        <w:rPr>
          <w:rFonts w:hint="eastAsia" w:ascii="宋体" w:hAnsi="宋体" w:eastAsia="宋体" w:cs="宋体"/>
          <w:color w:val="auto"/>
          <w:lang w:eastAsia="zh-CN"/>
        </w:rPr>
        <w:t>一、工程概况</w:t>
      </w:r>
    </w:p>
    <w:p w14:paraId="782AC2FB">
      <w:pPr>
        <w:adjustRightInd w:val="0"/>
        <w:snapToGrid w:val="0"/>
        <w:spacing w:line="360" w:lineRule="auto"/>
        <w:ind w:firstLine="720" w:firstLineChars="300"/>
        <w:rPr>
          <w:rFonts w:ascii="宋体" w:hAnsi="宋体" w:eastAsia="宋体" w:cs="宋体"/>
          <w:color w:val="auto"/>
          <w:lang w:eastAsia="zh-CN"/>
        </w:rPr>
      </w:pPr>
      <w:r>
        <w:rPr>
          <w:rFonts w:hint="eastAsia" w:ascii="宋体" w:hAnsi="宋体" w:eastAsia="宋体" w:cs="宋体"/>
          <w:color w:val="auto"/>
          <w:lang w:eastAsia="zh-CN"/>
        </w:rPr>
        <w:t>项目名称：抚州市中心城区排水防涝建设工程（二标段）EPC总承包项目</w:t>
      </w:r>
      <w:r>
        <w:rPr>
          <w:rFonts w:hint="eastAsia" w:ascii="宋体" w:hAnsi="宋体" w:eastAsia="宋体" w:cs="宋体"/>
          <w:color w:val="auto"/>
          <w:lang w:val="en-US" w:eastAsia="zh-CN"/>
        </w:rPr>
        <w:t>机制砂</w:t>
      </w:r>
      <w:r>
        <w:rPr>
          <w:rFonts w:hint="eastAsia" w:ascii="宋体" w:hAnsi="宋体" w:eastAsia="宋体" w:cs="宋体"/>
          <w:color w:val="auto"/>
          <w:lang w:eastAsia="zh-CN"/>
        </w:rPr>
        <w:t>采购。</w:t>
      </w:r>
    </w:p>
    <w:p w14:paraId="1B871391">
      <w:pPr>
        <w:adjustRightInd w:val="0"/>
        <w:snapToGrid w:val="0"/>
        <w:spacing w:line="360" w:lineRule="auto"/>
        <w:ind w:left="547" w:leftChars="228"/>
        <w:rPr>
          <w:rFonts w:ascii="宋体" w:hAnsi="宋体" w:eastAsia="宋体" w:cs="宋体"/>
          <w:color w:val="auto"/>
          <w:lang w:eastAsia="zh-CN"/>
        </w:rPr>
      </w:pPr>
      <w:r>
        <w:rPr>
          <w:rFonts w:hint="eastAsia" w:ascii="宋体" w:hAnsi="宋体" w:eastAsia="宋体" w:cs="宋体"/>
          <w:color w:val="auto"/>
          <w:lang w:eastAsia="zh-CN"/>
        </w:rPr>
        <w:t>二、项目服务内容（具体包括但不局限于以下内容）：</w:t>
      </w:r>
    </w:p>
    <w:p w14:paraId="2806693C">
      <w:pPr>
        <w:adjustRightInd w:val="0"/>
        <w:snapToGrid w:val="0"/>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（一）承包范围</w:t>
      </w:r>
    </w:p>
    <w:p w14:paraId="18FFE82F">
      <w:pPr>
        <w:adjustRightInd w:val="0"/>
        <w:snapToGrid w:val="0"/>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承包内容：采购货物必须包含物资、运输、卸货、含税率13%发票以及按照图纸规定及按竞价人指示的有关其他工作。</w:t>
      </w:r>
    </w:p>
    <w:p w14:paraId="2C7B0E32">
      <w:pPr>
        <w:adjustRightInd w:val="0"/>
        <w:snapToGrid w:val="0"/>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（二）承包形式</w:t>
      </w:r>
    </w:p>
    <w:p w14:paraId="07DC53B5">
      <w:pPr>
        <w:spacing w:line="360" w:lineRule="auto"/>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供应商独立承包抚州市中心城区排水防涝建设工程（二标段）EPC总承包项目</w:t>
      </w:r>
      <w:r>
        <w:rPr>
          <w:rFonts w:hint="eastAsia" w:ascii="宋体" w:hAnsi="宋体" w:eastAsia="宋体" w:cs="宋体"/>
          <w:color w:val="auto"/>
          <w:lang w:val="en-US" w:eastAsia="zh-CN"/>
        </w:rPr>
        <w:t>机制砂</w:t>
      </w:r>
      <w:r>
        <w:rPr>
          <w:rFonts w:hint="eastAsia" w:ascii="宋体" w:hAnsi="宋体" w:eastAsia="宋体" w:cs="宋体"/>
          <w:color w:val="auto"/>
          <w:lang w:eastAsia="zh-CN"/>
        </w:rPr>
        <w:t>供应。</w:t>
      </w:r>
    </w:p>
    <w:p w14:paraId="2A83FB6E">
      <w:pPr>
        <w:spacing w:line="360" w:lineRule="auto"/>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（三）技术参数</w:t>
      </w:r>
    </w:p>
    <w:p w14:paraId="2451790A">
      <w:pPr>
        <w:spacing w:line="360" w:lineRule="auto"/>
        <w:ind w:firstLine="480" w:firstLineChars="200"/>
        <w:rPr>
          <w:rFonts w:ascii="宋体" w:hAnsi="宋体" w:eastAsia="宋体" w:cs="宋体"/>
          <w:color w:val="auto"/>
          <w:lang w:eastAsia="zh-CN"/>
        </w:rPr>
      </w:pPr>
      <w:r>
        <w:rPr>
          <w:rFonts w:ascii="宋体" w:hAnsi="宋体" w:eastAsia="宋体" w:cs="宋体"/>
          <w:color w:val="auto"/>
          <w:lang w:eastAsia="zh-CN"/>
        </w:rPr>
        <w:t>送样须附国内正规检测机构出具的合格报告</w:t>
      </w:r>
      <w:r>
        <w:rPr>
          <w:rFonts w:hint="eastAsia" w:ascii="宋体" w:hAnsi="宋体" w:eastAsia="宋体" w:cs="宋体"/>
          <w:color w:val="auto"/>
          <w:lang w:eastAsia="zh-CN"/>
        </w:rPr>
        <w:t>：</w:t>
      </w:r>
    </w:p>
    <w:p w14:paraId="46AECBC5">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.乙方所供机</w:t>
      </w:r>
      <w:r>
        <w:rPr>
          <w:rFonts w:ascii="宋体" w:hAnsi="宋体" w:eastAsia="宋体" w:cs="宋体"/>
          <w:color w:val="auto"/>
          <w:lang w:eastAsia="zh-CN"/>
        </w:rPr>
        <w:t xml:space="preserve"> </w:t>
      </w:r>
      <w:r>
        <w:rPr>
          <w:rFonts w:hint="eastAsia" w:ascii="宋体" w:hAnsi="宋体" w:eastAsia="宋体" w:cs="宋体"/>
          <w:color w:val="auto"/>
          <w:lang w:eastAsia="zh-CN"/>
        </w:rPr>
        <w:t>制砂质量应满足</w:t>
      </w:r>
      <w:r>
        <w:rPr>
          <w:rFonts w:ascii="宋体" w:hAnsi="宋体" w:eastAsia="宋体" w:cs="宋体"/>
          <w:color w:val="auto"/>
          <w:lang w:eastAsia="zh-CN"/>
        </w:rPr>
        <w:t xml:space="preserve"> GB/T 14684</w:t>
      </w:r>
      <w:r>
        <w:rPr>
          <w:rFonts w:hint="eastAsia" w:ascii="宋体" w:hAnsi="宋体" w:eastAsia="宋体" w:cs="宋体"/>
          <w:color w:val="auto"/>
          <w:lang w:eastAsia="zh-CN"/>
        </w:rPr>
        <w:t>中机制砂要求，规格应满足</w:t>
      </w:r>
      <w:r>
        <w:rPr>
          <w:rFonts w:ascii="宋体" w:hAnsi="宋体" w:eastAsia="宋体" w:cs="宋体"/>
          <w:color w:val="auto"/>
          <w:lang w:eastAsia="zh-CN"/>
        </w:rPr>
        <w:t>GB/T</w:t>
      </w:r>
      <w:r>
        <w:rPr>
          <w:rFonts w:hint="eastAsia" w:ascii="宋体" w:hAnsi="宋体" w:eastAsia="宋体" w:cs="宋体"/>
          <w:color w:val="auto"/>
          <w:lang w:val="en-US" w:eastAsia="zh-CN"/>
        </w:rPr>
        <w:t xml:space="preserve"> </w:t>
      </w:r>
      <w:r>
        <w:rPr>
          <w:rFonts w:ascii="宋体" w:hAnsi="宋体" w:eastAsia="宋体" w:cs="宋体"/>
          <w:color w:val="auto"/>
          <w:lang w:eastAsia="zh-CN"/>
        </w:rPr>
        <w:t>14684</w:t>
      </w:r>
      <w:r>
        <w:rPr>
          <w:rFonts w:hint="eastAsia" w:ascii="宋体" w:hAnsi="宋体" w:eastAsia="宋体" w:cs="宋体"/>
          <w:color w:val="auto"/>
          <w:lang w:eastAsia="zh-CN"/>
        </w:rPr>
        <w:t>中粗砂要求；含水率小于等于</w:t>
      </w:r>
      <w:r>
        <w:rPr>
          <w:rFonts w:ascii="宋体" w:hAnsi="宋体" w:eastAsia="宋体" w:cs="宋体"/>
          <w:color w:val="auto"/>
          <w:lang w:eastAsia="zh-CN"/>
        </w:rPr>
        <w:t>3%(</w:t>
      </w:r>
      <w:r>
        <w:rPr>
          <w:rFonts w:hint="eastAsia" w:ascii="宋体" w:hAnsi="宋体" w:eastAsia="宋体" w:cs="宋体"/>
          <w:color w:val="auto"/>
          <w:lang w:eastAsia="zh-CN"/>
        </w:rPr>
        <w:t>如含水率大于</w:t>
      </w:r>
      <w:r>
        <w:rPr>
          <w:rFonts w:ascii="宋体" w:hAnsi="宋体" w:eastAsia="宋体" w:cs="宋体"/>
          <w:color w:val="auto"/>
          <w:lang w:eastAsia="zh-CN"/>
        </w:rPr>
        <w:t xml:space="preserve">3%, </w:t>
      </w:r>
      <w:r>
        <w:rPr>
          <w:rFonts w:hint="eastAsia" w:ascii="宋体" w:hAnsi="宋体" w:eastAsia="宋体" w:cs="宋体"/>
          <w:color w:val="auto"/>
          <w:lang w:eastAsia="zh-CN"/>
        </w:rPr>
        <w:t>计量时扣除水的重量为准</w:t>
      </w:r>
      <w:r>
        <w:rPr>
          <w:rFonts w:ascii="宋体" w:hAnsi="宋体" w:eastAsia="宋体" w:cs="宋体"/>
          <w:color w:val="auto"/>
          <w:lang w:eastAsia="zh-CN"/>
        </w:rPr>
        <w:t>)</w:t>
      </w:r>
    </w:p>
    <w:p w14:paraId="3ACC2034">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备注：机制砂的密度</w:t>
      </w:r>
      <w:r>
        <w:rPr>
          <w:rFonts w:hint="eastAsia" w:ascii="宋体" w:hAnsi="宋体" w:eastAsia="宋体" w:cs="宋体"/>
          <w:color w:val="auto"/>
          <w:lang w:val="en-US" w:eastAsia="zh-CN"/>
        </w:rPr>
        <w:t>以送样至项目部实验室的检测数据为准</w:t>
      </w:r>
      <w:r>
        <w:rPr>
          <w:rFonts w:hint="eastAsia" w:ascii="宋体" w:hAnsi="宋体" w:eastAsia="宋体" w:cs="宋体"/>
          <w:color w:val="auto"/>
          <w:lang w:eastAsia="zh-CN"/>
        </w:rPr>
        <w:t>。</w:t>
      </w:r>
    </w:p>
    <w:tbl>
      <w:tblPr>
        <w:tblStyle w:val="30"/>
        <w:tblW w:w="9598" w:type="dxa"/>
        <w:tblInd w:w="91" w:type="dxa"/>
        <w:tblLayout w:type="autofit"/>
        <w:tblCellMar>
          <w:top w:w="0" w:type="dxa"/>
          <w:left w:w="108" w:type="dxa"/>
          <w:bottom w:w="0" w:type="dxa"/>
          <w:right w:w="108" w:type="dxa"/>
        </w:tblCellMar>
      </w:tblPr>
      <w:tblGrid>
        <w:gridCol w:w="883"/>
        <w:gridCol w:w="1669"/>
        <w:gridCol w:w="1609"/>
        <w:gridCol w:w="941"/>
        <w:gridCol w:w="1650"/>
        <w:gridCol w:w="1337"/>
        <w:gridCol w:w="1509"/>
      </w:tblGrid>
      <w:tr w14:paraId="14EF2EFB">
        <w:trPr>
          <w:trHeight w:val="26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FC4A59">
            <w:pPr>
              <w:widowControl/>
              <w:jc w:val="center"/>
              <w:textAlignment w:val="center"/>
              <w:rPr>
                <w:rFonts w:ascii="宋体" w:hAnsi="宋体" w:eastAsia="宋体" w:cs="宋体"/>
                <w:b/>
                <w:bCs/>
                <w:color w:val="auto"/>
                <w:sz w:val="22"/>
                <w:szCs w:val="22"/>
              </w:rPr>
            </w:pPr>
            <w:r>
              <w:rPr>
                <w:rFonts w:hint="eastAsia" w:ascii="宋体" w:hAnsi="宋体" w:eastAsia="宋体" w:cs="宋体"/>
                <w:color w:val="auto"/>
                <w:lang w:bidi="ar"/>
              </w:rPr>
              <w:t>序号</w:t>
            </w:r>
          </w:p>
        </w:tc>
        <w:tc>
          <w:tcPr>
            <w:tcW w:w="1669" w:type="dxa"/>
            <w:tcBorders>
              <w:top w:val="single" w:color="000000" w:sz="4" w:space="0"/>
              <w:left w:val="single" w:color="000000" w:sz="4" w:space="0"/>
              <w:bottom w:val="single" w:color="000000" w:sz="4" w:space="0"/>
              <w:right w:val="single" w:color="000000" w:sz="4" w:space="0"/>
            </w:tcBorders>
            <w:vAlign w:val="center"/>
          </w:tcPr>
          <w:p w14:paraId="40BD21E8">
            <w:pPr>
              <w:widowControl/>
              <w:jc w:val="center"/>
              <w:textAlignment w:val="center"/>
              <w:rPr>
                <w:rFonts w:ascii="宋体" w:hAnsi="宋体" w:eastAsia="宋体" w:cs="宋体"/>
                <w:b/>
                <w:bCs/>
                <w:color w:val="auto"/>
                <w:sz w:val="22"/>
                <w:szCs w:val="22"/>
              </w:rPr>
            </w:pPr>
            <w:r>
              <w:rPr>
                <w:rFonts w:hint="eastAsia" w:ascii="宋体" w:hAnsi="宋体" w:eastAsia="宋体" w:cs="宋体"/>
                <w:color w:val="auto"/>
                <w:lang w:eastAsia="zh-CN" w:bidi="ar"/>
              </w:rPr>
              <w:t>材料</w:t>
            </w:r>
            <w:r>
              <w:rPr>
                <w:rFonts w:hint="eastAsia" w:ascii="宋体" w:hAnsi="宋体" w:eastAsia="宋体" w:cs="宋体"/>
                <w:color w:val="auto"/>
                <w:lang w:bidi="ar"/>
              </w:rPr>
              <w:t>名称</w:t>
            </w:r>
          </w:p>
        </w:tc>
        <w:tc>
          <w:tcPr>
            <w:tcW w:w="1609" w:type="dxa"/>
            <w:tcBorders>
              <w:top w:val="single" w:color="000000" w:sz="4" w:space="0"/>
              <w:left w:val="single" w:color="000000" w:sz="4" w:space="0"/>
              <w:bottom w:val="single" w:color="000000" w:sz="4" w:space="0"/>
              <w:right w:val="single" w:color="000000" w:sz="4" w:space="0"/>
            </w:tcBorders>
            <w:vAlign w:val="center"/>
          </w:tcPr>
          <w:p w14:paraId="32CA9880">
            <w:pPr>
              <w:widowControl/>
              <w:jc w:val="center"/>
              <w:textAlignment w:val="center"/>
              <w:rPr>
                <w:rFonts w:ascii="宋体" w:hAnsi="宋体" w:eastAsia="宋体" w:cs="宋体"/>
                <w:b/>
                <w:bCs/>
                <w:color w:val="auto"/>
                <w:sz w:val="22"/>
                <w:szCs w:val="22"/>
                <w:lang w:eastAsia="zh-CN"/>
              </w:rPr>
            </w:pPr>
            <w:r>
              <w:rPr>
                <w:rFonts w:hint="eastAsia" w:ascii="宋体" w:hAnsi="宋体" w:eastAsia="宋体" w:cs="宋体"/>
                <w:color w:val="auto"/>
                <w:lang w:bidi="ar"/>
              </w:rPr>
              <w:t>规格</w:t>
            </w:r>
            <w:r>
              <w:rPr>
                <w:rFonts w:hint="eastAsia" w:ascii="宋体" w:hAnsi="宋体" w:eastAsia="宋体" w:cs="宋体"/>
                <w:color w:val="auto"/>
                <w:lang w:eastAsia="zh-CN" w:bidi="ar"/>
              </w:rPr>
              <w:t>参数</w:t>
            </w:r>
          </w:p>
        </w:tc>
        <w:tc>
          <w:tcPr>
            <w:tcW w:w="941" w:type="dxa"/>
            <w:tcBorders>
              <w:top w:val="single" w:color="000000" w:sz="4" w:space="0"/>
              <w:left w:val="single" w:color="000000" w:sz="4" w:space="0"/>
              <w:bottom w:val="single" w:color="000000" w:sz="4" w:space="0"/>
              <w:right w:val="single" w:color="000000" w:sz="4" w:space="0"/>
            </w:tcBorders>
            <w:vAlign w:val="center"/>
          </w:tcPr>
          <w:p w14:paraId="21492A76">
            <w:pPr>
              <w:widowControl/>
              <w:jc w:val="center"/>
              <w:textAlignment w:val="center"/>
              <w:rPr>
                <w:rFonts w:ascii="宋体" w:hAnsi="宋体" w:eastAsia="宋体" w:cs="宋体"/>
                <w:b/>
                <w:bCs/>
                <w:color w:val="auto"/>
                <w:sz w:val="22"/>
                <w:szCs w:val="22"/>
              </w:rPr>
            </w:pPr>
            <w:r>
              <w:rPr>
                <w:rFonts w:hint="eastAsia" w:ascii="宋体" w:hAnsi="宋体" w:eastAsia="宋体" w:cs="宋体"/>
                <w:color w:val="auto"/>
                <w:lang w:bidi="ar"/>
              </w:rPr>
              <w:t>单位</w:t>
            </w:r>
          </w:p>
        </w:tc>
        <w:tc>
          <w:tcPr>
            <w:tcW w:w="1650" w:type="dxa"/>
            <w:tcBorders>
              <w:top w:val="single" w:color="000000" w:sz="4" w:space="0"/>
              <w:left w:val="single" w:color="000000" w:sz="4" w:space="0"/>
              <w:bottom w:val="single" w:color="auto" w:sz="4" w:space="0"/>
              <w:right w:val="single" w:color="000000" w:sz="4" w:space="0"/>
            </w:tcBorders>
            <w:vAlign w:val="center"/>
          </w:tcPr>
          <w:p w14:paraId="0EEEC10B">
            <w:pPr>
              <w:widowControl/>
              <w:jc w:val="center"/>
              <w:textAlignment w:val="center"/>
              <w:rPr>
                <w:rFonts w:ascii="宋体" w:hAnsi="宋体" w:eastAsia="宋体" w:cs="宋体"/>
                <w:b/>
                <w:bCs/>
                <w:color w:val="auto"/>
                <w:sz w:val="22"/>
                <w:szCs w:val="22"/>
              </w:rPr>
            </w:pPr>
            <w:r>
              <w:rPr>
                <w:rFonts w:hint="eastAsia" w:ascii="宋体" w:hAnsi="宋体" w:eastAsia="宋体" w:cs="宋体"/>
                <w:color w:val="auto"/>
                <w:lang w:bidi="ar"/>
              </w:rPr>
              <w:t>暂定数量</w:t>
            </w:r>
          </w:p>
        </w:tc>
        <w:tc>
          <w:tcPr>
            <w:tcW w:w="1337" w:type="dxa"/>
            <w:tcBorders>
              <w:top w:val="single" w:color="000000" w:sz="4" w:space="0"/>
              <w:left w:val="single" w:color="000000" w:sz="4" w:space="0"/>
              <w:bottom w:val="single" w:color="auto" w:sz="4" w:space="0"/>
              <w:right w:val="single" w:color="000000" w:sz="4" w:space="0"/>
            </w:tcBorders>
            <w:vAlign w:val="center"/>
          </w:tcPr>
          <w:p w14:paraId="7870841B">
            <w:pPr>
              <w:widowControl/>
              <w:jc w:val="center"/>
              <w:textAlignment w:val="center"/>
              <w:rPr>
                <w:rFonts w:ascii="宋体" w:hAnsi="宋体" w:eastAsia="宋体" w:cs="宋体"/>
                <w:b/>
                <w:bCs/>
                <w:color w:val="auto"/>
                <w:sz w:val="22"/>
                <w:szCs w:val="22"/>
              </w:rPr>
            </w:pPr>
            <w:r>
              <w:rPr>
                <w:rFonts w:hint="eastAsia" w:ascii="宋体" w:hAnsi="宋体" w:eastAsia="宋体" w:cs="宋体"/>
                <w:color w:val="auto"/>
                <w:lang w:bidi="ar"/>
              </w:rPr>
              <w:t>综合单价（元）</w:t>
            </w:r>
          </w:p>
        </w:tc>
        <w:tc>
          <w:tcPr>
            <w:tcW w:w="1509" w:type="dxa"/>
            <w:tcBorders>
              <w:top w:val="single" w:color="000000" w:sz="4" w:space="0"/>
              <w:left w:val="single" w:color="000000" w:sz="4" w:space="0"/>
              <w:bottom w:val="single" w:color="auto" w:sz="4" w:space="0"/>
              <w:right w:val="single" w:color="000000" w:sz="4" w:space="0"/>
            </w:tcBorders>
            <w:vAlign w:val="center"/>
          </w:tcPr>
          <w:p w14:paraId="0F88FA18">
            <w:pPr>
              <w:widowControl/>
              <w:jc w:val="center"/>
              <w:textAlignment w:val="center"/>
              <w:rPr>
                <w:rFonts w:ascii="宋体" w:hAnsi="宋体" w:eastAsia="宋体" w:cs="宋体"/>
                <w:b/>
                <w:bCs/>
                <w:color w:val="auto"/>
                <w:sz w:val="22"/>
                <w:szCs w:val="22"/>
              </w:rPr>
            </w:pPr>
            <w:r>
              <w:rPr>
                <w:rFonts w:hint="eastAsia" w:ascii="宋体" w:hAnsi="宋体" w:eastAsia="宋体" w:cs="宋体"/>
                <w:color w:val="auto"/>
                <w:lang w:bidi="ar"/>
              </w:rPr>
              <w:t>金额合计（元）</w:t>
            </w:r>
          </w:p>
        </w:tc>
      </w:tr>
      <w:tr w14:paraId="38920496">
        <w:tblPrEx>
          <w:tblCellMar>
            <w:top w:w="0" w:type="dxa"/>
            <w:left w:w="108" w:type="dxa"/>
            <w:bottom w:w="0" w:type="dxa"/>
            <w:right w:w="108" w:type="dxa"/>
          </w:tblCellMar>
        </w:tblPrEx>
        <w:trPr>
          <w:trHeight w:val="454" w:hRule="atLeast"/>
        </w:trPr>
        <w:tc>
          <w:tcPr>
            <w:tcW w:w="883" w:type="dxa"/>
            <w:tcBorders>
              <w:top w:val="single" w:color="000000" w:sz="4" w:space="0"/>
              <w:left w:val="single" w:color="000000" w:sz="4" w:space="0"/>
              <w:bottom w:val="single" w:color="000000" w:sz="4" w:space="0"/>
              <w:right w:val="single" w:color="000000" w:sz="4" w:space="0"/>
            </w:tcBorders>
            <w:noWrap/>
            <w:vAlign w:val="center"/>
          </w:tcPr>
          <w:p w14:paraId="36EA18DE">
            <w:pPr>
              <w:widowControl/>
              <w:jc w:val="center"/>
              <w:textAlignment w:val="center"/>
              <w:rPr>
                <w:rFonts w:ascii="宋体" w:hAnsi="宋体" w:eastAsia="宋体" w:cs="宋体"/>
                <w:color w:val="auto"/>
                <w:lang w:bidi="ar"/>
              </w:rPr>
            </w:pPr>
            <w:r>
              <w:rPr>
                <w:rFonts w:hint="eastAsia" w:ascii="宋体" w:hAnsi="宋体" w:eastAsia="宋体" w:cs="宋体"/>
                <w:color w:val="auto"/>
                <w:lang w:eastAsia="zh-CN" w:bidi="ar"/>
              </w:rPr>
              <w:t>1</w:t>
            </w:r>
          </w:p>
        </w:tc>
        <w:tc>
          <w:tcPr>
            <w:tcW w:w="1669" w:type="dxa"/>
            <w:tcBorders>
              <w:top w:val="single" w:color="000000" w:sz="4" w:space="0"/>
              <w:left w:val="single" w:color="000000" w:sz="4" w:space="0"/>
              <w:bottom w:val="single" w:color="000000" w:sz="4" w:space="0"/>
              <w:right w:val="single" w:color="000000" w:sz="4" w:space="0"/>
            </w:tcBorders>
            <w:vAlign w:val="center"/>
          </w:tcPr>
          <w:p w14:paraId="4DC8D3A4">
            <w:pPr>
              <w:widowControl/>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机制砂</w:t>
            </w:r>
          </w:p>
        </w:tc>
        <w:tc>
          <w:tcPr>
            <w:tcW w:w="1609" w:type="dxa"/>
            <w:tcBorders>
              <w:top w:val="single" w:color="000000" w:sz="4" w:space="0"/>
              <w:left w:val="single" w:color="000000" w:sz="4" w:space="0"/>
              <w:bottom w:val="single" w:color="000000" w:sz="4" w:space="0"/>
              <w:right w:val="single" w:color="000000" w:sz="4" w:space="0"/>
            </w:tcBorders>
            <w:vAlign w:val="center"/>
          </w:tcPr>
          <w:p w14:paraId="2C6C0FFF">
            <w:pPr>
              <w:widowControl/>
              <w:jc w:val="center"/>
              <w:textAlignment w:val="center"/>
              <w:rPr>
                <w:rFonts w:ascii="宋体" w:hAnsi="宋体" w:eastAsia="宋体" w:cs="宋体"/>
                <w:color w:val="auto"/>
                <w:lang w:eastAsia="zh-CN"/>
              </w:rPr>
            </w:pPr>
          </w:p>
        </w:tc>
        <w:tc>
          <w:tcPr>
            <w:tcW w:w="941" w:type="dxa"/>
            <w:tcBorders>
              <w:top w:val="single" w:color="000000" w:sz="4" w:space="0"/>
              <w:left w:val="single" w:color="000000" w:sz="4" w:space="0"/>
              <w:bottom w:val="single" w:color="000000" w:sz="4" w:space="0"/>
              <w:right w:val="single" w:color="auto" w:sz="4" w:space="0"/>
            </w:tcBorders>
            <w:vAlign w:val="center"/>
          </w:tcPr>
          <w:p w14:paraId="48AE862C">
            <w:pPr>
              <w:widowControl/>
              <w:tabs>
                <w:tab w:val="left" w:pos="235"/>
              </w:tabs>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t</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6A5E2C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en-US"/>
              </w:rPr>
            </w:pPr>
            <w:r>
              <w:rPr>
                <w:rFonts w:hint="eastAsia" w:ascii="宋体" w:hAnsi="宋体" w:eastAsia="宋体" w:cs="宋体"/>
                <w:i w:val="0"/>
                <w:iCs w:val="0"/>
                <w:color w:val="000000"/>
                <w:kern w:val="0"/>
                <w:sz w:val="22"/>
                <w:szCs w:val="22"/>
                <w:u w:val="none"/>
                <w:lang w:val="en-US" w:eastAsia="zh-CN" w:bidi="ar"/>
              </w:rPr>
              <w:t>237000</w:t>
            </w:r>
          </w:p>
        </w:tc>
        <w:tc>
          <w:tcPr>
            <w:tcW w:w="1337" w:type="dxa"/>
            <w:tcBorders>
              <w:top w:val="single" w:color="auto" w:sz="4" w:space="0"/>
              <w:left w:val="single" w:color="auto" w:sz="4" w:space="0"/>
              <w:bottom w:val="single" w:color="auto" w:sz="4" w:space="0"/>
              <w:right w:val="single" w:color="auto" w:sz="4" w:space="0"/>
            </w:tcBorders>
            <w:vAlign w:val="center"/>
          </w:tcPr>
          <w:p w14:paraId="39D7BDBA">
            <w:pPr>
              <w:widowControl/>
              <w:jc w:val="center"/>
              <w:textAlignment w:val="center"/>
              <w:rPr>
                <w:rFonts w:ascii="宋体" w:hAnsi="宋体" w:eastAsia="宋体" w:cs="宋体"/>
                <w:color w:val="auto"/>
                <w:lang w:eastAsia="zh-CN"/>
              </w:rPr>
            </w:pPr>
            <w:r>
              <w:rPr>
                <w:rFonts w:hint="eastAsia" w:ascii="宋体" w:hAnsi="宋体" w:eastAsia="宋体" w:cs="宋体"/>
                <w:color w:val="auto"/>
                <w:lang w:eastAsia="zh-CN"/>
              </w:rPr>
              <w:t>7</w:t>
            </w:r>
            <w:r>
              <w:rPr>
                <w:rFonts w:hint="eastAsia" w:ascii="宋体" w:hAnsi="宋体" w:eastAsia="宋体" w:cs="宋体"/>
                <w:color w:val="auto"/>
                <w:lang w:val="en-US" w:eastAsia="zh-CN"/>
              </w:rPr>
              <w:t>2</w:t>
            </w:r>
            <w:r>
              <w:rPr>
                <w:rFonts w:hint="eastAsia" w:ascii="宋体" w:hAnsi="宋体" w:eastAsia="宋体" w:cs="宋体"/>
                <w:color w:val="auto"/>
                <w:lang w:eastAsia="zh-CN"/>
              </w:rPr>
              <w:t>.4</w:t>
            </w:r>
          </w:p>
        </w:tc>
        <w:tc>
          <w:tcPr>
            <w:tcW w:w="1509" w:type="dxa"/>
            <w:tcBorders>
              <w:top w:val="single" w:color="auto" w:sz="4" w:space="0"/>
              <w:left w:val="single" w:color="auto" w:sz="4" w:space="0"/>
              <w:bottom w:val="single" w:color="auto" w:sz="4" w:space="0"/>
              <w:right w:val="single" w:color="auto" w:sz="4" w:space="0"/>
            </w:tcBorders>
            <w:vAlign w:val="center"/>
          </w:tcPr>
          <w:p w14:paraId="24966449">
            <w:pPr>
              <w:widowControl/>
              <w:jc w:val="center"/>
              <w:textAlignment w:val="center"/>
              <w:rPr>
                <w:rFonts w:hint="default" w:ascii="宋体" w:hAnsi="宋体" w:eastAsia="宋体" w:cs="宋体"/>
                <w:color w:val="auto"/>
                <w:vertAlign w:val="subscript"/>
                <w:lang w:val="en-US" w:eastAsia="zh-CN"/>
              </w:rPr>
            </w:pPr>
            <w:r>
              <w:rPr>
                <w:rFonts w:hint="eastAsia" w:ascii="宋体" w:hAnsi="宋体" w:eastAsia="宋体" w:cs="宋体"/>
                <w:color w:val="auto"/>
                <w:lang w:val="en-US" w:eastAsia="zh-CN"/>
              </w:rPr>
              <w:t>17158800</w:t>
            </w:r>
          </w:p>
        </w:tc>
      </w:tr>
      <w:tr w14:paraId="175C959E">
        <w:tblPrEx>
          <w:tblCellMar>
            <w:top w:w="0" w:type="dxa"/>
            <w:left w:w="108" w:type="dxa"/>
            <w:bottom w:w="0" w:type="dxa"/>
            <w:right w:w="108" w:type="dxa"/>
          </w:tblCellMar>
        </w:tblPrEx>
        <w:trPr>
          <w:trHeight w:val="454" w:hRule="atLeast"/>
        </w:trPr>
        <w:tc>
          <w:tcPr>
            <w:tcW w:w="9598" w:type="dxa"/>
            <w:gridSpan w:val="7"/>
            <w:tcBorders>
              <w:top w:val="single" w:color="auto" w:sz="4" w:space="0"/>
              <w:left w:val="single" w:color="000000" w:sz="4" w:space="0"/>
              <w:bottom w:val="single" w:color="000000" w:sz="4" w:space="0"/>
              <w:right w:val="single" w:color="000000" w:sz="4" w:space="0"/>
            </w:tcBorders>
            <w:noWrap/>
            <w:vAlign w:val="center"/>
          </w:tcPr>
          <w:p w14:paraId="475808F6">
            <w:pPr>
              <w:widowControl/>
              <w:jc w:val="center"/>
              <w:textAlignment w:val="center"/>
              <w:rPr>
                <w:rFonts w:ascii="宋体" w:hAnsi="宋体" w:eastAsia="宋体" w:cs="宋体"/>
                <w:color w:val="auto"/>
                <w:kern w:val="2"/>
                <w:sz w:val="22"/>
                <w:szCs w:val="22"/>
                <w:lang w:eastAsia="zh-CN" w:bidi="ar-SA"/>
              </w:rPr>
            </w:pPr>
            <w:r>
              <w:rPr>
                <w:rFonts w:hint="eastAsia" w:ascii="宋体" w:hAnsi="宋体" w:eastAsia="宋体" w:cs="宋体"/>
                <w:color w:val="auto"/>
                <w:lang w:eastAsia="zh-CN" w:bidi="ar"/>
              </w:rPr>
              <w:t>合计金额：</w:t>
            </w:r>
            <w:r>
              <w:rPr>
                <w:rFonts w:hint="eastAsia" w:ascii="宋体" w:hAnsi="宋体" w:eastAsia="宋体" w:cs="宋体"/>
                <w:color w:val="auto"/>
                <w:lang w:val="en-US" w:eastAsia="zh-CN"/>
              </w:rPr>
              <w:t>17158800</w:t>
            </w:r>
            <w:r>
              <w:rPr>
                <w:rFonts w:hint="eastAsia" w:ascii="宋体" w:hAnsi="宋体" w:eastAsia="宋体" w:cs="宋体"/>
                <w:color w:val="auto"/>
                <w:lang w:eastAsia="zh-CN" w:bidi="ar"/>
              </w:rPr>
              <w:t>元</w:t>
            </w:r>
          </w:p>
        </w:tc>
      </w:tr>
    </w:tbl>
    <w:p w14:paraId="55E4967A">
      <w:pPr>
        <w:spacing w:line="360" w:lineRule="auto"/>
        <w:rPr>
          <w:rFonts w:ascii="宋体" w:hAnsi="宋体" w:eastAsia="宋体" w:cs="宋体"/>
          <w:color w:val="auto"/>
          <w:lang w:eastAsia="zh-CN"/>
        </w:rPr>
      </w:pPr>
    </w:p>
    <w:p w14:paraId="3D6DBC7C">
      <w:pPr>
        <w:rPr>
          <w:rFonts w:eastAsia="宋体"/>
          <w:color w:val="auto"/>
          <w:lang w:eastAsia="zh-CN"/>
        </w:rPr>
      </w:pPr>
      <w:r>
        <w:rPr>
          <w:rFonts w:eastAsia="宋体"/>
          <w:color w:val="auto"/>
          <w:lang w:eastAsia="zh-CN"/>
        </w:rPr>
        <w:br w:type="page"/>
      </w:r>
    </w:p>
    <w:p w14:paraId="35E4A5AF">
      <w:pPr>
        <w:spacing w:line="360" w:lineRule="auto"/>
        <w:rPr>
          <w:rFonts w:ascii="宋体" w:hAnsi="宋体" w:eastAsia="宋体" w:cs="宋体"/>
          <w:color w:val="auto"/>
          <w:lang w:eastAsia="zh-CN"/>
        </w:rPr>
      </w:pPr>
    </w:p>
    <w:p w14:paraId="1FB4ECBD">
      <w:pPr>
        <w:spacing w:line="360" w:lineRule="auto"/>
        <w:jc w:val="center"/>
        <w:rPr>
          <w:color w:val="auto"/>
          <w:lang w:eastAsia="zh-CN"/>
        </w:rPr>
      </w:pPr>
      <w:r>
        <w:rPr>
          <w:rFonts w:hint="eastAsia" w:ascii="宋体" w:hAnsi="宋体" w:eastAsia="宋体" w:cs="宋体"/>
          <w:b/>
          <w:bCs/>
          <w:color w:val="auto"/>
          <w:sz w:val="44"/>
          <w:szCs w:val="44"/>
          <w:lang w:eastAsia="zh-CN"/>
        </w:rPr>
        <w:t>商务要求</w:t>
      </w:r>
    </w:p>
    <w:p w14:paraId="7AEAD10B">
      <w:pPr>
        <w:pStyle w:val="10"/>
        <w:numPr>
          <w:ilvl w:val="0"/>
          <w:numId w:val="6"/>
        </w:numPr>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eastAsia="zh-CN"/>
        </w:rPr>
        <w:t>交货期（工期）：合同签订后至项目完工。</w:t>
      </w:r>
    </w:p>
    <w:p w14:paraId="1D6290A7">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eastAsia="zh-CN"/>
        </w:rPr>
        <w:t>2、具有较完善的售后服务，并配有较强的技术队伍，能提供快速的售后服务，须提供售后服务点的详细地址，1～2名专职售后人员联系电话。</w:t>
      </w:r>
    </w:p>
    <w:p w14:paraId="695421AB">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eastAsia="zh-CN"/>
        </w:rPr>
        <w:t>3、根据货物的特点及技术要求中标供应商应对竞价人的技术、管理人员进行现场免费培训至熟练操作为止。</w:t>
      </w:r>
    </w:p>
    <w:p w14:paraId="2146B698">
      <w:pPr>
        <w:pStyle w:val="10"/>
        <w:spacing w:line="360" w:lineRule="auto"/>
        <w:ind w:firstLine="480"/>
        <w:rPr>
          <w:rFonts w:hint="default" w:ascii="宋体" w:hAnsi="宋体" w:eastAsia="宋体" w:cs="宋体"/>
          <w:color w:val="auto"/>
          <w:szCs w:val="24"/>
          <w:lang w:val="en-US" w:eastAsia="zh-CN"/>
        </w:rPr>
      </w:pPr>
      <w:r>
        <w:rPr>
          <w:rFonts w:hint="eastAsia" w:ascii="宋体" w:hAnsi="宋体" w:eastAsia="宋体" w:cs="宋体"/>
          <w:color w:val="auto"/>
          <w:szCs w:val="24"/>
          <w:lang w:eastAsia="zh-CN"/>
        </w:rPr>
        <w:t>4、中标供应商供货时应向竞价人提供完整的（中文）技术资料（质检报告）。</w:t>
      </w:r>
    </w:p>
    <w:p w14:paraId="30D7B5FE">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5</w:t>
      </w:r>
      <w:r>
        <w:rPr>
          <w:rFonts w:hint="eastAsia" w:ascii="宋体" w:hAnsi="宋体" w:eastAsia="宋体" w:cs="宋体"/>
          <w:color w:val="auto"/>
          <w:szCs w:val="24"/>
          <w:lang w:eastAsia="zh-CN"/>
        </w:rPr>
        <w:t>、</w:t>
      </w:r>
      <w:r>
        <w:rPr>
          <w:rFonts w:hint="eastAsia" w:ascii="宋体" w:hAnsi="宋体" w:eastAsia="宋体" w:cs="宋体"/>
          <w:color w:val="auto"/>
          <w:lang w:eastAsia="zh-CN"/>
        </w:rPr>
        <w:t>封样及送货签收要求。</w:t>
      </w:r>
    </w:p>
    <w:p w14:paraId="5E6DA3C5">
      <w:pPr>
        <w:pStyle w:val="10"/>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eastAsia="宋体" w:cs="宋体"/>
          <w:i w:val="0"/>
          <w:iCs w:val="0"/>
          <w:color w:val="auto"/>
          <w:szCs w:val="24"/>
          <w:lang w:eastAsia="zh-CN"/>
        </w:rPr>
      </w:pPr>
      <w:r>
        <w:rPr>
          <w:rFonts w:hint="eastAsia" w:ascii="宋体" w:hAnsi="宋体" w:eastAsia="宋体" w:cs="宋体"/>
          <w:color w:val="auto"/>
          <w:szCs w:val="24"/>
          <w:lang w:val="en-US" w:eastAsia="zh-CN"/>
        </w:rPr>
        <w:t>5</w:t>
      </w:r>
      <w:r>
        <w:rPr>
          <w:rFonts w:hint="eastAsia" w:ascii="宋体" w:hAnsi="宋体" w:eastAsia="宋体" w:cs="宋体"/>
          <w:i w:val="0"/>
          <w:iCs w:val="0"/>
          <w:color w:val="auto"/>
          <w:szCs w:val="24"/>
          <w:lang w:val="en-US" w:eastAsia="zh-CN"/>
        </w:rPr>
        <w:t>.1</w:t>
      </w:r>
      <w:r>
        <w:rPr>
          <w:rFonts w:hint="eastAsia" w:ascii="宋体" w:hAnsi="宋体" w:eastAsia="宋体" w:cs="宋体"/>
          <w:i w:val="0"/>
          <w:iCs w:val="0"/>
          <w:color w:val="auto"/>
          <w:szCs w:val="24"/>
          <w:lang w:eastAsia="zh-CN"/>
        </w:rPr>
        <w:t>验收标准符合相应的中华人民共和国国家标准。</w:t>
      </w:r>
    </w:p>
    <w:p w14:paraId="2F3095E2">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color w:val="auto"/>
          <w:szCs w:val="24"/>
          <w:lang w:eastAsia="zh-CN"/>
        </w:rPr>
      </w:pPr>
      <w:r>
        <w:rPr>
          <w:rFonts w:hint="eastAsia" w:ascii="宋体" w:hAnsi="宋体" w:eastAsia="宋体" w:cs="宋体"/>
          <w:i w:val="0"/>
          <w:iCs w:val="0"/>
          <w:color w:val="auto"/>
          <w:szCs w:val="24"/>
          <w:lang w:val="en-US" w:eastAsia="zh-CN"/>
        </w:rPr>
        <w:t>5.</w:t>
      </w:r>
      <w:r>
        <w:rPr>
          <w:rFonts w:hint="eastAsia" w:ascii="宋体" w:hAnsi="宋体" w:eastAsia="宋体" w:cs="宋体"/>
          <w:color w:val="auto"/>
          <w:szCs w:val="24"/>
          <w:lang w:val="en-US" w:eastAsia="zh-CN"/>
        </w:rPr>
        <w:t>2成交供应商人员</w:t>
      </w:r>
      <w:r>
        <w:rPr>
          <w:rFonts w:hint="eastAsia" w:ascii="宋体" w:hAnsi="宋体" w:eastAsia="宋体" w:cs="宋体"/>
          <w:color w:val="auto"/>
          <w:szCs w:val="24"/>
          <w:lang w:eastAsia="zh-CN"/>
        </w:rPr>
        <w:t>进行采购期间所产生的费用，由成交供应商负责。</w:t>
      </w:r>
    </w:p>
    <w:p w14:paraId="75F2C65B">
      <w:pPr>
        <w:pStyle w:val="10"/>
        <w:keepNext w:val="0"/>
        <w:keepLines w:val="0"/>
        <w:pageBreakBefore w:val="0"/>
        <w:widowControl w:val="0"/>
        <w:kinsoku/>
        <w:wordWrap/>
        <w:overflowPunct/>
        <w:topLinePunct w:val="0"/>
        <w:autoSpaceDE/>
        <w:autoSpaceDN/>
        <w:bidi w:val="0"/>
        <w:adjustRightInd/>
        <w:snapToGrid w:val="0"/>
        <w:spacing w:before="0" w:after="0" w:line="360" w:lineRule="auto"/>
        <w:ind w:firstLine="482"/>
        <w:textAlignment w:val="auto"/>
        <w:rPr>
          <w:rFonts w:ascii="宋体" w:hAnsi="宋体" w:eastAsia="宋体" w:cs="宋体"/>
          <w:color w:val="auto"/>
          <w:szCs w:val="24"/>
          <w:lang w:eastAsia="zh-CN"/>
        </w:rPr>
      </w:pPr>
      <w:r>
        <w:rPr>
          <w:rFonts w:hint="eastAsia" w:ascii="宋体" w:hAnsi="宋体" w:eastAsia="宋体" w:cs="宋体"/>
          <w:color w:val="auto"/>
          <w:szCs w:val="24"/>
          <w:lang w:val="en-US" w:eastAsia="zh-CN"/>
        </w:rPr>
        <w:t>5.3</w:t>
      </w:r>
      <w:r>
        <w:rPr>
          <w:rFonts w:hint="eastAsia" w:ascii="宋体" w:hAnsi="宋体" w:eastAsia="宋体" w:cs="宋体"/>
          <w:color w:val="auto"/>
          <w:szCs w:val="24"/>
          <w:lang w:eastAsia="zh-CN"/>
        </w:rPr>
        <w:t>成交供应商人员应在合同规定的采购期内完成该项工作。如因成交供应商责任而造成的延期，所有因采购延期而产生的费用由成交供应商承担。</w:t>
      </w:r>
    </w:p>
    <w:p w14:paraId="7DB0874B">
      <w:pPr>
        <w:spacing w:line="360" w:lineRule="auto"/>
        <w:ind w:firstLine="482"/>
        <w:rPr>
          <w:rFonts w:eastAsia="宋体"/>
          <w:color w:val="auto"/>
          <w:lang w:eastAsia="zh-CN"/>
        </w:rPr>
      </w:pPr>
      <w:r>
        <w:rPr>
          <w:rFonts w:hint="eastAsia" w:ascii="宋体" w:hAnsi="宋体" w:eastAsia="宋体" w:cs="宋体"/>
          <w:color w:val="auto"/>
          <w:szCs w:val="24"/>
          <w:lang w:val="en-US" w:eastAsia="zh-CN"/>
        </w:rPr>
        <w:t>5.4</w:t>
      </w:r>
      <w:r>
        <w:rPr>
          <w:rFonts w:hint="eastAsia" w:eastAsia="宋体"/>
          <w:color w:val="auto"/>
          <w:lang w:eastAsia="zh-CN"/>
        </w:rPr>
        <w:t>成交供应商人员，需要在竞价结束公示后三日内将样品、质检报告送至招标人指定地点进行封样。未进行送样封样，不允许送货。</w:t>
      </w:r>
    </w:p>
    <w:p w14:paraId="78433A5C">
      <w:pPr>
        <w:spacing w:line="360" w:lineRule="auto"/>
        <w:ind w:firstLine="480" w:firstLineChars="200"/>
        <w:rPr>
          <w:rFonts w:eastAsia="宋体"/>
          <w:color w:val="auto"/>
          <w:lang w:eastAsia="zh-CN"/>
        </w:rPr>
      </w:pPr>
      <w:r>
        <w:rPr>
          <w:rFonts w:hint="eastAsia" w:ascii="宋体" w:hAnsi="宋体" w:eastAsia="宋体" w:cs="宋体"/>
          <w:color w:val="auto"/>
          <w:szCs w:val="24"/>
          <w:lang w:val="en-US" w:eastAsia="zh-CN"/>
        </w:rPr>
        <w:t>5.5</w:t>
      </w:r>
      <w:r>
        <w:rPr>
          <w:rFonts w:hint="eastAsia" w:ascii="宋体" w:hAnsi="宋体" w:eastAsia="宋体" w:cs="宋体"/>
          <w:color w:val="auto"/>
          <w:lang w:eastAsia="zh-CN"/>
        </w:rPr>
        <w:t>签收人员：需要</w:t>
      </w:r>
      <w:r>
        <w:rPr>
          <w:rFonts w:hint="eastAsia" w:ascii="宋体" w:hAnsi="宋体" w:eastAsia="宋体" w:cs="宋体"/>
          <w:color w:val="auto"/>
          <w:spacing w:val="13"/>
          <w:lang w:eastAsia="zh-CN"/>
        </w:rPr>
        <w:t>施工员，片区长（我方</w:t>
      </w:r>
      <w:r>
        <w:rPr>
          <w:rFonts w:hint="eastAsia" w:ascii="宋体" w:hAnsi="宋体" w:eastAsia="宋体" w:cs="宋体"/>
          <w:color w:val="auto"/>
          <w:spacing w:val="4"/>
          <w:lang w:eastAsia="zh-CN"/>
        </w:rPr>
        <w:t>提供的收货人授权书为准）</w:t>
      </w:r>
      <w:r>
        <w:rPr>
          <w:rFonts w:hint="eastAsia" w:ascii="宋体" w:hAnsi="宋体" w:eastAsia="宋体" w:cs="宋体"/>
          <w:color w:val="auto"/>
          <w:spacing w:val="13"/>
          <w:lang w:eastAsia="zh-CN"/>
        </w:rPr>
        <w:t>等</w:t>
      </w:r>
      <w:r>
        <w:rPr>
          <w:color w:val="auto"/>
          <w:spacing w:val="13"/>
          <w:lang w:eastAsia="zh-CN"/>
        </w:rPr>
        <w:t>2</w:t>
      </w:r>
      <w:r>
        <w:rPr>
          <w:rFonts w:hint="eastAsia" w:ascii="宋体" w:hAnsi="宋体" w:eastAsia="宋体" w:cs="宋体"/>
          <w:color w:val="auto"/>
          <w:spacing w:val="13"/>
          <w:lang w:eastAsia="zh-CN"/>
        </w:rPr>
        <w:t>人同时签字。</w:t>
      </w:r>
      <w:r>
        <w:rPr>
          <w:rFonts w:hint="eastAsia" w:ascii="宋体" w:hAnsi="宋体" w:eastAsia="宋体" w:cs="宋体"/>
          <w:color w:val="auto"/>
          <w:spacing w:val="4"/>
          <w:lang w:eastAsia="zh-CN"/>
        </w:rPr>
        <w:t>其他人员签收我方不予认可。</w:t>
      </w:r>
    </w:p>
    <w:p w14:paraId="4622CDD6">
      <w:pPr>
        <w:spacing w:line="360" w:lineRule="auto"/>
        <w:ind w:firstLine="480" w:firstLineChars="200"/>
        <w:rPr>
          <w:rFonts w:eastAsia="宋体"/>
          <w:color w:val="auto"/>
          <w:lang w:eastAsia="zh-CN"/>
        </w:rPr>
      </w:pPr>
      <w:r>
        <w:rPr>
          <w:rFonts w:hint="eastAsia" w:ascii="宋体" w:hAnsi="宋体" w:eastAsia="宋体" w:cs="宋体"/>
          <w:color w:val="auto"/>
          <w:szCs w:val="24"/>
          <w:lang w:val="en-US" w:eastAsia="zh-CN"/>
        </w:rPr>
        <w:t>5.6</w:t>
      </w:r>
      <w:r>
        <w:rPr>
          <w:rFonts w:hint="eastAsia" w:ascii="宋体" w:hAnsi="宋体" w:eastAsia="宋体" w:cs="宋体"/>
          <w:color w:val="auto"/>
          <w:lang w:eastAsia="zh-CN"/>
        </w:rPr>
        <w:t>签收送货数量：成交供应商需要不定期配合项目抽查数量。</w:t>
      </w:r>
      <w:r>
        <w:rPr>
          <w:rFonts w:hint="eastAsia" w:eastAsia="宋体"/>
          <w:color w:val="auto"/>
          <w:lang w:eastAsia="zh-CN"/>
        </w:rPr>
        <w:t>材料送到项目指定地点，项目会指定专人代表在收货地点进行检验及签收，货物数量最终按照项目地实际签收数量结算。货物损耗计算方法：</w:t>
      </w:r>
      <w:r>
        <w:rPr>
          <w:rFonts w:hint="eastAsia" w:ascii="宋体" w:hAnsi="宋体" w:eastAsia="宋体" w:cs="宋体"/>
          <w:color w:val="auto"/>
          <w:lang w:eastAsia="zh-CN"/>
        </w:rPr>
        <w:t>成交供应商</w:t>
      </w:r>
      <w:r>
        <w:rPr>
          <w:rFonts w:hint="eastAsia" w:eastAsia="宋体"/>
          <w:color w:val="auto"/>
          <w:lang w:eastAsia="zh-CN"/>
        </w:rPr>
        <w:t>必须加大运输管理，确保货物损耗不超过</w:t>
      </w:r>
      <w:r>
        <w:rPr>
          <w:rFonts w:eastAsia="宋体"/>
          <w:color w:val="auto"/>
          <w:lang w:eastAsia="zh-CN"/>
        </w:rPr>
        <w:t>5%</w:t>
      </w:r>
      <w:r>
        <w:rPr>
          <w:rFonts w:hint="eastAsia" w:eastAsia="宋体"/>
          <w:color w:val="auto"/>
          <w:lang w:eastAsia="zh-CN"/>
        </w:rPr>
        <w:t>，超出的货损、货差由</w:t>
      </w:r>
      <w:r>
        <w:rPr>
          <w:rFonts w:hint="eastAsia" w:ascii="宋体" w:hAnsi="宋体" w:eastAsia="宋体" w:cs="宋体"/>
          <w:color w:val="auto"/>
          <w:lang w:eastAsia="zh-CN"/>
        </w:rPr>
        <w:t>成交供应商</w:t>
      </w:r>
      <w:r>
        <w:rPr>
          <w:rFonts w:hint="eastAsia" w:eastAsia="宋体"/>
          <w:color w:val="auto"/>
          <w:lang w:eastAsia="zh-CN"/>
        </w:rPr>
        <w:t>承担全额赔偿；若连续两次发生超出货损情形，项目部将启动针对</w:t>
      </w:r>
      <w:r>
        <w:rPr>
          <w:rFonts w:hint="eastAsia" w:ascii="宋体" w:hAnsi="宋体" w:eastAsia="宋体" w:cs="宋体"/>
          <w:color w:val="auto"/>
          <w:lang w:eastAsia="zh-CN"/>
        </w:rPr>
        <w:t>成交供应商</w:t>
      </w:r>
      <w:r>
        <w:rPr>
          <w:rFonts w:hint="eastAsia" w:eastAsia="宋体"/>
          <w:color w:val="auto"/>
          <w:lang w:eastAsia="zh-CN"/>
        </w:rPr>
        <w:t>全车型运输方量核定程序，核定结果将作为全新基准执行：</w:t>
      </w:r>
    </w:p>
    <w:p w14:paraId="403F72AB">
      <w:pPr>
        <w:spacing w:line="360" w:lineRule="auto"/>
        <w:ind w:firstLine="480" w:firstLineChars="200"/>
        <w:rPr>
          <w:rFonts w:eastAsia="宋体"/>
          <w:color w:val="auto"/>
          <w:lang w:eastAsia="zh-CN"/>
        </w:rPr>
      </w:pPr>
      <w:r>
        <w:rPr>
          <w:rFonts w:hint="eastAsia" w:eastAsia="宋体"/>
          <w:color w:val="auto"/>
          <w:lang w:val="en-US" w:eastAsia="zh-CN"/>
        </w:rPr>
        <w:t>5.6.1</w:t>
      </w:r>
      <w:r>
        <w:rPr>
          <w:rFonts w:hint="eastAsia" w:eastAsia="宋体"/>
          <w:color w:val="auto"/>
          <w:lang w:eastAsia="zh-CN"/>
        </w:rPr>
        <w:t>追溯调整全部历史运输数据至最新标准；</w:t>
      </w:r>
    </w:p>
    <w:p w14:paraId="5D1EE17C">
      <w:pPr>
        <w:spacing w:line="360" w:lineRule="auto"/>
        <w:ind w:firstLine="480" w:firstLineChars="200"/>
        <w:rPr>
          <w:rFonts w:eastAsia="宋体"/>
          <w:color w:val="auto"/>
          <w:lang w:eastAsia="zh-CN"/>
        </w:rPr>
      </w:pPr>
      <w:r>
        <w:rPr>
          <w:rFonts w:hint="eastAsia" w:eastAsia="宋体"/>
          <w:color w:val="auto"/>
          <w:lang w:val="en-US" w:eastAsia="zh-CN"/>
        </w:rPr>
        <w:t>5.6.2</w:t>
      </w:r>
      <w:r>
        <w:rPr>
          <w:rFonts w:hint="eastAsia" w:eastAsia="宋体"/>
          <w:color w:val="auto"/>
          <w:lang w:eastAsia="zh-CN"/>
        </w:rPr>
        <w:t>后续运输均按此核定方量执行。若核定后仍出现超损，须立即重新核定方量，并按照最新核定的最低允许方量标准进行动态调整。</w:t>
      </w:r>
    </w:p>
    <w:p w14:paraId="04BD4A50">
      <w:pPr>
        <w:spacing w:line="360" w:lineRule="auto"/>
        <w:ind w:firstLine="480" w:firstLineChars="200"/>
        <w:rPr>
          <w:rFonts w:ascii="宋体" w:hAnsi="宋体" w:eastAsia="宋体" w:cs="宋体"/>
          <w:color w:val="auto"/>
          <w:lang w:eastAsia="zh-CN"/>
        </w:rPr>
      </w:pPr>
      <w:r>
        <w:rPr>
          <w:rFonts w:hint="eastAsia" w:eastAsia="宋体"/>
          <w:color w:val="auto"/>
          <w:lang w:val="en-US" w:eastAsia="zh-CN"/>
        </w:rPr>
        <w:t>5.7</w:t>
      </w:r>
      <w:r>
        <w:rPr>
          <w:rFonts w:hint="eastAsia"/>
          <w:color w:val="auto"/>
          <w:lang w:eastAsia="zh-CN"/>
        </w:rPr>
        <w:t xml:space="preserve"> </w:t>
      </w:r>
      <w:r>
        <w:rPr>
          <w:rFonts w:hint="eastAsia" w:ascii="宋体" w:hAnsi="宋体" w:eastAsia="宋体" w:cs="宋体"/>
          <w:color w:val="auto"/>
          <w:lang w:eastAsia="zh-CN"/>
        </w:rPr>
        <w:t>签收送货质量：中标人同签订之前应提供样品封样，成交供应商现场送货材料必须与封样样品一致，如不相符，材料必须</w:t>
      </w:r>
      <w:r>
        <w:rPr>
          <w:rFonts w:ascii="宋体" w:hAnsi="宋体" w:eastAsia="宋体" w:cs="宋体"/>
          <w:color w:val="auto"/>
          <w:lang w:eastAsia="zh-CN"/>
        </w:rPr>
        <w:t>2</w:t>
      </w:r>
      <w:r>
        <w:rPr>
          <w:rFonts w:hint="eastAsia" w:ascii="宋体" w:hAnsi="宋体" w:eastAsia="宋体" w:cs="宋体"/>
          <w:color w:val="auto"/>
          <w:lang w:eastAsia="zh-CN"/>
        </w:rPr>
        <w:t>小时内重新送到指定地点。第一次发函通知警告，如出现第</w:t>
      </w:r>
      <w:r>
        <w:rPr>
          <w:rFonts w:ascii="宋体" w:hAnsi="宋体" w:eastAsia="宋体" w:cs="宋体"/>
          <w:color w:val="auto"/>
          <w:lang w:eastAsia="zh-CN"/>
        </w:rPr>
        <w:t>2</w:t>
      </w:r>
      <w:r>
        <w:rPr>
          <w:rFonts w:hint="eastAsia" w:ascii="宋体" w:hAnsi="宋体" w:eastAsia="宋体" w:cs="宋体"/>
          <w:color w:val="auto"/>
          <w:lang w:eastAsia="zh-CN"/>
        </w:rPr>
        <w:t>次送货材料与样品不一致，罚款</w:t>
      </w:r>
      <w:r>
        <w:rPr>
          <w:rFonts w:ascii="宋体" w:hAnsi="宋体" w:eastAsia="宋体" w:cs="宋体"/>
          <w:color w:val="auto"/>
          <w:lang w:eastAsia="zh-CN"/>
        </w:rPr>
        <w:t>1500</w:t>
      </w:r>
      <w:r>
        <w:rPr>
          <w:rFonts w:hint="eastAsia" w:ascii="宋体" w:hAnsi="宋体" w:eastAsia="宋体" w:cs="宋体"/>
          <w:color w:val="auto"/>
          <w:lang w:eastAsia="zh-CN"/>
        </w:rPr>
        <w:t>元，第</w:t>
      </w:r>
      <w:r>
        <w:rPr>
          <w:rFonts w:ascii="宋体" w:hAnsi="宋体" w:eastAsia="宋体" w:cs="宋体"/>
          <w:color w:val="auto"/>
          <w:lang w:eastAsia="zh-CN"/>
        </w:rPr>
        <w:t>3</w:t>
      </w:r>
      <w:r>
        <w:rPr>
          <w:rFonts w:hint="eastAsia" w:ascii="宋体" w:hAnsi="宋体" w:eastAsia="宋体" w:cs="宋体"/>
          <w:color w:val="auto"/>
          <w:lang w:eastAsia="zh-CN"/>
        </w:rPr>
        <w:t>次出现送货材料与样品不一致，解除合同。</w:t>
      </w:r>
    </w:p>
    <w:p w14:paraId="26055FE2">
      <w:pPr>
        <w:pStyle w:val="10"/>
        <w:spacing w:line="360" w:lineRule="auto"/>
        <w:ind w:firstLine="480"/>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6</w:t>
      </w:r>
      <w:r>
        <w:rPr>
          <w:rFonts w:hint="eastAsia" w:ascii="宋体" w:hAnsi="宋体" w:eastAsia="宋体" w:cs="宋体"/>
          <w:color w:val="auto"/>
          <w:szCs w:val="24"/>
          <w:lang w:eastAsia="zh-CN"/>
        </w:rPr>
        <w:t>、工程材料延误到货处罚条款</w:t>
      </w:r>
    </w:p>
    <w:p w14:paraId="6CD880A1">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6.1</w:t>
      </w:r>
      <w:r>
        <w:rPr>
          <w:rFonts w:hint="eastAsia" w:ascii="宋体" w:hAnsi="宋体" w:eastAsia="宋体" w:cs="宋体"/>
          <w:color w:val="auto"/>
          <w:szCs w:val="24"/>
          <w:lang w:eastAsia="zh-CN"/>
        </w:rPr>
        <w:t>延误认定标准</w:t>
      </w:r>
    </w:p>
    <w:p w14:paraId="48CB88B7">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6.1.1</w:t>
      </w:r>
      <w:r>
        <w:rPr>
          <w:rFonts w:hint="eastAsia" w:ascii="宋体" w:hAnsi="宋体" w:eastAsia="宋体" w:cs="宋体"/>
          <w:color w:val="auto"/>
          <w:szCs w:val="24"/>
          <w:lang w:eastAsia="zh-CN"/>
        </w:rPr>
        <w:t xml:space="preserve"> 成交供应商未按《材料供应计划表》约定时间送达指定工地</w:t>
      </w:r>
      <w:r>
        <w:rPr>
          <w:rFonts w:ascii="宋体" w:hAnsi="宋体" w:eastAsia="宋体" w:cs="宋体"/>
          <w:color w:val="auto"/>
          <w:szCs w:val="24"/>
          <w:lang w:eastAsia="zh-CN"/>
        </w:rPr>
        <w:t>(</w:t>
      </w:r>
      <w:r>
        <w:rPr>
          <w:rFonts w:hint="eastAsia" w:ascii="宋体" w:hAnsi="宋体" w:eastAsia="宋体" w:cs="宋体"/>
          <w:color w:val="auto"/>
          <w:szCs w:val="24"/>
          <w:lang w:eastAsia="zh-CN"/>
        </w:rPr>
        <w:t>如未送指定工地，产生二次搬运费用由供应商承担</w:t>
      </w:r>
      <w:r>
        <w:rPr>
          <w:rFonts w:ascii="宋体" w:hAnsi="宋体" w:eastAsia="宋体" w:cs="宋体"/>
          <w:color w:val="auto"/>
          <w:szCs w:val="24"/>
          <w:lang w:eastAsia="zh-CN"/>
        </w:rPr>
        <w:t>),</w:t>
      </w:r>
      <w:r>
        <w:rPr>
          <w:rFonts w:hint="eastAsia" w:ascii="宋体" w:hAnsi="宋体" w:eastAsia="宋体" w:cs="宋体"/>
          <w:color w:val="auto"/>
          <w:szCs w:val="24"/>
          <w:lang w:eastAsia="zh-CN"/>
        </w:rPr>
        <w:t>延迟≥</w:t>
      </w:r>
      <w:r>
        <w:rPr>
          <w:rFonts w:ascii="宋体" w:hAnsi="宋体" w:eastAsia="宋体" w:cs="宋体"/>
          <w:color w:val="auto"/>
          <w:szCs w:val="24"/>
          <w:lang w:eastAsia="zh-CN"/>
        </w:rPr>
        <w:t>4</w:t>
      </w:r>
      <w:r>
        <w:rPr>
          <w:rFonts w:hint="eastAsia" w:ascii="宋体" w:hAnsi="宋体" w:eastAsia="宋体" w:cs="宋体"/>
          <w:color w:val="auto"/>
          <w:szCs w:val="24"/>
          <w:lang w:eastAsia="zh-CN"/>
        </w:rPr>
        <w:t>小时即构成违约。</w:t>
      </w:r>
    </w:p>
    <w:p w14:paraId="30CAA732">
      <w:pPr>
        <w:pStyle w:val="10"/>
        <w:spacing w:line="360" w:lineRule="auto"/>
        <w:ind w:firstLine="480"/>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6.1.2</w:t>
      </w:r>
      <w:r>
        <w:rPr>
          <w:rFonts w:hint="eastAsia" w:ascii="宋体" w:hAnsi="宋体" w:eastAsia="宋体" w:cs="宋体"/>
          <w:color w:val="auto"/>
          <w:szCs w:val="24"/>
          <w:lang w:eastAsia="zh-CN"/>
        </w:rPr>
        <w:t xml:space="preserve">  送达时间以现场签收人签收单为准。</w:t>
      </w:r>
    </w:p>
    <w:p w14:paraId="4348A16F">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6.2</w:t>
      </w:r>
      <w:r>
        <w:rPr>
          <w:rFonts w:hint="eastAsia" w:ascii="宋体" w:hAnsi="宋体" w:eastAsia="宋体" w:cs="宋体"/>
          <w:color w:val="auto"/>
          <w:szCs w:val="24"/>
          <w:lang w:eastAsia="zh-CN"/>
        </w:rPr>
        <w:t>阶梯式违约金计算</w:t>
      </w:r>
    </w:p>
    <w:p w14:paraId="5465E7B4">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6.2.1</w:t>
      </w:r>
      <w:r>
        <w:rPr>
          <w:rFonts w:hint="eastAsia" w:ascii="宋体" w:hAnsi="宋体" w:eastAsia="宋体" w:cs="宋体"/>
          <w:color w:val="auto"/>
          <w:szCs w:val="24"/>
          <w:lang w:eastAsia="zh-CN"/>
        </w:rPr>
        <w:t xml:space="preserve"> 单批次延误</w:t>
      </w:r>
      <w:r>
        <w:rPr>
          <w:rFonts w:ascii="宋体" w:hAnsi="宋体" w:eastAsia="宋体" w:cs="宋体"/>
          <w:color w:val="auto"/>
          <w:szCs w:val="24"/>
          <w:lang w:eastAsia="zh-CN"/>
        </w:rPr>
        <w:t>1</w:t>
      </w:r>
      <w:r>
        <w:rPr>
          <w:rFonts w:hint="eastAsia" w:ascii="宋体" w:hAnsi="宋体" w:eastAsia="宋体" w:cs="宋体"/>
          <w:color w:val="auto"/>
          <w:szCs w:val="24"/>
          <w:lang w:eastAsia="zh-CN"/>
        </w:rPr>
        <w:t>天，计算公式：延误材料价×</w:t>
      </w:r>
      <w:r>
        <w:rPr>
          <w:rFonts w:ascii="宋体" w:hAnsi="宋体" w:eastAsia="宋体" w:cs="宋体"/>
          <w:color w:val="auto"/>
          <w:szCs w:val="24"/>
          <w:lang w:eastAsia="zh-CN"/>
        </w:rPr>
        <w:t>0.2%/</w:t>
      </w:r>
      <w:r>
        <w:rPr>
          <w:rFonts w:hint="eastAsia" w:ascii="宋体" w:hAnsi="宋体" w:eastAsia="宋体" w:cs="宋体"/>
          <w:color w:val="auto"/>
          <w:szCs w:val="24"/>
          <w:lang w:eastAsia="zh-CN"/>
        </w:rPr>
        <w:t>天，上限≤材料总价</w:t>
      </w:r>
      <w:r>
        <w:rPr>
          <w:rFonts w:ascii="宋体" w:hAnsi="宋体" w:eastAsia="宋体" w:cs="宋体"/>
          <w:color w:val="auto"/>
          <w:szCs w:val="24"/>
          <w:lang w:eastAsia="zh-CN"/>
        </w:rPr>
        <w:t>5%</w:t>
      </w:r>
      <w:r>
        <w:rPr>
          <w:rFonts w:hint="eastAsia" w:ascii="宋体" w:hAnsi="宋体" w:eastAsia="宋体" w:cs="宋体"/>
          <w:color w:val="auto"/>
          <w:szCs w:val="24"/>
          <w:lang w:eastAsia="zh-CN"/>
        </w:rPr>
        <w:t>。</w:t>
      </w:r>
    </w:p>
    <w:p w14:paraId="6476D010">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6.2.2</w:t>
      </w:r>
      <w:r>
        <w:rPr>
          <w:rFonts w:hint="eastAsia" w:ascii="宋体" w:hAnsi="宋体" w:eastAsia="宋体" w:cs="宋体"/>
          <w:color w:val="auto"/>
          <w:szCs w:val="24"/>
          <w:lang w:eastAsia="zh-CN"/>
        </w:rPr>
        <w:t xml:space="preserve"> 单批次延误≥</w:t>
      </w:r>
      <w:r>
        <w:rPr>
          <w:rFonts w:ascii="宋体" w:hAnsi="宋体" w:eastAsia="宋体" w:cs="宋体"/>
          <w:color w:val="auto"/>
          <w:szCs w:val="24"/>
          <w:lang w:eastAsia="zh-CN"/>
        </w:rPr>
        <w:t>2</w:t>
      </w:r>
      <w:r>
        <w:rPr>
          <w:rFonts w:hint="eastAsia" w:ascii="宋体" w:hAnsi="宋体" w:eastAsia="宋体" w:cs="宋体"/>
          <w:color w:val="auto"/>
          <w:szCs w:val="24"/>
          <w:lang w:eastAsia="zh-CN"/>
        </w:rPr>
        <w:t>天，计算公式：延误材料价×</w:t>
      </w:r>
      <w:r>
        <w:rPr>
          <w:rFonts w:ascii="宋体" w:hAnsi="宋体" w:eastAsia="宋体" w:cs="宋体"/>
          <w:color w:val="auto"/>
          <w:szCs w:val="24"/>
          <w:lang w:eastAsia="zh-CN"/>
        </w:rPr>
        <w:t>0.5%/</w:t>
      </w:r>
      <w:r>
        <w:rPr>
          <w:rFonts w:hint="eastAsia" w:ascii="宋体" w:hAnsi="宋体" w:eastAsia="宋体" w:cs="宋体"/>
          <w:color w:val="auto"/>
          <w:szCs w:val="24"/>
          <w:lang w:eastAsia="zh-CN"/>
        </w:rPr>
        <w:t>天</w:t>
      </w:r>
      <w:r>
        <w:rPr>
          <w:rFonts w:ascii="宋体" w:hAnsi="宋体" w:eastAsia="宋体" w:cs="宋体"/>
          <w:color w:val="auto"/>
          <w:szCs w:val="24"/>
          <w:lang w:eastAsia="zh-CN"/>
        </w:rPr>
        <w:t xml:space="preserve">+ </w:t>
      </w:r>
      <w:r>
        <w:rPr>
          <w:rFonts w:hint="eastAsia" w:ascii="宋体" w:hAnsi="宋体" w:eastAsia="宋体" w:cs="宋体"/>
          <w:color w:val="auto"/>
          <w:szCs w:val="24"/>
          <w:lang w:eastAsia="zh-CN"/>
        </w:rPr>
        <w:t>停工损失，上限≤材料总价</w:t>
      </w:r>
      <w:r>
        <w:rPr>
          <w:rFonts w:ascii="宋体" w:hAnsi="宋体" w:eastAsia="宋体" w:cs="宋体"/>
          <w:color w:val="auto"/>
          <w:szCs w:val="24"/>
          <w:lang w:eastAsia="zh-CN"/>
        </w:rPr>
        <w:t>10%</w:t>
      </w:r>
      <w:r>
        <w:rPr>
          <w:rFonts w:hint="eastAsia" w:ascii="宋体" w:hAnsi="宋体" w:eastAsia="宋体" w:cs="宋体"/>
          <w:color w:val="auto"/>
          <w:szCs w:val="24"/>
          <w:lang w:eastAsia="zh-CN"/>
        </w:rPr>
        <w:t>。</w:t>
      </w:r>
    </w:p>
    <w:p w14:paraId="3D18D054">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6.2.3</w:t>
      </w:r>
      <w:r>
        <w:rPr>
          <w:rFonts w:hint="eastAsia" w:ascii="宋体" w:hAnsi="宋体" w:eastAsia="宋体" w:cs="宋体"/>
          <w:color w:val="auto"/>
          <w:szCs w:val="24"/>
          <w:lang w:eastAsia="zh-CN"/>
        </w:rPr>
        <w:t>年度累计延误≥</w:t>
      </w:r>
      <w:r>
        <w:rPr>
          <w:rFonts w:ascii="宋体" w:hAnsi="宋体" w:eastAsia="宋体" w:cs="宋体"/>
          <w:color w:val="auto"/>
          <w:szCs w:val="24"/>
          <w:lang w:eastAsia="zh-CN"/>
        </w:rPr>
        <w:t>3</w:t>
      </w:r>
      <w:r>
        <w:rPr>
          <w:rFonts w:hint="eastAsia" w:ascii="宋体" w:hAnsi="宋体" w:eastAsia="宋体" w:cs="宋体"/>
          <w:color w:val="auto"/>
          <w:szCs w:val="24"/>
          <w:lang w:eastAsia="zh-CN"/>
        </w:rPr>
        <w:t>次，计算公式：扣除全额履约保证金</w:t>
      </w:r>
      <w:r>
        <w:rPr>
          <w:rFonts w:ascii="宋体" w:hAnsi="宋体" w:eastAsia="宋体" w:cs="宋体"/>
          <w:color w:val="auto"/>
          <w:szCs w:val="24"/>
          <w:lang w:eastAsia="zh-CN"/>
        </w:rPr>
        <w:t xml:space="preserve"> +</w:t>
      </w:r>
      <w:r>
        <w:rPr>
          <w:rFonts w:hint="eastAsia" w:ascii="宋体" w:hAnsi="宋体" w:eastAsia="宋体" w:cs="宋体"/>
          <w:color w:val="auto"/>
          <w:szCs w:val="24"/>
          <w:lang w:eastAsia="zh-CN"/>
        </w:rPr>
        <w:t>暂停后续订单，上限履约保证金</w:t>
      </w:r>
      <w:r>
        <w:rPr>
          <w:rFonts w:ascii="宋体" w:hAnsi="宋体" w:eastAsia="宋体" w:cs="宋体"/>
          <w:color w:val="auto"/>
          <w:szCs w:val="24"/>
          <w:lang w:eastAsia="zh-CN"/>
        </w:rPr>
        <w:t>100%</w:t>
      </w:r>
      <w:r>
        <w:rPr>
          <w:rFonts w:hint="eastAsia" w:ascii="宋体" w:hAnsi="宋体" w:eastAsia="宋体" w:cs="宋体"/>
          <w:color w:val="auto"/>
          <w:szCs w:val="24"/>
          <w:lang w:eastAsia="zh-CN"/>
        </w:rPr>
        <w:t>。</w:t>
      </w:r>
    </w:p>
    <w:p w14:paraId="7BFCEA2C">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6.3</w:t>
      </w:r>
      <w:r>
        <w:rPr>
          <w:rFonts w:hint="eastAsia" w:ascii="宋体" w:hAnsi="宋体" w:eastAsia="宋体" w:cs="宋体"/>
          <w:color w:val="auto"/>
          <w:szCs w:val="24"/>
          <w:lang w:eastAsia="zh-CN"/>
        </w:rPr>
        <w:t>直接损失索赔供应商需赔偿因延误导致的：</w:t>
      </w:r>
    </w:p>
    <w:p w14:paraId="30B09B03">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6.3.1</w:t>
      </w:r>
      <w:r>
        <w:rPr>
          <w:rFonts w:hint="eastAsia" w:ascii="宋体" w:hAnsi="宋体" w:eastAsia="宋体" w:cs="宋体"/>
          <w:color w:val="auto"/>
          <w:szCs w:val="24"/>
          <w:lang w:eastAsia="zh-CN"/>
        </w:rPr>
        <w:t xml:space="preserve"> 人员窝工费</w:t>
      </w:r>
      <w:r>
        <w:rPr>
          <w:rFonts w:ascii="宋体" w:hAnsi="宋体" w:eastAsia="宋体" w:cs="宋体"/>
          <w:color w:val="auto"/>
          <w:szCs w:val="24"/>
          <w:lang w:eastAsia="zh-CN"/>
        </w:rPr>
        <w:t>=</w:t>
      </w:r>
      <w:r>
        <w:rPr>
          <w:rFonts w:hint="eastAsia" w:ascii="宋体" w:hAnsi="宋体" w:eastAsia="宋体" w:cs="宋体"/>
          <w:color w:val="auto"/>
          <w:szCs w:val="24"/>
          <w:lang w:eastAsia="zh-CN"/>
        </w:rPr>
        <w:t>窝工人数×当地日工资×延误天数。</w:t>
      </w:r>
    </w:p>
    <w:p w14:paraId="023793D7">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6.3.2</w:t>
      </w:r>
      <w:r>
        <w:rPr>
          <w:rFonts w:hint="eastAsia" w:ascii="宋体" w:hAnsi="宋体" w:eastAsia="宋体" w:cs="宋体"/>
          <w:color w:val="auto"/>
          <w:szCs w:val="24"/>
          <w:lang w:eastAsia="zh-CN"/>
        </w:rPr>
        <w:t xml:space="preserve"> 机械闲置费</w:t>
      </w:r>
      <w:r>
        <w:rPr>
          <w:rFonts w:ascii="宋体" w:hAnsi="宋体" w:eastAsia="宋体" w:cs="宋体"/>
          <w:color w:val="auto"/>
          <w:szCs w:val="24"/>
          <w:lang w:eastAsia="zh-CN"/>
        </w:rPr>
        <w:t>=</w:t>
      </w:r>
      <w:r>
        <w:rPr>
          <w:rFonts w:hint="eastAsia" w:ascii="宋体" w:hAnsi="宋体" w:eastAsia="宋体" w:cs="宋体"/>
          <w:color w:val="auto"/>
          <w:szCs w:val="24"/>
          <w:lang w:eastAsia="zh-CN"/>
        </w:rPr>
        <w:t>设备台班费×延误天数。</w:t>
      </w:r>
    </w:p>
    <w:p w14:paraId="292F591A">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6.3.3</w:t>
      </w:r>
      <w:r>
        <w:rPr>
          <w:rFonts w:hint="eastAsia" w:ascii="宋体" w:hAnsi="宋体" w:eastAsia="宋体" w:cs="宋体"/>
          <w:color w:val="auto"/>
          <w:szCs w:val="24"/>
          <w:lang w:eastAsia="zh-CN"/>
        </w:rPr>
        <w:t xml:space="preserve"> 赶工措施费</w:t>
      </w:r>
      <w:r>
        <w:rPr>
          <w:rFonts w:ascii="宋体" w:hAnsi="宋体" w:eastAsia="宋体" w:cs="宋体"/>
          <w:color w:val="auto"/>
          <w:szCs w:val="24"/>
          <w:lang w:eastAsia="zh-CN"/>
        </w:rPr>
        <w:t>=</w:t>
      </w:r>
      <w:r>
        <w:rPr>
          <w:rFonts w:hint="eastAsia" w:ascii="宋体" w:hAnsi="宋体" w:eastAsia="宋体" w:cs="宋体"/>
          <w:color w:val="auto"/>
          <w:szCs w:val="24"/>
          <w:lang w:eastAsia="zh-CN"/>
        </w:rPr>
        <w:t>新增人工</w:t>
      </w:r>
      <w:r>
        <w:rPr>
          <w:rFonts w:ascii="宋体" w:hAnsi="宋体" w:eastAsia="宋体" w:cs="宋体"/>
          <w:color w:val="auto"/>
          <w:szCs w:val="24"/>
          <w:lang w:eastAsia="zh-CN"/>
        </w:rPr>
        <w:t>/</w:t>
      </w:r>
      <w:r>
        <w:rPr>
          <w:rFonts w:hint="eastAsia" w:ascii="宋体" w:hAnsi="宋体" w:eastAsia="宋体" w:cs="宋体"/>
          <w:color w:val="auto"/>
          <w:szCs w:val="24"/>
          <w:lang w:eastAsia="zh-CN"/>
        </w:rPr>
        <w:t>设备费×</w:t>
      </w:r>
      <w:r>
        <w:rPr>
          <w:rFonts w:ascii="宋体" w:hAnsi="宋体" w:eastAsia="宋体" w:cs="宋体"/>
          <w:color w:val="auto"/>
          <w:szCs w:val="24"/>
          <w:lang w:eastAsia="zh-CN"/>
        </w:rPr>
        <w:t>1.5</w:t>
      </w:r>
      <w:r>
        <w:rPr>
          <w:rFonts w:hint="eastAsia" w:ascii="宋体" w:hAnsi="宋体" w:eastAsia="宋体" w:cs="宋体"/>
          <w:color w:val="auto"/>
          <w:szCs w:val="24"/>
          <w:lang w:eastAsia="zh-CN"/>
        </w:rPr>
        <w:t>。</w:t>
      </w:r>
    </w:p>
    <w:p w14:paraId="187A048E">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6.3.4</w:t>
      </w:r>
      <w:r>
        <w:rPr>
          <w:rFonts w:hint="eastAsia" w:ascii="宋体" w:hAnsi="宋体" w:eastAsia="宋体" w:cs="宋体"/>
          <w:color w:val="auto"/>
          <w:szCs w:val="24"/>
          <w:lang w:eastAsia="zh-CN"/>
        </w:rPr>
        <w:t xml:space="preserve"> 工期罚金</w:t>
      </w:r>
      <w:r>
        <w:rPr>
          <w:rFonts w:ascii="宋体" w:hAnsi="宋体" w:eastAsia="宋体" w:cs="宋体"/>
          <w:color w:val="auto"/>
          <w:szCs w:val="24"/>
          <w:lang w:eastAsia="zh-CN"/>
        </w:rPr>
        <w:t>=5000</w:t>
      </w:r>
      <w:r>
        <w:rPr>
          <w:rFonts w:hint="eastAsia" w:ascii="宋体" w:hAnsi="宋体" w:eastAsia="宋体" w:cs="宋体"/>
          <w:color w:val="auto"/>
          <w:szCs w:val="24"/>
          <w:lang w:eastAsia="zh-CN"/>
        </w:rPr>
        <w:t>元</w:t>
      </w:r>
      <w:r>
        <w:rPr>
          <w:rFonts w:ascii="宋体" w:hAnsi="宋体" w:eastAsia="宋体" w:cs="宋体"/>
          <w:color w:val="auto"/>
          <w:szCs w:val="24"/>
          <w:lang w:eastAsia="zh-CN"/>
        </w:rPr>
        <w:t>/</w:t>
      </w:r>
      <w:r>
        <w:rPr>
          <w:rFonts w:hint="eastAsia" w:ascii="宋体" w:hAnsi="宋体" w:eastAsia="宋体" w:cs="宋体"/>
          <w:color w:val="auto"/>
          <w:szCs w:val="24"/>
          <w:lang w:eastAsia="zh-CN"/>
        </w:rPr>
        <w:t>天。</w:t>
      </w:r>
    </w:p>
    <w:p w14:paraId="1C0D785B">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6.4</w:t>
      </w:r>
      <w:r>
        <w:rPr>
          <w:rFonts w:hint="eastAsia" w:ascii="宋体" w:hAnsi="宋体" w:eastAsia="宋体" w:cs="宋体"/>
          <w:color w:val="auto"/>
          <w:szCs w:val="24"/>
          <w:lang w:eastAsia="zh-CN"/>
        </w:rPr>
        <w:t>严重违约处理出现以下情形，甲方有权单方解除合同：</w:t>
      </w:r>
    </w:p>
    <w:p w14:paraId="4BCEFA73">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6.4.1</w:t>
      </w:r>
      <w:r>
        <w:rPr>
          <w:rFonts w:hint="eastAsia" w:ascii="宋体" w:hAnsi="宋体" w:eastAsia="宋体" w:cs="宋体"/>
          <w:color w:val="auto"/>
          <w:szCs w:val="24"/>
          <w:lang w:eastAsia="zh-CN"/>
        </w:rPr>
        <w:t xml:space="preserve"> 单批次延误≥</w:t>
      </w:r>
      <w:r>
        <w:rPr>
          <w:rFonts w:ascii="宋体" w:hAnsi="宋体" w:eastAsia="宋体" w:cs="宋体"/>
          <w:color w:val="auto"/>
          <w:szCs w:val="24"/>
          <w:lang w:eastAsia="zh-CN"/>
        </w:rPr>
        <w:t>10</w:t>
      </w:r>
      <w:r>
        <w:rPr>
          <w:rFonts w:hint="eastAsia" w:ascii="宋体" w:hAnsi="宋体" w:eastAsia="宋体" w:cs="宋体"/>
          <w:color w:val="auto"/>
          <w:szCs w:val="24"/>
          <w:lang w:eastAsia="zh-CN"/>
        </w:rPr>
        <w:t>天。</w:t>
      </w:r>
    </w:p>
    <w:p w14:paraId="5E6ADAE1">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6.4.2</w:t>
      </w:r>
      <w:r>
        <w:rPr>
          <w:rFonts w:ascii="宋体" w:hAnsi="宋体" w:eastAsia="宋体" w:cs="宋体"/>
          <w:color w:val="auto"/>
          <w:szCs w:val="24"/>
          <w:lang w:eastAsia="zh-CN"/>
        </w:rPr>
        <w:t xml:space="preserve"> </w:t>
      </w:r>
      <w:r>
        <w:rPr>
          <w:rFonts w:hint="eastAsia" w:ascii="宋体" w:hAnsi="宋体" w:eastAsia="宋体" w:cs="宋体"/>
          <w:color w:val="auto"/>
          <w:szCs w:val="24"/>
          <w:lang w:eastAsia="zh-CN"/>
        </w:rPr>
        <w:t>累计延误≥合同总批次的</w:t>
      </w:r>
      <w:r>
        <w:rPr>
          <w:rFonts w:ascii="宋体" w:hAnsi="宋体" w:eastAsia="宋体" w:cs="宋体"/>
          <w:color w:val="auto"/>
          <w:szCs w:val="24"/>
          <w:lang w:eastAsia="zh-CN"/>
        </w:rPr>
        <w:t>20%</w:t>
      </w:r>
      <w:r>
        <w:rPr>
          <w:rFonts w:hint="eastAsia" w:ascii="宋体" w:hAnsi="宋体" w:eastAsia="宋体" w:cs="宋体"/>
          <w:color w:val="auto"/>
          <w:szCs w:val="24"/>
          <w:lang w:eastAsia="zh-CN"/>
        </w:rPr>
        <w:t>。</w:t>
      </w:r>
    </w:p>
    <w:p w14:paraId="445BC00E">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6.4.3</w:t>
      </w:r>
      <w:r>
        <w:rPr>
          <w:rFonts w:hint="eastAsia" w:ascii="宋体" w:hAnsi="宋体" w:eastAsia="宋体" w:cs="宋体"/>
          <w:color w:val="auto"/>
          <w:szCs w:val="24"/>
          <w:lang w:eastAsia="zh-CN"/>
        </w:rPr>
        <w:t>延误导致工程关键节点逾期</w:t>
      </w:r>
      <w:r>
        <w:rPr>
          <w:rFonts w:ascii="宋体" w:hAnsi="宋体" w:eastAsia="宋体" w:cs="宋体"/>
          <w:color w:val="auto"/>
          <w:szCs w:val="24"/>
          <w:lang w:eastAsia="zh-CN"/>
        </w:rPr>
        <w:t>&gt;</w:t>
      </w:r>
      <w:r>
        <w:rPr>
          <w:rFonts w:hint="eastAsia" w:ascii="宋体" w:hAnsi="宋体" w:eastAsia="宋体" w:cs="宋体"/>
          <w:color w:val="auto"/>
          <w:szCs w:val="24"/>
          <w:lang w:eastAsia="zh-CN"/>
        </w:rPr>
        <w:t>解除后供应商须赔偿</w:t>
      </w:r>
      <w:r>
        <w:rPr>
          <w:rFonts w:ascii="宋体" w:hAnsi="宋体" w:eastAsia="宋体" w:cs="宋体"/>
          <w:color w:val="auto"/>
          <w:szCs w:val="24"/>
          <w:lang w:eastAsia="zh-CN"/>
        </w:rPr>
        <w:t>&gt;</w:t>
      </w:r>
      <w:r>
        <w:rPr>
          <w:rFonts w:hint="eastAsia" w:ascii="宋体" w:hAnsi="宋体" w:eastAsia="宋体" w:cs="宋体"/>
          <w:color w:val="auto"/>
          <w:szCs w:val="24"/>
          <w:lang w:eastAsia="zh-CN"/>
        </w:rPr>
        <w:t>重新采购差价</w:t>
      </w:r>
      <w:r>
        <w:rPr>
          <w:rFonts w:ascii="宋体" w:hAnsi="宋体" w:eastAsia="宋体" w:cs="宋体"/>
          <w:color w:val="auto"/>
          <w:szCs w:val="24"/>
          <w:lang w:eastAsia="zh-CN"/>
        </w:rPr>
        <w:t>&gt;</w:t>
      </w:r>
      <w:r>
        <w:rPr>
          <w:rFonts w:hint="eastAsia" w:ascii="宋体" w:hAnsi="宋体" w:eastAsia="宋体" w:cs="宋体"/>
          <w:color w:val="auto"/>
          <w:szCs w:val="24"/>
          <w:lang w:eastAsia="zh-CN"/>
        </w:rPr>
        <w:t>工期总损失</w:t>
      </w:r>
      <w:r>
        <w:rPr>
          <w:rFonts w:ascii="宋体" w:hAnsi="宋体" w:eastAsia="宋体" w:cs="宋体"/>
          <w:color w:val="auto"/>
          <w:szCs w:val="24"/>
          <w:lang w:eastAsia="zh-CN"/>
        </w:rPr>
        <w:t>&gt;</w:t>
      </w:r>
      <w:r>
        <w:rPr>
          <w:rFonts w:hint="eastAsia" w:ascii="宋体" w:hAnsi="宋体" w:eastAsia="宋体" w:cs="宋体"/>
          <w:color w:val="auto"/>
          <w:szCs w:val="24"/>
          <w:lang w:eastAsia="zh-CN"/>
        </w:rPr>
        <w:t>合同总额</w:t>
      </w:r>
      <w:r>
        <w:rPr>
          <w:rFonts w:ascii="宋体" w:hAnsi="宋体" w:eastAsia="宋体" w:cs="宋体"/>
          <w:color w:val="auto"/>
          <w:szCs w:val="24"/>
          <w:lang w:eastAsia="zh-CN"/>
        </w:rPr>
        <w:t>20%</w:t>
      </w:r>
      <w:r>
        <w:rPr>
          <w:rFonts w:hint="eastAsia" w:ascii="宋体" w:hAnsi="宋体" w:eastAsia="宋体" w:cs="宋体"/>
          <w:color w:val="auto"/>
          <w:szCs w:val="24"/>
          <w:lang w:eastAsia="zh-CN"/>
        </w:rPr>
        <w:t>的惩罚性赔偿</w:t>
      </w:r>
    </w:p>
    <w:p w14:paraId="0EE3BC85">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6.5</w:t>
      </w:r>
      <w:r>
        <w:rPr>
          <w:rFonts w:hint="eastAsia" w:ascii="宋体" w:hAnsi="宋体" w:eastAsia="宋体" w:cs="宋体"/>
          <w:color w:val="auto"/>
          <w:szCs w:val="24"/>
          <w:lang w:eastAsia="zh-CN"/>
        </w:rPr>
        <w:t>免责情形</w:t>
      </w:r>
      <w:r>
        <w:rPr>
          <w:rFonts w:ascii="宋体" w:hAnsi="宋体" w:eastAsia="宋体" w:cs="宋体"/>
          <w:color w:val="auto"/>
          <w:szCs w:val="24"/>
          <w:lang w:eastAsia="zh-CN"/>
        </w:rPr>
        <w:t>(</w:t>
      </w:r>
      <w:r>
        <w:rPr>
          <w:rFonts w:hint="eastAsia" w:ascii="宋体" w:hAnsi="宋体" w:eastAsia="宋体" w:cs="宋体"/>
          <w:color w:val="auto"/>
          <w:szCs w:val="24"/>
          <w:lang w:eastAsia="zh-CN"/>
        </w:rPr>
        <w:t>需</w:t>
      </w:r>
      <w:r>
        <w:rPr>
          <w:rFonts w:ascii="宋体" w:hAnsi="宋体" w:eastAsia="宋体" w:cs="宋体"/>
          <w:color w:val="auto"/>
          <w:szCs w:val="24"/>
          <w:lang w:eastAsia="zh-CN"/>
        </w:rPr>
        <w:t>48</w:t>
      </w:r>
      <w:r>
        <w:rPr>
          <w:rFonts w:hint="eastAsia" w:ascii="宋体" w:hAnsi="宋体" w:eastAsia="宋体" w:cs="宋体"/>
          <w:color w:val="auto"/>
          <w:szCs w:val="24"/>
          <w:lang w:eastAsia="zh-CN"/>
        </w:rPr>
        <w:t>小时内举证</w:t>
      </w:r>
      <w:r>
        <w:rPr>
          <w:rFonts w:ascii="宋体" w:hAnsi="宋体" w:eastAsia="宋体" w:cs="宋体"/>
          <w:color w:val="auto"/>
          <w:szCs w:val="24"/>
          <w:lang w:eastAsia="zh-CN"/>
        </w:rPr>
        <w:t>)</w:t>
      </w:r>
    </w:p>
    <w:p w14:paraId="51C3EF37">
      <w:pPr>
        <w:pStyle w:val="10"/>
        <w:spacing w:line="360" w:lineRule="auto"/>
        <w:ind w:firstLine="480"/>
        <w:rPr>
          <w:rFonts w:ascii="宋体" w:hAnsi="宋体" w:eastAsia="宋体" w:cs="宋体"/>
          <w:color w:val="auto"/>
          <w:szCs w:val="24"/>
          <w:lang w:eastAsia="zh-CN"/>
        </w:rPr>
      </w:pPr>
      <w:r>
        <w:rPr>
          <w:rFonts w:ascii="宋体" w:hAnsi="宋体" w:eastAsia="宋体" w:cs="宋体"/>
          <w:color w:val="auto"/>
          <w:szCs w:val="24"/>
          <w:lang w:eastAsia="zh-CN"/>
        </w:rPr>
        <w:t xml:space="preserve"> </w:t>
      </w:r>
      <w:r>
        <w:rPr>
          <w:rFonts w:hint="eastAsia" w:ascii="宋体" w:hAnsi="宋体" w:eastAsia="宋体" w:cs="宋体"/>
          <w:color w:val="auto"/>
          <w:szCs w:val="24"/>
          <w:lang w:eastAsia="zh-CN"/>
        </w:rPr>
        <w:t>不可抗力</w:t>
      </w:r>
      <w:r>
        <w:rPr>
          <w:rFonts w:ascii="宋体" w:hAnsi="宋体" w:eastAsia="宋体" w:cs="宋体"/>
          <w:color w:val="auto"/>
          <w:szCs w:val="24"/>
          <w:lang w:eastAsia="zh-CN"/>
        </w:rPr>
        <w:t>(</w:t>
      </w:r>
      <w:r>
        <w:rPr>
          <w:rFonts w:hint="eastAsia" w:ascii="宋体" w:hAnsi="宋体" w:eastAsia="宋体" w:cs="宋体"/>
          <w:color w:val="auto"/>
          <w:szCs w:val="24"/>
          <w:lang w:eastAsia="zh-CN"/>
        </w:rPr>
        <w:t>需市级以上政府证明</w:t>
      </w:r>
      <w:r>
        <w:rPr>
          <w:rFonts w:ascii="宋体" w:hAnsi="宋体" w:eastAsia="宋体" w:cs="宋体"/>
          <w:color w:val="auto"/>
          <w:szCs w:val="24"/>
          <w:lang w:eastAsia="zh-CN"/>
        </w:rPr>
        <w:t>)</w:t>
      </w:r>
      <w:r>
        <w:rPr>
          <w:rFonts w:hint="eastAsia" w:ascii="宋体" w:hAnsi="宋体" w:eastAsia="宋体" w:cs="宋体"/>
          <w:color w:val="auto"/>
          <w:szCs w:val="24"/>
          <w:lang w:eastAsia="zh-CN"/>
        </w:rPr>
        <w:t>。</w:t>
      </w:r>
    </w:p>
    <w:p w14:paraId="64BCF3F5">
      <w:pPr>
        <w:pStyle w:val="10"/>
        <w:spacing w:line="360" w:lineRule="auto"/>
        <w:ind w:firstLine="480"/>
        <w:rPr>
          <w:rFonts w:ascii="宋体" w:hAnsi="宋体" w:eastAsia="宋体" w:cs="宋体"/>
          <w:color w:val="auto"/>
          <w:szCs w:val="24"/>
          <w:lang w:eastAsia="zh-CN"/>
        </w:rPr>
      </w:pPr>
      <w:r>
        <w:rPr>
          <w:rFonts w:ascii="宋体" w:hAnsi="宋体" w:eastAsia="宋体" w:cs="宋体"/>
          <w:color w:val="auto"/>
          <w:szCs w:val="24"/>
          <w:lang w:eastAsia="zh-CN"/>
        </w:rPr>
        <w:t xml:space="preserve"> </w:t>
      </w:r>
      <w:r>
        <w:rPr>
          <w:rFonts w:hint="eastAsia" w:ascii="宋体" w:hAnsi="宋体" w:eastAsia="宋体" w:cs="宋体"/>
          <w:color w:val="auto"/>
          <w:szCs w:val="24"/>
          <w:lang w:eastAsia="zh-CN"/>
        </w:rPr>
        <w:t>甲方未提供进场条件</w:t>
      </w:r>
      <w:r>
        <w:rPr>
          <w:rFonts w:ascii="宋体" w:hAnsi="宋体" w:eastAsia="宋体" w:cs="宋体"/>
          <w:color w:val="auto"/>
          <w:szCs w:val="24"/>
          <w:lang w:eastAsia="zh-CN"/>
        </w:rPr>
        <w:t>(</w:t>
      </w:r>
      <w:r>
        <w:rPr>
          <w:rFonts w:hint="eastAsia" w:ascii="宋体" w:hAnsi="宋体" w:eastAsia="宋体" w:cs="宋体"/>
          <w:color w:val="auto"/>
          <w:szCs w:val="24"/>
          <w:lang w:eastAsia="zh-CN"/>
        </w:rPr>
        <w:t>书面记录为证</w:t>
      </w:r>
      <w:r>
        <w:rPr>
          <w:rFonts w:ascii="宋体" w:hAnsi="宋体" w:eastAsia="宋体" w:cs="宋体"/>
          <w:color w:val="auto"/>
          <w:szCs w:val="24"/>
          <w:lang w:eastAsia="zh-CN"/>
        </w:rPr>
        <w:t>)</w:t>
      </w:r>
      <w:r>
        <w:rPr>
          <w:rFonts w:hint="eastAsia" w:ascii="宋体" w:hAnsi="宋体" w:eastAsia="宋体" w:cs="宋体"/>
          <w:color w:val="auto"/>
          <w:szCs w:val="24"/>
          <w:lang w:eastAsia="zh-CN"/>
        </w:rPr>
        <w:t>。</w:t>
      </w:r>
    </w:p>
    <w:p w14:paraId="3FE7FC2F">
      <w:pPr>
        <w:pStyle w:val="10"/>
        <w:spacing w:line="360" w:lineRule="auto"/>
        <w:ind w:firstLine="480"/>
        <w:rPr>
          <w:rFonts w:ascii="宋体" w:hAnsi="宋体" w:eastAsia="宋体" w:cs="宋体"/>
          <w:color w:val="auto"/>
          <w:szCs w:val="24"/>
          <w:lang w:eastAsia="zh-CN"/>
        </w:rPr>
      </w:pPr>
      <w:r>
        <w:rPr>
          <w:rFonts w:ascii="宋体" w:hAnsi="宋体" w:eastAsia="宋体" w:cs="宋体"/>
          <w:color w:val="auto"/>
          <w:szCs w:val="24"/>
          <w:lang w:eastAsia="zh-CN"/>
        </w:rPr>
        <w:t xml:space="preserve"> </w:t>
      </w:r>
      <w:r>
        <w:rPr>
          <w:rFonts w:hint="eastAsia" w:ascii="宋体" w:hAnsi="宋体" w:eastAsia="宋体" w:cs="宋体"/>
          <w:color w:val="auto"/>
          <w:szCs w:val="24"/>
          <w:lang w:eastAsia="zh-CN"/>
        </w:rPr>
        <w:t>突发公共卫生事件。</w:t>
      </w:r>
    </w:p>
    <w:p w14:paraId="41C26C6B">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、采购合同的签订：采购合同由中标供应商与采购人签订。</w:t>
      </w:r>
    </w:p>
    <w:p w14:paraId="5AC61A70">
      <w:pPr>
        <w:pStyle w:val="10"/>
        <w:spacing w:line="360" w:lineRule="auto"/>
        <w:ind w:firstLine="480"/>
        <w:rPr>
          <w:rFonts w:ascii="宋体" w:hAnsi="宋体" w:eastAsia="宋体" w:cs="宋体"/>
          <w:color w:val="auto"/>
          <w:szCs w:val="24"/>
          <w:lang w:eastAsia="zh-CN"/>
        </w:rPr>
      </w:pPr>
      <w:r>
        <w:rPr>
          <w:rFonts w:hint="eastAsia" w:ascii="宋体" w:hAnsi="宋体" w:eastAsia="宋体" w:cs="宋体"/>
          <w:color w:val="auto"/>
          <w:szCs w:val="24"/>
          <w:lang w:val="en-US" w:eastAsia="zh-CN"/>
        </w:rPr>
        <w:t>8</w:t>
      </w:r>
      <w:r>
        <w:rPr>
          <w:rFonts w:hint="eastAsia" w:ascii="宋体" w:hAnsi="宋体" w:eastAsia="宋体" w:cs="宋体"/>
          <w:color w:val="auto"/>
          <w:szCs w:val="24"/>
          <w:lang w:eastAsia="zh-CN"/>
        </w:rPr>
        <w:t>、交货地点：采购人指定地点。</w:t>
      </w:r>
    </w:p>
    <w:p w14:paraId="7CF12528">
      <w:pPr>
        <w:widowControl/>
        <w:kinsoku w:val="0"/>
        <w:autoSpaceDE w:val="0"/>
        <w:autoSpaceDN w:val="0"/>
        <w:adjustRightInd w:val="0"/>
        <w:snapToGrid w:val="0"/>
        <w:spacing w:before="115" w:line="360" w:lineRule="auto"/>
        <w:ind w:firstLine="480" w:firstLineChars="200"/>
        <w:textAlignment w:val="baseline"/>
        <w:rPr>
          <w:rFonts w:ascii="宋体" w:hAnsi="宋体" w:eastAsia="宋体" w:cs="宋体"/>
          <w:color w:val="auto"/>
          <w:spacing w:val="-5"/>
          <w:position w:val="12"/>
          <w:lang w:eastAsia="zh-CN"/>
        </w:rPr>
      </w:pPr>
      <w:r>
        <w:rPr>
          <w:rFonts w:hint="eastAsia" w:ascii="宋体" w:hAnsi="宋体" w:eastAsia="宋体" w:cs="宋体"/>
          <w:color w:val="auto"/>
          <w:lang w:val="en-US" w:eastAsia="zh-CN"/>
        </w:rPr>
        <w:t>9</w:t>
      </w:r>
      <w:r>
        <w:rPr>
          <w:rFonts w:hint="eastAsia" w:ascii="宋体" w:hAnsi="宋体" w:eastAsia="宋体" w:cs="宋体"/>
          <w:color w:val="auto"/>
          <w:lang w:eastAsia="zh-CN"/>
        </w:rPr>
        <w:t>、结算方式：现金/银行承兑结算，每月的21日至次月的20日为双方对账时间。双方自签署签收单后双方对账后，乙方凭开具的13%的全额增值税专用发票给甲方，甲方在收到有效发票后10个工作日内支付当期货款，乙方全权承担因中标人开具的税务发票所造成的税务风险责任。</w:t>
      </w:r>
    </w:p>
    <w:p w14:paraId="4A2B7401">
      <w:pPr>
        <w:pStyle w:val="10"/>
        <w:spacing w:line="360" w:lineRule="auto"/>
        <w:ind w:firstLine="480"/>
        <w:rPr>
          <w:rFonts w:ascii="宋体" w:hAnsi="宋体" w:eastAsia="宋体" w:cs="宋体"/>
          <w:b/>
          <w:color w:val="auto"/>
          <w:sz w:val="28"/>
          <w:szCs w:val="28"/>
          <w:lang w:eastAsia="zh-CN"/>
        </w:rPr>
      </w:pPr>
      <w:r>
        <w:rPr>
          <w:rFonts w:hint="eastAsia" w:ascii="宋体" w:hAnsi="宋体" w:eastAsia="宋体" w:cs="宋体"/>
          <w:color w:val="auto"/>
          <w:szCs w:val="24"/>
          <w:lang w:eastAsia="zh-CN"/>
        </w:rPr>
        <w:t>1</w:t>
      </w:r>
      <w:r>
        <w:rPr>
          <w:rFonts w:hint="eastAsia" w:ascii="宋体" w:hAnsi="宋体" w:eastAsia="宋体" w:cs="宋体"/>
          <w:color w:val="auto"/>
          <w:szCs w:val="24"/>
          <w:lang w:val="en-US" w:eastAsia="zh-CN"/>
        </w:rPr>
        <w:t>0</w:t>
      </w:r>
      <w:r>
        <w:rPr>
          <w:rFonts w:hint="eastAsia" w:ascii="宋体" w:hAnsi="宋体" w:eastAsia="宋体" w:cs="宋体"/>
          <w:color w:val="auto"/>
          <w:szCs w:val="24"/>
          <w:lang w:eastAsia="zh-CN"/>
        </w:rPr>
        <w:t xml:space="preserve">、合同履约保证金：中标供应商需要在签订采购合同3个工作日内缴纳 </w:t>
      </w:r>
      <w:r>
        <w:rPr>
          <w:rFonts w:hint="eastAsia" w:ascii="宋体" w:hAnsi="宋体" w:eastAsia="宋体" w:cs="宋体"/>
          <w:color w:val="auto"/>
          <w:szCs w:val="24"/>
          <w:lang w:val="en-US" w:eastAsia="zh-CN"/>
        </w:rPr>
        <w:t>20</w:t>
      </w:r>
      <w:r>
        <w:rPr>
          <w:rFonts w:hint="eastAsia" w:ascii="宋体" w:hAnsi="宋体" w:eastAsia="宋体" w:cs="宋体"/>
          <w:color w:val="auto"/>
          <w:szCs w:val="24"/>
          <w:lang w:eastAsia="zh-CN"/>
        </w:rPr>
        <w:t>万合同履约保证金，履约保证金在项目完工后</w:t>
      </w:r>
      <w:r>
        <w:rPr>
          <w:rFonts w:hint="eastAsia" w:ascii="宋体" w:hAnsi="宋体" w:eastAsia="宋体" w:cs="宋体"/>
          <w:color w:val="auto"/>
          <w:szCs w:val="24"/>
          <w:lang w:val="en-US" w:eastAsia="zh-CN"/>
        </w:rPr>
        <w:t>30</w:t>
      </w:r>
      <w:r>
        <w:rPr>
          <w:rFonts w:hint="eastAsia" w:ascii="宋体" w:hAnsi="宋体" w:eastAsia="宋体" w:cs="宋体"/>
          <w:color w:val="auto"/>
          <w:szCs w:val="24"/>
          <w:lang w:eastAsia="zh-CN"/>
        </w:rPr>
        <w:t>个工作日无息退还供应商。</w:t>
      </w:r>
      <w:r>
        <w:rPr>
          <w:rFonts w:ascii="宋体" w:hAnsi="宋体" w:eastAsia="宋体" w:cs="宋体"/>
          <w:b/>
          <w:color w:val="auto"/>
          <w:sz w:val="28"/>
          <w:szCs w:val="28"/>
          <w:lang w:eastAsia="zh-CN"/>
        </w:rPr>
        <w:t xml:space="preserve"> </w:t>
      </w:r>
    </w:p>
    <w:p w14:paraId="000E299A">
      <w:pPr>
        <w:rPr>
          <w:rFonts w:eastAsia="宋体"/>
          <w:color w:val="auto"/>
          <w:lang w:eastAsia="zh-CN"/>
        </w:rPr>
      </w:pPr>
      <w:r>
        <w:rPr>
          <w:rFonts w:eastAsia="宋体"/>
          <w:color w:val="auto"/>
          <w:lang w:eastAsia="zh-CN"/>
        </w:rPr>
        <w:br w:type="page"/>
      </w:r>
    </w:p>
    <w:p w14:paraId="3A5EA740">
      <w:pPr>
        <w:pStyle w:val="10"/>
        <w:spacing w:line="360" w:lineRule="auto"/>
        <w:ind w:firstLine="480"/>
        <w:rPr>
          <w:rFonts w:ascii="宋体" w:hAnsi="宋体" w:eastAsia="宋体" w:cs="宋体"/>
          <w:b/>
          <w:color w:val="auto"/>
          <w:sz w:val="28"/>
          <w:szCs w:val="28"/>
          <w:lang w:eastAsia="zh-CN"/>
        </w:rPr>
      </w:pPr>
    </w:p>
    <w:p w14:paraId="5C4325D4">
      <w:pPr>
        <w:keepNext/>
        <w:keepLines/>
        <w:tabs>
          <w:tab w:val="left" w:pos="720"/>
        </w:tabs>
        <w:snapToGrid w:val="0"/>
        <w:spacing w:before="260" w:after="260" w:line="416" w:lineRule="auto"/>
        <w:outlineLvl w:val="1"/>
        <w:rPr>
          <w:rFonts w:ascii="宋体" w:hAnsi="宋体" w:eastAsia="宋体" w:cs="宋体"/>
          <w:b/>
          <w:bCs/>
          <w:color w:val="auto"/>
          <w:sz w:val="28"/>
          <w:szCs w:val="28"/>
          <w:lang w:eastAsia="zh-CN"/>
        </w:rPr>
      </w:pPr>
      <w:bookmarkStart w:id="460" w:name="_Toc18064"/>
      <w:r>
        <w:rPr>
          <w:rFonts w:hint="eastAsia" w:ascii="宋体" w:hAnsi="宋体" w:eastAsia="宋体" w:cs="宋体"/>
          <w:b/>
          <w:bCs/>
          <w:color w:val="auto"/>
          <w:sz w:val="28"/>
          <w:szCs w:val="28"/>
          <w:lang w:eastAsia="zh-CN"/>
        </w:rPr>
        <w:t>附件</w:t>
      </w:r>
      <w:r>
        <w:rPr>
          <w:rFonts w:hint="eastAsia" w:ascii="宋体" w:hAnsi="宋体" w:eastAsia="宋体" w:cs="宋体"/>
          <w:b/>
          <w:color w:val="auto"/>
          <w:sz w:val="28"/>
          <w:szCs w:val="28"/>
          <w:lang w:eastAsia="zh-CN"/>
        </w:rPr>
        <w:t>一：报价函</w:t>
      </w:r>
      <w:bookmarkEnd w:id="460"/>
    </w:p>
    <w:p w14:paraId="170F2CDB">
      <w:pPr>
        <w:pStyle w:val="10"/>
        <w:spacing w:line="360" w:lineRule="auto"/>
        <w:ind w:firstLine="480"/>
        <w:rPr>
          <w:rFonts w:ascii="宋体" w:hAnsi="宋体" w:eastAsia="宋体" w:cs="宋体"/>
          <w:color w:val="auto"/>
          <w:szCs w:val="24"/>
          <w:lang w:eastAsia="zh-CN"/>
        </w:rPr>
      </w:pPr>
    </w:p>
    <w:p w14:paraId="3C38842F">
      <w:pPr>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报 价 函</w:t>
      </w:r>
    </w:p>
    <w:p w14:paraId="5F33C282">
      <w:pPr>
        <w:widowControl/>
        <w:adjustRightInd w:val="0"/>
        <w:snapToGrid w:val="0"/>
        <w:spacing w:before="156" w:beforeLines="50" w:line="360" w:lineRule="auto"/>
        <w:ind w:firstLine="482" w:firstLineChars="200"/>
        <w:textAlignment w:val="baseline"/>
        <w:rPr>
          <w:rFonts w:ascii="宋体" w:hAnsi="宋体" w:eastAsia="宋体" w:cs="宋体"/>
          <w:b/>
          <w:bCs/>
          <w:color w:val="auto"/>
          <w:position w:val="6"/>
          <w:lang w:eastAsia="zh-CN"/>
        </w:rPr>
      </w:pPr>
      <w:r>
        <w:rPr>
          <w:rFonts w:hint="eastAsia" w:ascii="宋体" w:hAnsi="宋体" w:eastAsia="宋体" w:cs="宋体"/>
          <w:b/>
          <w:bCs/>
          <w:color w:val="auto"/>
          <w:position w:val="6"/>
          <w:lang w:eastAsia="zh-CN"/>
        </w:rPr>
        <w:t>致：抚州市国控供应链管理有限公司</w:t>
      </w:r>
    </w:p>
    <w:p w14:paraId="5FB9E159">
      <w:pPr>
        <w:widowControl/>
        <w:adjustRightInd w:val="0"/>
        <w:snapToGrid w:val="0"/>
        <w:spacing w:before="156" w:beforeLines="50" w:line="336" w:lineRule="auto"/>
        <w:ind w:firstLine="480" w:firstLineChars="200"/>
        <w:textAlignment w:val="baseline"/>
        <w:rPr>
          <w:rFonts w:ascii="宋体" w:hAnsi="宋体" w:eastAsia="宋体" w:cs="宋体"/>
          <w:color w:val="auto"/>
          <w:lang w:eastAsia="zh-CN"/>
        </w:rPr>
      </w:pPr>
      <w:r>
        <w:rPr>
          <w:rFonts w:hint="eastAsia" w:ascii="宋体" w:hAnsi="宋体" w:eastAsia="宋体" w:cs="宋体"/>
          <w:color w:val="auto"/>
          <w:lang w:eastAsia="zh-CN"/>
        </w:rPr>
        <w:t>1.我公司收到并研究了贵公司发出的竞价文件，除在竞价文件中明确提出的差异外，我公司对竞价文件的全部内容予以确认，愿意按竞价文件的规定提供服务，严格执行我公司所承诺的责任和义务。</w:t>
      </w:r>
    </w:p>
    <w:p w14:paraId="7906F14A">
      <w:pPr>
        <w:widowControl/>
        <w:adjustRightInd w:val="0"/>
        <w:snapToGrid w:val="0"/>
        <w:spacing w:before="156" w:beforeLines="50" w:line="336" w:lineRule="auto"/>
        <w:ind w:firstLine="480" w:firstLineChars="200"/>
        <w:textAlignment w:val="baseline"/>
        <w:rPr>
          <w:rFonts w:ascii="宋体" w:hAnsi="宋体" w:eastAsia="宋体" w:cs="宋体"/>
          <w:color w:val="auto"/>
          <w:lang w:eastAsia="zh-CN"/>
        </w:rPr>
      </w:pPr>
      <w:r>
        <w:rPr>
          <w:rFonts w:hint="eastAsia" w:ascii="宋体" w:hAnsi="宋体" w:eastAsia="宋体" w:cs="宋体"/>
          <w:color w:val="auto"/>
          <w:lang w:eastAsia="zh-CN"/>
        </w:rPr>
        <w:t>2.我公司承认报价函及根据竞价文件所提供的其它所有文件为我公司报价文件的组成部分。并愿意根据竞价文件修改其中的任何缺陷。我公司承诺竞价文件中所有关于我公司资格的文件、证明、陈述均是真实的、准确的。若有违背，我公司承担由此而产生的一切后果。</w:t>
      </w:r>
    </w:p>
    <w:p w14:paraId="1A639B8C">
      <w:pPr>
        <w:widowControl/>
        <w:adjustRightInd w:val="0"/>
        <w:snapToGrid w:val="0"/>
        <w:spacing w:before="156" w:beforeLines="50" w:line="336" w:lineRule="auto"/>
        <w:ind w:firstLine="480" w:firstLineChars="200"/>
        <w:textAlignment w:val="baseline"/>
        <w:rPr>
          <w:rFonts w:ascii="宋体" w:hAnsi="宋体" w:eastAsia="宋体" w:cs="宋体"/>
          <w:color w:val="auto"/>
          <w:lang w:eastAsia="zh-CN"/>
        </w:rPr>
      </w:pPr>
      <w:r>
        <w:rPr>
          <w:rFonts w:hint="eastAsia" w:ascii="宋体" w:hAnsi="宋体" w:eastAsia="宋体" w:cs="宋体"/>
          <w:color w:val="auto"/>
          <w:lang w:eastAsia="zh-CN"/>
        </w:rPr>
        <w:t>3.如果我公司获得合同签订资格,我公司保证按竞价文件的要求签订合同，在签订合同后，选派合格人员履行合同，以确保在规定时间内保质保量完成合同所要求工作。</w:t>
      </w:r>
    </w:p>
    <w:p w14:paraId="7A53007B">
      <w:pPr>
        <w:widowControl/>
        <w:adjustRightInd w:val="0"/>
        <w:snapToGrid w:val="0"/>
        <w:spacing w:before="156" w:beforeLines="50" w:line="336" w:lineRule="auto"/>
        <w:ind w:firstLine="480" w:firstLineChars="200"/>
        <w:textAlignment w:val="baseline"/>
        <w:rPr>
          <w:rFonts w:ascii="宋体" w:hAnsi="宋体" w:eastAsia="宋体" w:cs="宋体"/>
          <w:color w:val="auto"/>
          <w:lang w:eastAsia="zh-CN"/>
        </w:rPr>
      </w:pPr>
      <w:r>
        <w:rPr>
          <w:rFonts w:hint="eastAsia" w:ascii="宋体" w:hAnsi="宋体" w:eastAsia="宋体" w:cs="宋体"/>
          <w:color w:val="auto"/>
          <w:lang w:eastAsia="zh-CN"/>
        </w:rPr>
        <w:t>4.我公司同意在竞价截止时间后90天以内遵守本报价文件，在此期限期满之前的任何时间，本报价文件均对我公司具有约束力。</w:t>
      </w:r>
    </w:p>
    <w:p w14:paraId="5D46587B">
      <w:pPr>
        <w:widowControl/>
        <w:adjustRightInd w:val="0"/>
        <w:snapToGrid w:val="0"/>
        <w:spacing w:before="156" w:beforeLines="50" w:line="336" w:lineRule="auto"/>
        <w:ind w:firstLine="480" w:firstLineChars="200"/>
        <w:textAlignment w:val="baseline"/>
        <w:rPr>
          <w:rFonts w:ascii="宋体" w:hAnsi="宋体" w:eastAsia="宋体" w:cs="宋体"/>
          <w:color w:val="auto"/>
          <w:lang w:eastAsia="zh-CN"/>
        </w:rPr>
      </w:pPr>
      <w:r>
        <w:rPr>
          <w:rFonts w:hint="eastAsia" w:ascii="宋体" w:hAnsi="宋体" w:eastAsia="宋体" w:cs="宋体"/>
          <w:color w:val="auto"/>
          <w:lang w:eastAsia="zh-CN"/>
        </w:rPr>
        <w:t>5.我公司声明本报价是依据相关标准和贵公司竞价文件要求，报价为含税报价。</w:t>
      </w:r>
    </w:p>
    <w:p w14:paraId="6EBD52CD">
      <w:pPr>
        <w:widowControl/>
        <w:adjustRightInd w:val="0"/>
        <w:snapToGrid w:val="0"/>
        <w:spacing w:before="156" w:beforeLines="50" w:line="336" w:lineRule="auto"/>
        <w:ind w:firstLine="480" w:firstLineChars="200"/>
        <w:textAlignment w:val="baseline"/>
        <w:rPr>
          <w:rFonts w:ascii="宋体" w:hAnsi="宋体" w:eastAsia="宋体" w:cs="宋体"/>
          <w:color w:val="auto"/>
          <w:lang w:eastAsia="zh-CN"/>
        </w:rPr>
      </w:pPr>
      <w:r>
        <w:rPr>
          <w:rFonts w:hint="eastAsia" w:ascii="宋体" w:hAnsi="宋体" w:eastAsia="宋体" w:cs="宋体"/>
          <w:color w:val="auto"/>
          <w:lang w:eastAsia="zh-CN"/>
        </w:rPr>
        <w:t>6.在制定和执行正式合同之前，本报价文件、竞价文件和贵公司书面的合同签订确定通知书，应构成我们双方之间有约束力的合同。</w:t>
      </w:r>
    </w:p>
    <w:p w14:paraId="701E86CB">
      <w:pPr>
        <w:widowControl/>
        <w:adjustRightInd w:val="0"/>
        <w:snapToGrid w:val="0"/>
        <w:spacing w:before="156" w:beforeLines="50" w:line="336" w:lineRule="auto"/>
        <w:textAlignment w:val="baseline"/>
        <w:rPr>
          <w:rFonts w:ascii="宋体" w:hAnsi="宋体" w:eastAsia="宋体" w:cs="宋体"/>
          <w:color w:val="auto"/>
          <w:lang w:eastAsia="zh-CN"/>
        </w:rPr>
      </w:pPr>
      <w:r>
        <w:rPr>
          <w:rFonts w:hint="eastAsia" w:ascii="宋体" w:hAnsi="宋体" w:eastAsia="宋体" w:cs="宋体"/>
          <w:color w:val="auto"/>
          <w:lang w:eastAsia="zh-CN"/>
        </w:rPr>
        <w:t>报价人（盖公章）：</w:t>
      </w:r>
    </w:p>
    <w:p w14:paraId="5E26118E">
      <w:pPr>
        <w:widowControl/>
        <w:adjustRightInd w:val="0"/>
        <w:snapToGrid w:val="0"/>
        <w:spacing w:before="156" w:beforeLines="50" w:line="336" w:lineRule="auto"/>
        <w:textAlignment w:val="baseline"/>
        <w:rPr>
          <w:rFonts w:ascii="宋体" w:hAnsi="宋体" w:eastAsia="宋体" w:cs="宋体"/>
          <w:color w:val="auto"/>
          <w:lang w:eastAsia="zh-CN"/>
        </w:rPr>
      </w:pPr>
      <w:r>
        <w:rPr>
          <w:rFonts w:hint="eastAsia" w:ascii="宋体" w:hAnsi="宋体" w:eastAsia="宋体" w:cs="宋体"/>
          <w:color w:val="auto"/>
          <w:lang w:eastAsia="zh-CN"/>
        </w:rPr>
        <w:t>法定代表人（或代理人）签字：</w:t>
      </w:r>
    </w:p>
    <w:p w14:paraId="757C5F81">
      <w:pPr>
        <w:widowControl/>
        <w:adjustRightInd w:val="0"/>
        <w:snapToGrid w:val="0"/>
        <w:spacing w:before="156" w:beforeLines="50" w:line="336" w:lineRule="auto"/>
        <w:textAlignment w:val="baseline"/>
        <w:rPr>
          <w:rFonts w:ascii="宋体" w:hAnsi="宋体" w:eastAsia="宋体" w:cs="宋体"/>
          <w:b/>
          <w:color w:val="auto"/>
          <w:lang w:eastAsia="zh-CN"/>
        </w:rPr>
        <w:sectPr>
          <w:footerReference r:id="rId13" w:type="default"/>
          <w:pgSz w:w="11906" w:h="16838"/>
          <w:pgMar w:top="1134" w:right="1440" w:bottom="1134" w:left="1440" w:header="851" w:footer="992" w:gutter="0"/>
          <w:cols w:space="720" w:num="1"/>
          <w:docGrid w:type="lines" w:linePitch="312" w:charSpace="0"/>
        </w:sectPr>
      </w:pPr>
      <w:r>
        <w:rPr>
          <w:rFonts w:hint="eastAsia" w:ascii="宋体" w:hAnsi="宋体" w:eastAsia="宋体" w:cs="宋体"/>
          <w:color w:val="auto"/>
          <w:lang w:eastAsia="zh-CN"/>
        </w:rPr>
        <w:t>日期：</w:t>
      </w:r>
    </w:p>
    <w:p w14:paraId="3F68DFC9">
      <w:pPr>
        <w:keepNext/>
        <w:keepLines/>
        <w:tabs>
          <w:tab w:val="left" w:pos="720"/>
        </w:tabs>
        <w:snapToGrid w:val="0"/>
        <w:spacing w:before="260" w:after="260" w:line="416" w:lineRule="auto"/>
        <w:outlineLvl w:val="1"/>
        <w:rPr>
          <w:rFonts w:ascii="宋体" w:hAnsi="宋体" w:eastAsia="宋体" w:cs="宋体"/>
          <w:b/>
          <w:bCs/>
          <w:color w:val="auto"/>
          <w:sz w:val="28"/>
          <w:szCs w:val="28"/>
          <w:lang w:eastAsia="zh-CN"/>
        </w:rPr>
      </w:pPr>
      <w:bookmarkStart w:id="461" w:name="_Toc17359"/>
      <w:r>
        <w:rPr>
          <w:rFonts w:hint="eastAsia" w:ascii="宋体" w:hAnsi="宋体" w:eastAsia="宋体" w:cs="宋体"/>
          <w:b/>
          <w:bCs/>
          <w:color w:val="auto"/>
          <w:sz w:val="28"/>
          <w:szCs w:val="28"/>
          <w:lang w:eastAsia="zh-CN"/>
        </w:rPr>
        <w:t>附件二：法定代表人资格证明书</w:t>
      </w:r>
      <w:bookmarkEnd w:id="461"/>
    </w:p>
    <w:p w14:paraId="355DE8AE">
      <w:pPr>
        <w:spacing w:line="360" w:lineRule="auto"/>
        <w:ind w:left="343" w:firstLine="480" w:firstLineChars="200"/>
        <w:rPr>
          <w:rFonts w:ascii="宋体" w:hAnsi="宋体" w:eastAsia="宋体" w:cs="宋体"/>
          <w:color w:val="auto"/>
          <w:u w:val="single"/>
          <w:lang w:eastAsia="zh-CN"/>
        </w:rPr>
      </w:pPr>
      <w:r>
        <w:rPr>
          <w:rFonts w:hint="eastAsia" w:ascii="宋体" w:hAnsi="宋体" w:eastAsia="宋体" w:cs="宋体"/>
          <w:color w:val="auto"/>
          <w:lang w:eastAsia="zh-CN"/>
        </w:rPr>
        <w:t>报价人名称：</w:t>
      </w:r>
    </w:p>
    <w:p w14:paraId="6EB419B3">
      <w:pPr>
        <w:spacing w:line="360" w:lineRule="auto"/>
        <w:ind w:left="343" w:firstLine="480" w:firstLineChars="200"/>
        <w:rPr>
          <w:rFonts w:ascii="宋体" w:hAnsi="宋体" w:eastAsia="宋体" w:cs="宋体"/>
          <w:color w:val="auto"/>
          <w:lang w:eastAsia="zh-CN"/>
        </w:rPr>
      </w:pPr>
    </w:p>
    <w:p w14:paraId="0E4AD49A">
      <w:pPr>
        <w:spacing w:line="360" w:lineRule="auto"/>
        <w:ind w:left="343" w:firstLine="480" w:firstLineChars="200"/>
        <w:rPr>
          <w:rFonts w:ascii="宋体" w:hAnsi="宋体" w:eastAsia="宋体" w:cs="宋体"/>
          <w:color w:val="auto"/>
          <w:u w:val="single"/>
          <w:lang w:eastAsia="zh-CN"/>
        </w:rPr>
      </w:pPr>
      <w:r>
        <w:rPr>
          <w:rFonts w:hint="eastAsia" w:ascii="宋体" w:hAnsi="宋体" w:eastAsia="宋体" w:cs="宋体"/>
          <w:color w:val="auto"/>
          <w:lang w:eastAsia="zh-CN"/>
        </w:rPr>
        <w:t>地址：</w:t>
      </w:r>
    </w:p>
    <w:p w14:paraId="67CAD310">
      <w:pPr>
        <w:spacing w:line="360" w:lineRule="auto"/>
        <w:ind w:left="343" w:firstLine="480" w:firstLineChars="200"/>
        <w:rPr>
          <w:rFonts w:ascii="宋体" w:hAnsi="宋体" w:eastAsia="宋体" w:cs="宋体"/>
          <w:color w:val="auto"/>
          <w:u w:val="single"/>
          <w:lang w:eastAsia="zh-CN"/>
        </w:rPr>
      </w:pPr>
    </w:p>
    <w:p w14:paraId="6B0FF2B6">
      <w:pPr>
        <w:spacing w:line="360" w:lineRule="auto"/>
        <w:ind w:left="343" w:firstLine="480" w:firstLineChars="200"/>
        <w:rPr>
          <w:rFonts w:ascii="宋体" w:hAnsi="宋体" w:eastAsia="宋体" w:cs="宋体"/>
          <w:color w:val="auto"/>
          <w:u w:val="single"/>
          <w:lang w:eastAsia="zh-CN"/>
        </w:rPr>
      </w:pPr>
      <w:r>
        <w:rPr>
          <w:rFonts w:hint="eastAsia" w:ascii="宋体" w:hAnsi="宋体" w:eastAsia="宋体" w:cs="宋体"/>
          <w:color w:val="auto"/>
          <w:lang w:eastAsia="zh-CN"/>
        </w:rPr>
        <w:t>姓名：    性别：    年龄：     职务：</w:t>
      </w:r>
    </w:p>
    <w:p w14:paraId="5DDF3184">
      <w:pPr>
        <w:spacing w:line="360" w:lineRule="auto"/>
        <w:ind w:left="343" w:firstLine="480" w:firstLineChars="200"/>
        <w:rPr>
          <w:rFonts w:ascii="宋体" w:hAnsi="宋体" w:eastAsia="宋体" w:cs="宋体"/>
          <w:color w:val="auto"/>
          <w:u w:val="single"/>
          <w:lang w:eastAsia="zh-CN"/>
        </w:rPr>
      </w:pPr>
    </w:p>
    <w:p w14:paraId="567B8977">
      <w:pPr>
        <w:spacing w:line="360" w:lineRule="auto"/>
        <w:ind w:left="343" w:firstLine="480" w:firstLineChars="200"/>
        <w:rPr>
          <w:rFonts w:ascii="宋体" w:hAnsi="宋体" w:eastAsia="宋体" w:cs="宋体"/>
          <w:color w:val="auto"/>
          <w:lang w:eastAsia="zh-CN"/>
        </w:rPr>
      </w:pPr>
      <w:r>
        <w:rPr>
          <w:rFonts w:hint="eastAsia" w:ascii="宋体" w:hAnsi="宋体" w:eastAsia="宋体" w:cs="宋体"/>
          <w:color w:val="auto"/>
          <w:lang w:eastAsia="zh-CN"/>
        </w:rPr>
        <w:t>系公司法定代表人。参加</w:t>
      </w:r>
      <w:r>
        <w:rPr>
          <w:rFonts w:hint="eastAsia" w:ascii="宋体" w:hAnsi="宋体" w:eastAsia="宋体" w:cs="宋体"/>
          <w:b/>
          <w:bCs/>
          <w:color w:val="auto"/>
          <w:u w:val="single"/>
          <w:lang w:eastAsia="zh-CN"/>
        </w:rPr>
        <w:t>抚州市中心城区排水防涝建设工程（二标段）</w:t>
      </w:r>
      <w:r>
        <w:rPr>
          <w:rFonts w:ascii="宋体" w:hAnsi="宋体" w:eastAsia="宋体" w:cs="宋体"/>
          <w:b/>
          <w:bCs/>
          <w:color w:val="auto"/>
          <w:u w:val="single"/>
          <w:lang w:eastAsia="zh-CN"/>
        </w:rPr>
        <w:t>EPC</w:t>
      </w:r>
      <w:r>
        <w:rPr>
          <w:rFonts w:hint="eastAsia" w:ascii="宋体" w:hAnsi="宋体" w:eastAsia="宋体" w:cs="宋体"/>
          <w:b/>
          <w:bCs/>
          <w:color w:val="auto"/>
          <w:u w:val="single"/>
          <w:lang w:eastAsia="zh-CN"/>
        </w:rPr>
        <w:t>总承包项目</w:t>
      </w:r>
      <w:r>
        <w:rPr>
          <w:rFonts w:hint="eastAsia" w:ascii="宋体" w:hAnsi="宋体" w:eastAsia="宋体" w:cs="宋体"/>
          <w:b/>
          <w:bCs/>
          <w:color w:val="auto"/>
          <w:u w:val="single"/>
          <w:lang w:val="en-US" w:eastAsia="zh-CN"/>
        </w:rPr>
        <w:t>机制砂</w:t>
      </w:r>
      <w:r>
        <w:rPr>
          <w:rFonts w:hint="eastAsia" w:ascii="宋体" w:hAnsi="宋体" w:eastAsia="宋体" w:cs="宋体"/>
          <w:b/>
          <w:bCs/>
          <w:color w:val="auto"/>
          <w:u w:val="single"/>
          <w:lang w:eastAsia="zh-CN"/>
        </w:rPr>
        <w:t>采购</w:t>
      </w:r>
      <w:r>
        <w:rPr>
          <w:rFonts w:hint="eastAsia" w:ascii="宋体" w:hAnsi="宋体" w:eastAsia="宋体" w:cs="宋体"/>
          <w:b/>
          <w:bCs/>
          <w:color w:val="auto"/>
          <w:u w:val="single"/>
          <w:lang w:val="zh-CN" w:eastAsia="zh-CN"/>
        </w:rPr>
        <w:t>，签署上述项目</w:t>
      </w:r>
      <w:r>
        <w:rPr>
          <w:rFonts w:hint="eastAsia" w:ascii="宋体" w:hAnsi="宋体" w:eastAsia="宋体" w:cs="宋体"/>
          <w:color w:val="auto"/>
          <w:lang w:eastAsia="zh-CN"/>
        </w:rPr>
        <w:t>的竞价文件，进行合同谈判，签署合同和处理与之有关的一切事务。</w:t>
      </w:r>
    </w:p>
    <w:p w14:paraId="5C558560">
      <w:pPr>
        <w:spacing w:line="360" w:lineRule="auto"/>
        <w:ind w:left="343" w:firstLine="480" w:firstLineChars="200"/>
        <w:rPr>
          <w:rFonts w:ascii="宋体" w:hAnsi="宋体" w:eastAsia="宋体" w:cs="宋体"/>
          <w:color w:val="auto"/>
          <w:lang w:eastAsia="zh-CN"/>
        </w:rPr>
      </w:pPr>
    </w:p>
    <w:p w14:paraId="57EAAA56">
      <w:pPr>
        <w:spacing w:line="360" w:lineRule="auto"/>
        <w:ind w:left="343" w:firstLine="480" w:firstLineChars="200"/>
        <w:rPr>
          <w:rFonts w:ascii="宋体" w:hAnsi="宋体" w:eastAsia="宋体" w:cs="宋体"/>
          <w:color w:val="auto"/>
          <w:lang w:eastAsia="zh-CN"/>
        </w:rPr>
      </w:pPr>
      <w:r>
        <w:rPr>
          <w:rFonts w:hint="eastAsia" w:ascii="宋体" w:hAnsi="宋体" w:eastAsia="宋体" w:cs="宋体"/>
          <w:color w:val="auto"/>
          <w:lang w:eastAsia="zh-CN"/>
        </w:rPr>
        <w:t>特此证明。</w:t>
      </w:r>
    </w:p>
    <w:p w14:paraId="609585C0">
      <w:pPr>
        <w:spacing w:line="360" w:lineRule="auto"/>
        <w:rPr>
          <w:rFonts w:ascii="宋体" w:hAnsi="宋体" w:eastAsia="宋体" w:cs="宋体"/>
          <w:color w:val="auto"/>
          <w:lang w:eastAsia="zh-CN"/>
        </w:rPr>
      </w:pPr>
    </w:p>
    <w:p w14:paraId="6338EECA">
      <w:pPr>
        <w:spacing w:line="360" w:lineRule="auto"/>
        <w:rPr>
          <w:rFonts w:ascii="宋体" w:hAnsi="宋体" w:eastAsia="宋体" w:cs="宋体"/>
          <w:color w:val="auto"/>
          <w:lang w:eastAsia="zh-CN"/>
        </w:rPr>
      </w:pPr>
    </w:p>
    <w:p w14:paraId="1A2DA5A2">
      <w:pPr>
        <w:spacing w:line="360" w:lineRule="auto"/>
        <w:rPr>
          <w:rFonts w:ascii="宋体" w:hAnsi="宋体" w:eastAsia="宋体" w:cs="宋体"/>
          <w:color w:val="auto"/>
          <w:lang w:eastAsia="zh-CN"/>
        </w:rPr>
      </w:pPr>
      <w:r>
        <w:rPr>
          <w:rFonts w:hint="eastAsia" w:ascii="宋体" w:hAnsi="宋体" w:eastAsia="宋体" w:cs="宋体"/>
          <w:color w:val="auto"/>
          <w:lang w:eastAsia="zh-CN"/>
        </w:rPr>
        <w:t xml:space="preserve">报价人（盖公章）：     </w:t>
      </w:r>
    </w:p>
    <w:p w14:paraId="6438010E">
      <w:pPr>
        <w:spacing w:line="360" w:lineRule="auto"/>
        <w:rPr>
          <w:rFonts w:ascii="宋体" w:hAnsi="宋体" w:eastAsia="宋体" w:cs="宋体"/>
          <w:color w:val="auto"/>
          <w:lang w:eastAsia="zh-CN"/>
        </w:rPr>
      </w:pPr>
    </w:p>
    <w:p w14:paraId="538D61AF">
      <w:pPr>
        <w:spacing w:line="360" w:lineRule="auto"/>
        <w:rPr>
          <w:rFonts w:ascii="宋体" w:hAnsi="宋体" w:eastAsia="宋体" w:cs="宋体"/>
          <w:color w:val="auto"/>
          <w:lang w:eastAsia="zh-CN"/>
        </w:rPr>
      </w:pPr>
      <w:r>
        <w:rPr>
          <w:rFonts w:hint="eastAsia" w:ascii="宋体" w:hAnsi="宋体" w:eastAsia="宋体" w:cs="宋体"/>
          <w:color w:val="auto"/>
          <w:lang w:eastAsia="zh-CN"/>
        </w:rPr>
        <w:t>法定代表人（签字）：</w:t>
      </w:r>
    </w:p>
    <w:p w14:paraId="71E94A1E">
      <w:pPr>
        <w:pStyle w:val="52"/>
        <w:spacing w:line="360" w:lineRule="auto"/>
        <w:rPr>
          <w:color w:val="auto"/>
        </w:rPr>
      </w:pPr>
    </w:p>
    <w:p w14:paraId="1DCD4F0C">
      <w:pPr>
        <w:pStyle w:val="52"/>
        <w:spacing w:line="360" w:lineRule="auto"/>
        <w:rPr>
          <w:b/>
          <w:bCs/>
          <w:color w:val="auto"/>
          <w:sz w:val="28"/>
          <w:szCs w:val="28"/>
        </w:rPr>
      </w:pPr>
      <w:r>
        <w:rPr>
          <w:rFonts w:hint="eastAsia"/>
          <w:color w:val="auto"/>
        </w:rPr>
        <w:t>日期：</w:t>
      </w:r>
      <w:bookmarkStart w:id="462" w:name="_Toc16505"/>
      <w:bookmarkStart w:id="463" w:name="_Toc8500"/>
      <w:bookmarkStart w:id="464" w:name="_Toc29500"/>
      <w:bookmarkStart w:id="465" w:name="_Toc30681"/>
      <w:bookmarkStart w:id="466" w:name="_Toc31716"/>
      <w:bookmarkStart w:id="467" w:name="_Toc27726"/>
      <w:bookmarkStart w:id="468" w:name="_Toc20261"/>
      <w:bookmarkStart w:id="469" w:name="_Toc25426"/>
      <w:bookmarkStart w:id="470" w:name="_Toc22936"/>
      <w:r>
        <w:rPr>
          <w:rFonts w:hint="eastAsia"/>
          <w:b/>
          <w:bCs/>
          <w:color w:val="auto"/>
          <w:sz w:val="28"/>
          <w:szCs w:val="28"/>
        </w:rPr>
        <w:br w:type="page"/>
      </w:r>
    </w:p>
    <w:p w14:paraId="685E336F">
      <w:pPr>
        <w:keepNext/>
        <w:keepLines/>
        <w:tabs>
          <w:tab w:val="left" w:pos="720"/>
        </w:tabs>
        <w:snapToGrid w:val="0"/>
        <w:spacing w:before="260" w:after="260" w:line="416" w:lineRule="auto"/>
        <w:outlineLvl w:val="1"/>
        <w:rPr>
          <w:rFonts w:ascii="宋体" w:hAnsi="宋体" w:eastAsia="宋体" w:cs="宋体"/>
          <w:b/>
          <w:bCs/>
          <w:color w:val="auto"/>
          <w:sz w:val="28"/>
          <w:szCs w:val="28"/>
          <w:lang w:eastAsia="zh-CN"/>
        </w:rPr>
      </w:pPr>
      <w:bookmarkStart w:id="471" w:name="_Toc32681"/>
      <w:r>
        <w:rPr>
          <w:rFonts w:hint="eastAsia" w:ascii="宋体" w:hAnsi="宋体" w:eastAsia="宋体" w:cs="宋体"/>
          <w:b/>
          <w:bCs/>
          <w:color w:val="auto"/>
          <w:sz w:val="28"/>
          <w:szCs w:val="28"/>
          <w:lang w:eastAsia="zh-CN"/>
        </w:rPr>
        <w:t>附件三：授权委托书</w:t>
      </w:r>
      <w:bookmarkEnd w:id="471"/>
    </w:p>
    <w:p w14:paraId="00E80C62">
      <w:pPr>
        <w:spacing w:line="360" w:lineRule="auto"/>
        <w:jc w:val="center"/>
        <w:rPr>
          <w:rFonts w:ascii="宋体" w:hAnsi="宋体" w:eastAsia="宋体" w:cs="宋体"/>
          <w:b/>
          <w:color w:val="auto"/>
          <w:lang w:eastAsia="zh-CN"/>
        </w:rPr>
      </w:pPr>
      <w:r>
        <w:rPr>
          <w:rFonts w:hint="eastAsia" w:ascii="宋体" w:hAnsi="宋体" w:eastAsia="宋体" w:cs="宋体"/>
          <w:b/>
          <w:color w:val="auto"/>
          <w:lang w:eastAsia="zh-CN"/>
        </w:rPr>
        <w:t>授权委托书</w:t>
      </w:r>
    </w:p>
    <w:p w14:paraId="612FC405">
      <w:pPr>
        <w:adjustRightInd w:val="0"/>
        <w:snapToGrid w:val="0"/>
        <w:spacing w:line="360" w:lineRule="auto"/>
        <w:ind w:left="240" w:leftChars="100" w:right="240" w:rightChars="100" w:firstLine="480" w:firstLineChars="200"/>
        <w:rPr>
          <w:rFonts w:ascii="宋体" w:hAnsi="宋体" w:eastAsia="宋体" w:cs="宋体"/>
          <w:color w:val="auto"/>
          <w:lang w:eastAsia="zh-CN"/>
        </w:rPr>
      </w:pPr>
      <w:r>
        <w:rPr>
          <w:rFonts w:hint="eastAsia" w:ascii="宋体" w:hAnsi="宋体" w:eastAsia="宋体" w:cs="宋体"/>
          <w:color w:val="auto"/>
          <w:lang w:eastAsia="zh-CN"/>
        </w:rPr>
        <w:t>本授权委托书声明：我</w:t>
      </w:r>
      <w:r>
        <w:rPr>
          <w:rFonts w:hint="eastAsia" w:ascii="宋体" w:hAnsi="宋体" w:eastAsia="宋体" w:cs="宋体"/>
          <w:color w:val="auto"/>
          <w:u w:val="single"/>
          <w:lang w:eastAsia="zh-CN"/>
        </w:rPr>
        <w:t xml:space="preserve">         （姓名）</w:t>
      </w:r>
      <w:r>
        <w:rPr>
          <w:rFonts w:hint="eastAsia" w:ascii="宋体" w:hAnsi="宋体" w:eastAsia="宋体" w:cs="宋体"/>
          <w:color w:val="auto"/>
          <w:lang w:eastAsia="zh-CN"/>
        </w:rPr>
        <w:t>系</w:t>
      </w:r>
      <w:r>
        <w:rPr>
          <w:rFonts w:hint="eastAsia" w:ascii="宋体" w:hAnsi="宋体" w:eastAsia="宋体" w:cs="宋体"/>
          <w:color w:val="auto"/>
          <w:u w:val="single"/>
          <w:lang w:eastAsia="zh-CN"/>
        </w:rPr>
        <w:t xml:space="preserve">       （报 价 人 名 称）</w:t>
      </w:r>
      <w:r>
        <w:rPr>
          <w:rFonts w:hint="eastAsia" w:ascii="宋体" w:hAnsi="宋体" w:eastAsia="宋体" w:cs="宋体"/>
          <w:color w:val="auto"/>
          <w:lang w:eastAsia="zh-CN"/>
        </w:rPr>
        <w:t>的法定代表人，现授权委托</w:t>
      </w:r>
      <w:r>
        <w:rPr>
          <w:rFonts w:hint="eastAsia" w:ascii="宋体" w:hAnsi="宋体" w:eastAsia="宋体" w:cs="宋体"/>
          <w:color w:val="auto"/>
          <w:u w:val="single"/>
          <w:lang w:eastAsia="zh-CN"/>
        </w:rPr>
        <w:t xml:space="preserve">           （姓名）</w:t>
      </w:r>
      <w:r>
        <w:rPr>
          <w:rFonts w:hint="eastAsia" w:ascii="宋体" w:hAnsi="宋体" w:eastAsia="宋体" w:cs="宋体"/>
          <w:color w:val="auto"/>
          <w:lang w:eastAsia="zh-CN"/>
        </w:rPr>
        <w:t>为我公司签署</w:t>
      </w:r>
      <w:r>
        <w:rPr>
          <w:rFonts w:hint="eastAsia" w:ascii="宋体" w:hAnsi="宋体" w:eastAsia="宋体" w:cs="宋体"/>
          <w:color w:val="auto"/>
          <w:u w:val="single"/>
          <w:lang w:eastAsia="zh-CN"/>
        </w:rPr>
        <w:t>抚州市中心城区排水防涝建设工程（二标段）</w:t>
      </w:r>
      <w:r>
        <w:rPr>
          <w:rFonts w:ascii="宋体" w:hAnsi="宋体" w:eastAsia="宋体" w:cs="宋体"/>
          <w:color w:val="auto"/>
          <w:u w:val="single"/>
          <w:lang w:eastAsia="zh-CN"/>
        </w:rPr>
        <w:t>EPC</w:t>
      </w:r>
      <w:r>
        <w:rPr>
          <w:rFonts w:hint="eastAsia" w:ascii="宋体" w:hAnsi="宋体" w:eastAsia="宋体" w:cs="宋体"/>
          <w:color w:val="auto"/>
          <w:u w:val="single"/>
          <w:lang w:eastAsia="zh-CN"/>
        </w:rPr>
        <w:t>总承包项目</w:t>
      </w:r>
      <w:r>
        <w:rPr>
          <w:rFonts w:hint="eastAsia" w:ascii="宋体" w:hAnsi="宋体" w:eastAsia="宋体" w:cs="宋体"/>
          <w:color w:val="auto"/>
          <w:u w:val="single"/>
          <w:lang w:val="en-US" w:eastAsia="zh-CN"/>
        </w:rPr>
        <w:t>机制砂</w:t>
      </w:r>
      <w:r>
        <w:rPr>
          <w:rFonts w:hint="eastAsia" w:ascii="宋体" w:hAnsi="宋体" w:eastAsia="宋体" w:cs="宋体"/>
          <w:color w:val="auto"/>
          <w:u w:val="single"/>
          <w:lang w:eastAsia="zh-CN"/>
        </w:rPr>
        <w:t xml:space="preserve">采购 </w:t>
      </w:r>
      <w:r>
        <w:rPr>
          <w:rFonts w:hint="eastAsia" w:ascii="宋体" w:hAnsi="宋体" w:eastAsia="宋体" w:cs="宋体"/>
          <w:color w:val="auto"/>
          <w:lang w:eastAsia="zh-CN"/>
        </w:rPr>
        <w:t>已提交的竞价文件的法定代表人授权委托代理人，我承认代理人全权代表我所签署的本项目已提交的竞价文件内容。</w:t>
      </w:r>
    </w:p>
    <w:p w14:paraId="007FEB68">
      <w:pPr>
        <w:adjustRightInd w:val="0"/>
        <w:snapToGrid w:val="0"/>
        <w:spacing w:line="360" w:lineRule="auto"/>
        <w:ind w:left="240" w:leftChars="100" w:right="240" w:rightChars="100" w:firstLine="480" w:firstLineChars="200"/>
        <w:rPr>
          <w:rFonts w:ascii="宋体" w:hAnsi="宋体" w:eastAsia="宋体" w:cs="宋体"/>
          <w:color w:val="auto"/>
          <w:lang w:eastAsia="zh-CN"/>
        </w:rPr>
      </w:pPr>
      <w:r>
        <w:rPr>
          <w:rFonts w:hint="eastAsia" w:ascii="宋体" w:hAnsi="宋体" w:eastAsia="宋体" w:cs="宋体"/>
          <w:color w:val="auto"/>
          <w:lang w:eastAsia="zh-CN"/>
        </w:rPr>
        <w:t>代理人无转委托权，特此委托。</w:t>
      </w:r>
    </w:p>
    <w:p w14:paraId="4676AFD3">
      <w:pPr>
        <w:adjustRightInd w:val="0"/>
        <w:snapToGrid w:val="0"/>
        <w:spacing w:line="360" w:lineRule="auto"/>
        <w:ind w:left="240" w:leftChars="100" w:right="240" w:rightChars="100" w:firstLine="480" w:firstLineChars="200"/>
        <w:rPr>
          <w:rFonts w:ascii="宋体" w:hAnsi="宋体" w:eastAsia="宋体" w:cs="宋体"/>
          <w:color w:val="auto"/>
          <w:lang w:eastAsia="zh-CN"/>
        </w:rPr>
      </w:pPr>
    </w:p>
    <w:p w14:paraId="52441096">
      <w:pPr>
        <w:adjustRightInd w:val="0"/>
        <w:snapToGrid w:val="0"/>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代理人（签字）：</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 xml:space="preserve"> 性别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年龄：</w:t>
      </w:r>
    </w:p>
    <w:p w14:paraId="183D351E">
      <w:pPr>
        <w:adjustRightInd w:val="0"/>
        <w:snapToGrid w:val="0"/>
        <w:spacing w:line="360" w:lineRule="auto"/>
        <w:rPr>
          <w:rFonts w:ascii="宋体" w:hAnsi="宋体" w:eastAsia="宋体" w:cs="宋体"/>
          <w:color w:val="auto"/>
          <w:lang w:eastAsia="zh-CN"/>
        </w:rPr>
      </w:pPr>
    </w:p>
    <w:p w14:paraId="7F2B8594">
      <w:pPr>
        <w:adjustRightInd w:val="0"/>
        <w:snapToGrid w:val="0"/>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身份证号码：</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职务：</w:t>
      </w:r>
      <w:r>
        <w:rPr>
          <w:rFonts w:hint="eastAsia" w:ascii="宋体" w:hAnsi="宋体" w:eastAsia="宋体" w:cs="宋体"/>
          <w:color w:val="auto"/>
          <w:u w:val="single"/>
          <w:lang w:eastAsia="zh-CN"/>
        </w:rPr>
        <w:t xml:space="preserve">         </w:t>
      </w:r>
    </w:p>
    <w:p w14:paraId="43B07C1F">
      <w:pPr>
        <w:adjustRightInd w:val="0"/>
        <w:snapToGrid w:val="0"/>
        <w:spacing w:line="360" w:lineRule="auto"/>
        <w:rPr>
          <w:rFonts w:ascii="宋体" w:hAnsi="宋体" w:eastAsia="宋体" w:cs="宋体"/>
          <w:color w:val="auto"/>
          <w:u w:val="single"/>
          <w:lang w:eastAsia="zh-CN"/>
        </w:rPr>
      </w:pPr>
    </w:p>
    <w:p w14:paraId="649686C1">
      <w:pPr>
        <w:adjustRightInd w:val="0"/>
        <w:snapToGrid w:val="0"/>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代理人联系电话：</w:t>
      </w:r>
    </w:p>
    <w:p w14:paraId="7DBC7D9D">
      <w:pPr>
        <w:spacing w:line="360" w:lineRule="auto"/>
        <w:rPr>
          <w:rFonts w:ascii="宋体" w:hAnsi="宋体" w:eastAsia="宋体" w:cs="宋体"/>
          <w:color w:val="auto"/>
          <w:lang w:eastAsia="zh-CN"/>
        </w:rPr>
      </w:pPr>
    </w:p>
    <w:p w14:paraId="432BF8A1">
      <w:pPr>
        <w:spacing w:line="360" w:lineRule="auto"/>
        <w:rPr>
          <w:rFonts w:ascii="宋体" w:hAnsi="宋体" w:eastAsia="宋体" w:cs="宋体"/>
          <w:color w:val="auto"/>
          <w:lang w:eastAsia="zh-CN"/>
        </w:rPr>
      </w:pPr>
      <w:r>
        <w:rPr>
          <w:rFonts w:hint="eastAsia" w:ascii="宋体" w:hAnsi="宋体" w:eastAsia="宋体" w:cs="宋体"/>
          <w:color w:val="auto"/>
          <w:lang w:eastAsia="zh-CN"/>
        </w:rPr>
        <w:t xml:space="preserve">竞价人（盖公章）：     </w:t>
      </w:r>
    </w:p>
    <w:p w14:paraId="08EE176D">
      <w:pPr>
        <w:spacing w:line="360" w:lineRule="auto"/>
        <w:rPr>
          <w:rFonts w:ascii="宋体" w:hAnsi="宋体" w:eastAsia="宋体" w:cs="宋体"/>
          <w:color w:val="auto"/>
          <w:lang w:eastAsia="zh-CN"/>
        </w:rPr>
      </w:pPr>
    </w:p>
    <w:p w14:paraId="31056965">
      <w:pPr>
        <w:spacing w:line="360" w:lineRule="auto"/>
        <w:rPr>
          <w:rFonts w:ascii="宋体" w:hAnsi="宋体" w:eastAsia="宋体" w:cs="宋体"/>
          <w:color w:val="auto"/>
          <w:lang w:eastAsia="zh-CN"/>
        </w:rPr>
      </w:pPr>
      <w:r>
        <w:rPr>
          <w:rFonts w:hint="eastAsia" w:ascii="宋体" w:hAnsi="宋体" w:eastAsia="宋体" w:cs="宋体"/>
          <w:color w:val="auto"/>
          <w:lang w:eastAsia="zh-CN"/>
        </w:rPr>
        <w:t>法定代表人（签字）：</w:t>
      </w:r>
    </w:p>
    <w:p w14:paraId="37A91565">
      <w:pPr>
        <w:spacing w:line="360" w:lineRule="auto"/>
        <w:rPr>
          <w:rFonts w:ascii="宋体" w:hAnsi="宋体" w:eastAsia="宋体" w:cs="宋体"/>
          <w:color w:val="auto"/>
          <w:lang w:eastAsia="zh-CN"/>
        </w:rPr>
      </w:pPr>
    </w:p>
    <w:p w14:paraId="6CA68507">
      <w:pPr>
        <w:spacing w:line="360" w:lineRule="auto"/>
        <w:rPr>
          <w:rFonts w:ascii="宋体" w:hAnsi="宋体" w:eastAsia="宋体" w:cs="宋体"/>
          <w:color w:val="auto"/>
          <w:lang w:eastAsia="zh-CN"/>
        </w:rPr>
      </w:pPr>
      <w:r>
        <w:rPr>
          <w:rFonts w:hint="eastAsia" w:ascii="宋体" w:hAnsi="宋体" w:eastAsia="宋体" w:cs="宋体"/>
          <w:color w:val="auto"/>
          <w:lang w:eastAsia="zh-CN"/>
        </w:rPr>
        <w:t xml:space="preserve">授权委托日期： </w:t>
      </w:r>
    </w:p>
    <w:p w14:paraId="4B4A465E">
      <w:pPr>
        <w:spacing w:line="360" w:lineRule="auto"/>
        <w:rPr>
          <w:rFonts w:ascii="宋体" w:hAnsi="宋体" w:eastAsia="宋体" w:cs="宋体"/>
          <w:color w:val="auto"/>
          <w:lang w:eastAsia="zh-CN"/>
        </w:rPr>
      </w:pPr>
    </w:p>
    <w:p w14:paraId="7B7A627B">
      <w:pPr>
        <w:spacing w:line="360" w:lineRule="auto"/>
        <w:rPr>
          <w:rFonts w:ascii="宋体" w:hAnsi="宋体" w:eastAsia="宋体" w:cs="宋体"/>
          <w:b/>
          <w:bCs/>
          <w:color w:val="auto"/>
          <w:lang w:eastAsia="zh-CN"/>
        </w:rPr>
      </w:pPr>
      <w:r>
        <w:rPr>
          <w:rFonts w:hint="eastAsia" w:ascii="宋体" w:hAnsi="宋体" w:eastAsia="宋体" w:cs="宋体"/>
          <w:b/>
          <w:bCs/>
          <w:color w:val="auto"/>
          <w:lang w:eastAsia="zh-CN"/>
        </w:rPr>
        <w:t>注：法定代表人竞价的该部分只需提供法定代表人身份证即可，无需填写授权委托书；授权代理人竞价的按上述要求填写授权委托书，否则视为无效响应。</w:t>
      </w:r>
    </w:p>
    <w:p w14:paraId="2120FCD3">
      <w:pPr>
        <w:spacing w:line="360" w:lineRule="auto"/>
        <w:rPr>
          <w:rFonts w:ascii="宋体" w:hAnsi="宋体" w:eastAsia="宋体" w:cs="宋体"/>
          <w:color w:val="auto"/>
          <w:lang w:eastAsia="zh-CN"/>
        </w:rPr>
      </w:pPr>
      <w:r>
        <w:rPr>
          <w:rFonts w:hint="eastAsia" w:ascii="宋体" w:hAnsi="宋体" w:eastAsia="宋体" w:cs="宋体"/>
          <w:color w:val="auto"/>
          <w:lang w:eastAsia="zh-CN"/>
        </w:rPr>
        <w:t>（附法定代表人和授权代理人身份证复印件）</w:t>
      </w:r>
    </w:p>
    <w:p w14:paraId="098FF31D">
      <w:pPr>
        <w:spacing w:line="360" w:lineRule="auto"/>
        <w:rPr>
          <w:rFonts w:ascii="宋体" w:hAnsi="宋体" w:eastAsia="宋体" w:cs="宋体"/>
          <w:color w:val="auto"/>
          <w:lang w:eastAsia="zh-CN"/>
        </w:rPr>
      </w:pPr>
    </w:p>
    <w:p w14:paraId="726E4572">
      <w:pPr>
        <w:spacing w:line="360" w:lineRule="auto"/>
        <w:rPr>
          <w:rFonts w:ascii="宋体" w:hAnsi="宋体" w:eastAsia="宋体" w:cs="宋体"/>
          <w:color w:val="auto"/>
          <w:lang w:eastAsia="zh-CN"/>
        </w:rPr>
      </w:pPr>
      <w:r>
        <w:rPr>
          <w:rFonts w:hint="eastAsia" w:ascii="宋体" w:hAnsi="宋体" w:eastAsia="宋体" w:cs="宋体"/>
          <w:color w:val="auto"/>
          <w:lang w:eastAsia="zh-CN"/>
        </w:rPr>
        <w:t>附法定代表人身份证复印件             代理人身份证复印件</w:t>
      </w:r>
    </w:p>
    <w:p w14:paraId="0B6B232C">
      <w:pPr>
        <w:rPr>
          <w:rFonts w:eastAsia="宋体"/>
          <w:color w:val="auto"/>
          <w:lang w:eastAsia="zh-CN"/>
        </w:rPr>
      </w:pPr>
      <w:r>
        <w:rPr>
          <w:rFonts w:eastAsia="宋体"/>
          <w:color w:val="auto"/>
          <w:lang w:eastAsia="zh-CN"/>
        </w:rPr>
        <w:br w:type="page"/>
      </w:r>
    </w:p>
    <w:p w14:paraId="28311319">
      <w:pPr>
        <w:keepNext/>
        <w:keepLines/>
        <w:tabs>
          <w:tab w:val="left" w:pos="720"/>
        </w:tabs>
        <w:snapToGrid w:val="0"/>
        <w:spacing w:before="260" w:after="260" w:line="416" w:lineRule="auto"/>
        <w:outlineLvl w:val="1"/>
        <w:rPr>
          <w:rFonts w:ascii="宋体" w:hAnsi="宋体" w:eastAsia="宋体" w:cs="宋体"/>
          <w:b/>
          <w:bCs/>
          <w:color w:val="auto"/>
          <w:sz w:val="28"/>
          <w:szCs w:val="28"/>
          <w:lang w:eastAsia="zh-CN"/>
        </w:rPr>
      </w:pPr>
      <w:bookmarkStart w:id="472" w:name="_Toc4422"/>
      <w:r>
        <w:rPr>
          <w:rFonts w:hint="eastAsia" w:ascii="宋体" w:hAnsi="宋体" w:eastAsia="宋体" w:cs="宋体"/>
          <w:b/>
          <w:bCs/>
          <w:color w:val="auto"/>
          <w:sz w:val="28"/>
          <w:szCs w:val="28"/>
          <w:lang w:eastAsia="zh-CN"/>
        </w:rPr>
        <w:t>附件四：竞价人承诺函（格式）</w:t>
      </w:r>
      <w:bookmarkEnd w:id="472"/>
    </w:p>
    <w:p w14:paraId="7DB65DD3">
      <w:pPr>
        <w:snapToGrid w:val="0"/>
        <w:spacing w:line="360" w:lineRule="auto"/>
        <w:jc w:val="center"/>
        <w:rPr>
          <w:color w:val="auto"/>
          <w:lang w:eastAsia="zh-CN"/>
        </w:rPr>
      </w:pPr>
      <w:r>
        <w:rPr>
          <w:rFonts w:hint="eastAsia" w:ascii="宋体" w:hAnsi="宋体" w:eastAsia="宋体" w:cs="宋体"/>
          <w:b/>
          <w:bCs/>
          <w:color w:val="auto"/>
          <w:lang w:eastAsia="zh-CN"/>
        </w:rPr>
        <w:t>竞价人承诺函</w:t>
      </w:r>
    </w:p>
    <w:p w14:paraId="583A6D40">
      <w:pPr>
        <w:snapToGrid w:val="0"/>
        <w:spacing w:line="360" w:lineRule="auto"/>
        <w:rPr>
          <w:rFonts w:ascii="宋体" w:hAnsi="宋体" w:eastAsia="宋体" w:cs="宋体"/>
          <w:color w:val="auto"/>
          <w:u w:val="single"/>
          <w:lang w:eastAsia="zh-CN"/>
        </w:rPr>
      </w:pPr>
      <w:r>
        <w:rPr>
          <w:rFonts w:hint="eastAsia" w:ascii="宋体" w:hAnsi="宋体" w:eastAsia="宋体" w:cs="宋体"/>
          <w:color w:val="auto"/>
          <w:lang w:eastAsia="zh-CN"/>
        </w:rPr>
        <w:t xml:space="preserve">致:  </w:t>
      </w:r>
      <w:r>
        <w:rPr>
          <w:rFonts w:hint="eastAsia" w:ascii="宋体" w:hAnsi="宋体" w:eastAsia="宋体" w:cs="宋体"/>
          <w:color w:val="auto"/>
          <w:u w:val="single"/>
          <w:lang w:eastAsia="zh-CN"/>
        </w:rPr>
        <w:t>抚州市国控供应链管理有限公司</w:t>
      </w:r>
    </w:p>
    <w:p w14:paraId="547E04FE">
      <w:pPr>
        <w:snapToGrid w:val="0"/>
        <w:spacing w:line="360" w:lineRule="auto"/>
        <w:rPr>
          <w:rFonts w:ascii="宋体" w:hAnsi="宋体" w:eastAsia="宋体" w:cs="宋体"/>
          <w:color w:val="auto"/>
          <w:lang w:eastAsia="zh-CN"/>
        </w:rPr>
      </w:pPr>
      <w:r>
        <w:rPr>
          <w:rFonts w:hint="eastAsia" w:ascii="宋体" w:hAnsi="宋体" w:eastAsia="宋体" w:cs="宋体"/>
          <w:color w:val="auto"/>
          <w:lang w:eastAsia="zh-CN"/>
        </w:rPr>
        <w:t>很荣幸能参与上述项目的报价。</w:t>
      </w:r>
    </w:p>
    <w:p w14:paraId="01926ED3">
      <w:pPr>
        <w:snapToGrid w:val="0"/>
        <w:spacing w:line="360" w:lineRule="auto"/>
        <w:rPr>
          <w:rFonts w:ascii="宋体" w:hAnsi="宋体" w:eastAsia="宋体" w:cs="宋体"/>
          <w:color w:val="auto"/>
          <w:lang w:eastAsia="zh-CN"/>
        </w:rPr>
      </w:pPr>
      <w:r>
        <w:rPr>
          <w:rFonts w:hint="eastAsia" w:ascii="宋体" w:hAnsi="宋体" w:eastAsia="宋体" w:cs="宋体"/>
          <w:color w:val="auto"/>
          <w:lang w:eastAsia="zh-CN"/>
        </w:rPr>
        <w:t>我代表</w:t>
      </w:r>
      <w:r>
        <w:rPr>
          <w:rFonts w:hint="eastAsia" w:ascii="宋体" w:hAnsi="宋体" w:eastAsia="宋体" w:cs="宋体"/>
          <w:i/>
          <w:color w:val="auto"/>
          <w:u w:val="single"/>
          <w:lang w:eastAsia="zh-CN"/>
        </w:rPr>
        <w:t>（竞价人名称）</w:t>
      </w:r>
      <w:r>
        <w:rPr>
          <w:rFonts w:hint="eastAsia" w:ascii="宋体" w:hAnsi="宋体" w:eastAsia="宋体" w:cs="宋体"/>
          <w:color w:val="auto"/>
          <w:lang w:eastAsia="zh-CN"/>
        </w:rPr>
        <w:t>,在此作如下承诺：</w:t>
      </w:r>
    </w:p>
    <w:p w14:paraId="69B2535D">
      <w:pPr>
        <w:snapToGrid w:val="0"/>
        <w:spacing w:line="360" w:lineRule="auto"/>
        <w:rPr>
          <w:rFonts w:ascii="宋体" w:hAnsi="宋体" w:eastAsia="宋体" w:cs="宋体"/>
          <w:color w:val="auto"/>
          <w:lang w:eastAsia="zh-CN"/>
        </w:rPr>
      </w:pPr>
      <w:r>
        <w:rPr>
          <w:rFonts w:hint="eastAsia" w:ascii="宋体" w:hAnsi="宋体" w:eastAsia="宋体" w:cs="宋体"/>
          <w:color w:val="auto"/>
          <w:lang w:eastAsia="zh-CN"/>
        </w:rPr>
        <w:t xml:space="preserve">    1.  完全理解和接受竞价文件的一切规定和要求。</w:t>
      </w:r>
    </w:p>
    <w:p w14:paraId="79351842">
      <w:pPr>
        <w:snapToGrid w:val="0"/>
        <w:spacing w:line="360" w:lineRule="auto"/>
        <w:rPr>
          <w:rFonts w:ascii="宋体" w:hAnsi="宋体" w:eastAsia="宋体" w:cs="宋体"/>
          <w:color w:val="auto"/>
          <w:lang w:eastAsia="zh-CN"/>
        </w:rPr>
      </w:pPr>
      <w:r>
        <w:rPr>
          <w:rFonts w:hint="eastAsia" w:ascii="宋体" w:hAnsi="宋体" w:eastAsia="宋体" w:cs="宋体"/>
          <w:color w:val="auto"/>
          <w:lang w:eastAsia="zh-CN"/>
        </w:rPr>
        <w:t xml:space="preserve">    2.  报价为报价有效期和合同有效期内。</w:t>
      </w:r>
    </w:p>
    <w:p w14:paraId="04F0A2DA">
      <w:pPr>
        <w:snapToGrid w:val="0"/>
        <w:spacing w:line="360" w:lineRule="auto"/>
        <w:ind w:firstLine="480"/>
        <w:rPr>
          <w:rFonts w:ascii="宋体" w:hAnsi="宋体" w:eastAsia="宋体" w:cs="宋体"/>
          <w:color w:val="auto"/>
          <w:lang w:eastAsia="zh-CN"/>
        </w:rPr>
      </w:pPr>
      <w:r>
        <w:rPr>
          <w:rFonts w:hint="eastAsia" w:ascii="宋体" w:hAnsi="宋体" w:eastAsia="宋体" w:cs="宋体"/>
          <w:color w:val="auto"/>
          <w:lang w:eastAsia="zh-CN"/>
        </w:rPr>
        <w:t>3.  若获得合同签订资格，我方将按照竞价函的具体规定与竞价人签订经济合同，并且严格履行合同义务，为项目提供优质的产品和服务。如果在合同执行过程中，发现合同服务质量问题，我方一定尽快完善补充，并承担相应的经济责任。</w:t>
      </w:r>
    </w:p>
    <w:p w14:paraId="1EA436E0">
      <w:pPr>
        <w:snapToGrid w:val="0"/>
        <w:spacing w:line="360" w:lineRule="auto"/>
        <w:ind w:firstLine="480"/>
        <w:rPr>
          <w:rFonts w:ascii="宋体" w:hAnsi="宋体" w:eastAsia="宋体" w:cs="宋体"/>
          <w:color w:val="auto"/>
          <w:lang w:eastAsia="zh-CN"/>
        </w:rPr>
      </w:pPr>
      <w:r>
        <w:rPr>
          <w:rFonts w:hint="eastAsia" w:ascii="宋体" w:hAnsi="宋体" w:eastAsia="宋体" w:cs="宋体"/>
          <w:color w:val="auto"/>
          <w:lang w:eastAsia="zh-CN"/>
        </w:rPr>
        <w:t>4.  服务期限满足竞价文件要求。</w:t>
      </w:r>
    </w:p>
    <w:p w14:paraId="1CD9F343">
      <w:pPr>
        <w:snapToGrid w:val="0"/>
        <w:spacing w:line="360" w:lineRule="auto"/>
        <w:ind w:firstLine="480"/>
        <w:rPr>
          <w:rFonts w:ascii="宋体" w:hAnsi="宋体" w:eastAsia="宋体" w:cs="宋体"/>
          <w:color w:val="auto"/>
          <w:lang w:eastAsia="zh-CN"/>
        </w:rPr>
      </w:pPr>
      <w:r>
        <w:rPr>
          <w:rFonts w:hint="eastAsia" w:ascii="宋体" w:hAnsi="宋体" w:eastAsia="宋体" w:cs="宋体"/>
          <w:color w:val="auto"/>
          <w:lang w:eastAsia="zh-CN"/>
        </w:rPr>
        <w:t>5.  在整个竞价过程中，我方若有违法、违规行为，贵方可按法律或评审办法之规定取消合同签订资格，我方完全接受。</w:t>
      </w:r>
    </w:p>
    <w:p w14:paraId="70561A8B">
      <w:pPr>
        <w:snapToGrid w:val="0"/>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6.  若获得合同签订资格，本承诺函将成为合同不可分割的一部分，与合同具有同等的法律效力。</w:t>
      </w:r>
    </w:p>
    <w:p w14:paraId="32453218">
      <w:pPr>
        <w:snapToGrid w:val="0"/>
        <w:spacing w:line="360" w:lineRule="auto"/>
        <w:rPr>
          <w:rFonts w:ascii="宋体" w:hAnsi="宋体" w:eastAsia="宋体" w:cs="宋体"/>
          <w:color w:val="auto"/>
          <w:lang w:eastAsia="zh-CN"/>
        </w:rPr>
      </w:pPr>
    </w:p>
    <w:p w14:paraId="239F9644">
      <w:pPr>
        <w:widowControl/>
        <w:adjustRightInd w:val="0"/>
        <w:snapToGrid w:val="0"/>
        <w:spacing w:line="360" w:lineRule="auto"/>
        <w:textAlignment w:val="baseline"/>
        <w:rPr>
          <w:rFonts w:ascii="宋体" w:hAnsi="宋体" w:eastAsia="宋体" w:cs="宋体"/>
          <w:color w:val="auto"/>
          <w:lang w:eastAsia="zh-CN"/>
        </w:rPr>
      </w:pPr>
      <w:r>
        <w:rPr>
          <w:rFonts w:hint="eastAsia" w:ascii="宋体" w:hAnsi="宋体" w:eastAsia="宋体" w:cs="宋体"/>
          <w:color w:val="auto"/>
          <w:lang w:eastAsia="zh-CN"/>
        </w:rPr>
        <w:t xml:space="preserve">竞价人（盖公章）：  </w:t>
      </w:r>
    </w:p>
    <w:p w14:paraId="3C54767C">
      <w:pPr>
        <w:widowControl/>
        <w:adjustRightInd w:val="0"/>
        <w:snapToGrid w:val="0"/>
        <w:spacing w:line="360" w:lineRule="auto"/>
        <w:textAlignment w:val="baseline"/>
        <w:rPr>
          <w:rFonts w:ascii="宋体" w:hAnsi="宋体" w:eastAsia="宋体" w:cs="宋体"/>
          <w:color w:val="auto"/>
          <w:lang w:eastAsia="zh-CN"/>
        </w:rPr>
      </w:pPr>
    </w:p>
    <w:p w14:paraId="0F524D57">
      <w:pPr>
        <w:widowControl/>
        <w:adjustRightInd w:val="0"/>
        <w:snapToGrid w:val="0"/>
        <w:spacing w:line="360" w:lineRule="auto"/>
        <w:textAlignment w:val="baseline"/>
        <w:rPr>
          <w:rFonts w:ascii="宋体" w:hAnsi="宋体" w:eastAsia="宋体" w:cs="宋体"/>
          <w:color w:val="auto"/>
          <w:lang w:eastAsia="zh-CN"/>
        </w:rPr>
      </w:pPr>
      <w:r>
        <w:rPr>
          <w:rFonts w:hint="eastAsia" w:ascii="宋体" w:hAnsi="宋体" w:eastAsia="宋体" w:cs="宋体"/>
          <w:color w:val="auto"/>
          <w:lang w:eastAsia="zh-CN"/>
        </w:rPr>
        <w:t>法定代表人（或代理人）签字：</w:t>
      </w:r>
    </w:p>
    <w:p w14:paraId="636DB15C">
      <w:pPr>
        <w:pStyle w:val="52"/>
        <w:spacing w:line="360" w:lineRule="auto"/>
        <w:rPr>
          <w:color w:val="auto"/>
        </w:rPr>
      </w:pPr>
    </w:p>
    <w:p w14:paraId="0239FD74">
      <w:pPr>
        <w:pStyle w:val="52"/>
        <w:spacing w:line="360" w:lineRule="auto"/>
        <w:rPr>
          <w:color w:val="auto"/>
        </w:rPr>
      </w:pPr>
      <w:r>
        <w:rPr>
          <w:rFonts w:hint="eastAsia"/>
          <w:color w:val="auto"/>
        </w:rPr>
        <w:t>日期：</w:t>
      </w:r>
    </w:p>
    <w:p w14:paraId="05BCF541">
      <w:pPr>
        <w:pStyle w:val="52"/>
        <w:spacing w:line="360" w:lineRule="auto"/>
        <w:rPr>
          <w:color w:val="auto"/>
        </w:rPr>
      </w:pPr>
    </w:p>
    <w:p w14:paraId="3D19753D">
      <w:pPr>
        <w:pStyle w:val="52"/>
        <w:spacing w:line="360" w:lineRule="auto"/>
        <w:rPr>
          <w:color w:val="auto"/>
        </w:rPr>
      </w:pPr>
    </w:p>
    <w:p w14:paraId="14B37F98">
      <w:pPr>
        <w:pStyle w:val="52"/>
        <w:spacing w:line="360" w:lineRule="auto"/>
        <w:rPr>
          <w:color w:val="auto"/>
        </w:rPr>
      </w:pPr>
    </w:p>
    <w:p w14:paraId="453297A0">
      <w:pPr>
        <w:pStyle w:val="52"/>
        <w:spacing w:line="360" w:lineRule="auto"/>
        <w:rPr>
          <w:color w:val="auto"/>
        </w:rPr>
      </w:pPr>
    </w:p>
    <w:p w14:paraId="40EFB1D0">
      <w:pPr>
        <w:pStyle w:val="52"/>
        <w:spacing w:line="360" w:lineRule="auto"/>
        <w:rPr>
          <w:color w:val="auto"/>
        </w:rPr>
      </w:pPr>
    </w:p>
    <w:p w14:paraId="4685467D">
      <w:pPr>
        <w:pStyle w:val="52"/>
        <w:spacing w:line="360" w:lineRule="auto"/>
        <w:rPr>
          <w:color w:val="auto"/>
        </w:rPr>
      </w:pPr>
    </w:p>
    <w:p w14:paraId="01EDFFA8">
      <w:pPr>
        <w:pStyle w:val="52"/>
        <w:spacing w:line="360" w:lineRule="auto"/>
        <w:rPr>
          <w:color w:val="auto"/>
        </w:rPr>
      </w:pPr>
      <w:r>
        <w:rPr>
          <w:rFonts w:hint="eastAsia"/>
          <w:b/>
          <w:bCs/>
          <w:color w:val="auto"/>
          <w:kern w:val="44"/>
          <w:sz w:val="28"/>
          <w:szCs w:val="28"/>
          <w:lang w:bidi="en-US"/>
        </w:rPr>
        <w:br w:type="page"/>
      </w:r>
    </w:p>
    <w:bookmarkEnd w:id="462"/>
    <w:bookmarkEnd w:id="463"/>
    <w:bookmarkEnd w:id="464"/>
    <w:bookmarkEnd w:id="465"/>
    <w:bookmarkEnd w:id="466"/>
    <w:bookmarkEnd w:id="467"/>
    <w:bookmarkEnd w:id="468"/>
    <w:bookmarkEnd w:id="469"/>
    <w:bookmarkEnd w:id="470"/>
    <w:p w14:paraId="22758622">
      <w:pPr>
        <w:keepNext/>
        <w:keepLines/>
        <w:tabs>
          <w:tab w:val="left" w:pos="720"/>
        </w:tabs>
        <w:snapToGrid w:val="0"/>
        <w:spacing w:before="260" w:after="260" w:line="416" w:lineRule="auto"/>
        <w:outlineLvl w:val="1"/>
        <w:rPr>
          <w:rFonts w:ascii="宋体" w:hAnsi="宋体" w:eastAsia="宋体" w:cs="宋体"/>
          <w:b/>
          <w:bCs/>
          <w:color w:val="auto"/>
          <w:sz w:val="28"/>
          <w:szCs w:val="28"/>
          <w:lang w:eastAsia="zh-CN"/>
        </w:rPr>
      </w:pPr>
      <w:bookmarkStart w:id="473" w:name="_Toc11553"/>
      <w:r>
        <w:rPr>
          <w:rFonts w:hint="eastAsia" w:ascii="宋体" w:hAnsi="宋体" w:eastAsia="宋体" w:cs="宋体"/>
          <w:b/>
          <w:color w:val="auto"/>
          <w:sz w:val="28"/>
          <w:szCs w:val="28"/>
          <w:lang w:eastAsia="zh-CN"/>
        </w:rPr>
        <w:t>附件五：资格证明材料</w:t>
      </w:r>
      <w:bookmarkEnd w:id="473"/>
    </w:p>
    <w:p w14:paraId="61CE591E">
      <w:pPr>
        <w:spacing w:line="360" w:lineRule="auto"/>
        <w:rPr>
          <w:rFonts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、在竞价截止日不处于被责令停业、被吊销营业执照、被宣告破产、财产被接管、冻结等状态，不存在不符合法律法规规定的其他竞价资格条件的情形</w:t>
      </w:r>
      <w:r>
        <w:rPr>
          <w:rFonts w:hint="eastAsia" w:ascii="宋体" w:hAnsi="宋体" w:eastAsia="宋体" w:cs="宋体"/>
          <w:b/>
          <w:bCs/>
          <w:color w:val="auto"/>
          <w:lang w:eastAsia="zh-CN"/>
        </w:rPr>
        <w:t>（提供承诺函加盖竞价人公章）。</w:t>
      </w:r>
    </w:p>
    <w:p w14:paraId="443DCC88">
      <w:pPr>
        <w:spacing w:line="360" w:lineRule="auto"/>
        <w:rPr>
          <w:rFonts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、单位负责人为同一人或者存在控股、管理关系的不同单位，不得参加同一标段竞价或者未划分标段的同一招标项目竞价</w:t>
      </w:r>
      <w:r>
        <w:rPr>
          <w:rFonts w:hint="eastAsia" w:ascii="宋体" w:hAnsi="宋体" w:eastAsia="宋体" w:cs="宋体"/>
          <w:b/>
          <w:bCs/>
          <w:color w:val="auto"/>
          <w:lang w:eastAsia="zh-CN"/>
        </w:rPr>
        <w:t>（提供承诺函加盖竞价人公章）。</w:t>
      </w:r>
    </w:p>
    <w:p w14:paraId="11DC682F">
      <w:pPr>
        <w:spacing w:line="360" w:lineRule="auto"/>
        <w:rPr>
          <w:rFonts w:ascii="宋体" w:hAnsi="宋体" w:eastAsia="宋体" w:cs="宋体"/>
          <w:b/>
          <w:bCs/>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、本项目不接受联合体，成交后不得转包和分包</w:t>
      </w:r>
      <w:r>
        <w:rPr>
          <w:rFonts w:hint="eastAsia" w:ascii="宋体" w:hAnsi="宋体" w:eastAsia="宋体" w:cs="宋体"/>
          <w:b/>
          <w:bCs/>
          <w:color w:val="auto"/>
          <w:lang w:eastAsia="zh-CN"/>
        </w:rPr>
        <w:t>（提供承诺函加盖竞价人公章）</w:t>
      </w:r>
      <w:r>
        <w:rPr>
          <w:rFonts w:hint="eastAsia" w:ascii="宋体" w:hAnsi="宋体" w:eastAsia="宋体" w:cs="宋体"/>
          <w:color w:val="auto"/>
          <w:lang w:eastAsia="zh-CN"/>
        </w:rPr>
        <w:t>；</w:t>
      </w:r>
    </w:p>
    <w:p w14:paraId="4F958055">
      <w:pPr>
        <w:rPr>
          <w:rFonts w:ascii="宋体" w:hAnsi="宋体" w:eastAsia="宋体" w:cs="宋体"/>
          <w:b/>
          <w:bCs/>
          <w:color w:val="auto"/>
          <w:lang w:eastAsia="zh-CN"/>
        </w:rPr>
      </w:pPr>
      <w:r>
        <w:rPr>
          <w:rFonts w:hint="eastAsia" w:ascii="宋体" w:hAnsi="宋体" w:eastAsia="宋体" w:cs="宋体"/>
          <w:b/>
          <w:bCs/>
          <w:color w:val="auto"/>
          <w:lang w:eastAsia="zh-CN"/>
        </w:rPr>
        <w:br w:type="page"/>
      </w:r>
    </w:p>
    <w:p w14:paraId="35690BA1">
      <w:pPr>
        <w:spacing w:line="360" w:lineRule="auto"/>
        <w:jc w:val="center"/>
        <w:rPr>
          <w:rFonts w:ascii="宋体" w:hAnsi="宋体" w:eastAsia="宋体" w:cs="宋体"/>
          <w:b/>
          <w:bCs/>
          <w:color w:val="auto"/>
          <w:lang w:eastAsia="zh-CN"/>
        </w:rPr>
      </w:pPr>
      <w:r>
        <w:rPr>
          <w:rFonts w:hint="eastAsia" w:ascii="宋体" w:hAnsi="宋体" w:eastAsia="宋体" w:cs="宋体"/>
          <w:b/>
          <w:bCs/>
          <w:color w:val="auto"/>
          <w:lang w:eastAsia="zh-CN"/>
        </w:rPr>
        <w:t>承诺函</w:t>
      </w:r>
    </w:p>
    <w:p w14:paraId="19EFF5A9">
      <w:pPr>
        <w:spacing w:line="360" w:lineRule="auto"/>
        <w:rPr>
          <w:rFonts w:ascii="宋体" w:hAnsi="宋体" w:eastAsia="宋体" w:cs="宋体"/>
          <w:color w:val="auto"/>
          <w:lang w:eastAsia="zh-CN"/>
        </w:rPr>
      </w:pPr>
      <w:r>
        <w:rPr>
          <w:rFonts w:hint="eastAsia" w:ascii="宋体" w:hAnsi="宋体" w:eastAsia="宋体" w:cs="宋体"/>
          <w:color w:val="auto"/>
          <w:lang w:eastAsia="zh-CN"/>
        </w:rPr>
        <w:t>致抚州市国控供应链管理有限公司：</w:t>
      </w:r>
    </w:p>
    <w:p w14:paraId="25B00387">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为响应贵方的邀请，下述签字人愿参与竞价，提供贵方需求的有关服务，提交下述文件并声明全部说明是真实的和正确的。</w:t>
      </w:r>
    </w:p>
    <w:p w14:paraId="6C840F2F">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1、在竞价截止日不处于被责令停业、被吊销营业执照、被宣告破产、财产被接管、冻结等状态，不存在不符合法律法规规定的其他竞价资格条件的情形；</w:t>
      </w:r>
    </w:p>
    <w:p w14:paraId="2147604F">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2、我单位负责人不和其他竞价人同一人或者不存在控股、管理关系，没有参加同一项目竞价；</w:t>
      </w:r>
    </w:p>
    <w:p w14:paraId="4A466F45">
      <w:pPr>
        <w:spacing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3、我单位独自竞价，没有组成联合体，成交后不会转包和分包。</w:t>
      </w:r>
    </w:p>
    <w:p w14:paraId="0B27893B">
      <w:pPr>
        <w:spacing w:line="360" w:lineRule="auto"/>
        <w:rPr>
          <w:rFonts w:ascii="宋体" w:hAnsi="宋体" w:eastAsia="宋体" w:cs="宋体"/>
          <w:color w:val="auto"/>
          <w:lang w:eastAsia="zh-CN"/>
        </w:rPr>
      </w:pPr>
    </w:p>
    <w:p w14:paraId="06C843C6">
      <w:pPr>
        <w:spacing w:line="360" w:lineRule="auto"/>
        <w:rPr>
          <w:rFonts w:ascii="宋体" w:hAnsi="宋体" w:eastAsia="宋体" w:cs="宋体"/>
          <w:color w:val="auto"/>
          <w:lang w:eastAsia="zh-CN"/>
        </w:rPr>
      </w:pPr>
      <w:r>
        <w:rPr>
          <w:rFonts w:hint="eastAsia" w:ascii="宋体" w:hAnsi="宋体" w:eastAsia="宋体" w:cs="宋体"/>
          <w:color w:val="auto"/>
          <w:lang w:eastAsia="zh-CN"/>
        </w:rPr>
        <w:t xml:space="preserve">法定代表人或委托代理签字或签章：                             </w:t>
      </w:r>
    </w:p>
    <w:p w14:paraId="4BDCC444">
      <w:pPr>
        <w:spacing w:line="360" w:lineRule="auto"/>
        <w:rPr>
          <w:rFonts w:ascii="宋体" w:hAnsi="宋体" w:eastAsia="宋体" w:cs="宋体"/>
          <w:color w:val="auto"/>
          <w:lang w:eastAsia="zh-CN"/>
        </w:rPr>
      </w:pPr>
      <w:r>
        <w:rPr>
          <w:rFonts w:hint="eastAsia" w:ascii="宋体" w:hAnsi="宋体" w:eastAsia="宋体" w:cs="宋体"/>
          <w:color w:val="auto"/>
          <w:lang w:eastAsia="zh-CN"/>
        </w:rPr>
        <w:t xml:space="preserve">竞价人盖章：                                 </w:t>
      </w:r>
    </w:p>
    <w:p w14:paraId="6F624D86">
      <w:pPr>
        <w:spacing w:line="360" w:lineRule="auto"/>
        <w:rPr>
          <w:rFonts w:ascii="宋体" w:hAnsi="宋体" w:eastAsia="宋体" w:cs="宋体"/>
          <w:b/>
          <w:bCs/>
          <w:color w:val="auto"/>
          <w:lang w:eastAsia="zh-CN"/>
        </w:rPr>
      </w:pPr>
      <w:r>
        <w:rPr>
          <w:rFonts w:hint="eastAsia" w:ascii="宋体" w:hAnsi="宋体" w:eastAsia="宋体" w:cs="宋体"/>
          <w:color w:val="auto"/>
          <w:lang w:eastAsia="zh-CN"/>
        </w:rPr>
        <w:t>日期：</w:t>
      </w:r>
    </w:p>
    <w:p w14:paraId="2945124E">
      <w:pPr>
        <w:rPr>
          <w:rFonts w:ascii="宋体" w:hAnsi="宋体" w:eastAsia="宋体" w:cs="宋体"/>
          <w:b/>
          <w:bCs/>
          <w:color w:val="auto"/>
          <w:lang w:eastAsia="zh-CN"/>
        </w:rPr>
      </w:pPr>
    </w:p>
    <w:p w14:paraId="59DC014B">
      <w:pPr>
        <w:pStyle w:val="13"/>
        <w:rPr>
          <w:rFonts w:ascii="宋体" w:hAnsi="宋体" w:eastAsia="宋体" w:cs="宋体"/>
          <w:b/>
          <w:bCs/>
          <w:color w:val="auto"/>
          <w:lang w:eastAsia="zh-CN"/>
        </w:rPr>
      </w:pPr>
    </w:p>
    <w:p w14:paraId="682A749C">
      <w:pPr>
        <w:rPr>
          <w:rFonts w:ascii="宋体" w:hAnsi="宋体" w:eastAsia="宋体" w:cs="宋体"/>
          <w:b/>
          <w:bCs/>
          <w:color w:val="auto"/>
          <w:lang w:eastAsia="zh-CN"/>
        </w:rPr>
      </w:pPr>
    </w:p>
    <w:p w14:paraId="3FC860C2">
      <w:pPr>
        <w:pStyle w:val="13"/>
        <w:rPr>
          <w:rFonts w:ascii="宋体" w:hAnsi="宋体" w:eastAsia="宋体" w:cs="宋体"/>
          <w:b/>
          <w:bCs/>
          <w:color w:val="auto"/>
          <w:lang w:eastAsia="zh-CN"/>
        </w:rPr>
      </w:pPr>
    </w:p>
    <w:p w14:paraId="0534D563">
      <w:pPr>
        <w:widowControl/>
        <w:rPr>
          <w:rFonts w:ascii="宋体" w:hAnsi="宋体" w:eastAsia="宋体" w:cs="宋体"/>
          <w:b/>
          <w:bCs/>
          <w:color w:val="auto"/>
          <w:lang w:eastAsia="zh-CN"/>
        </w:rPr>
      </w:pPr>
      <w:r>
        <w:rPr>
          <w:rFonts w:ascii="宋体" w:hAnsi="宋体" w:eastAsia="宋体" w:cs="宋体"/>
          <w:b/>
          <w:bCs/>
          <w:color w:val="auto"/>
          <w:lang w:eastAsia="zh-CN"/>
        </w:rPr>
        <w:br w:type="page"/>
      </w:r>
    </w:p>
    <w:p w14:paraId="56EAE173">
      <w:pPr>
        <w:keepNext/>
        <w:keepLines/>
        <w:tabs>
          <w:tab w:val="left" w:pos="720"/>
        </w:tabs>
        <w:snapToGrid w:val="0"/>
        <w:spacing w:before="260" w:after="260" w:line="416" w:lineRule="auto"/>
        <w:outlineLvl w:val="1"/>
        <w:rPr>
          <w:rFonts w:ascii="宋体" w:hAnsi="宋体" w:eastAsia="宋体" w:cs="宋体"/>
          <w:b/>
          <w:bCs/>
          <w:color w:val="auto"/>
          <w:sz w:val="28"/>
          <w:szCs w:val="28"/>
          <w:lang w:eastAsia="zh-CN"/>
        </w:rPr>
      </w:pPr>
      <w:bookmarkStart w:id="474" w:name="_Toc18158"/>
      <w:bookmarkStart w:id="475" w:name="_Toc320607703"/>
      <w:r>
        <w:rPr>
          <w:rFonts w:hint="eastAsia" w:ascii="宋体" w:hAnsi="宋体" w:eastAsia="宋体" w:cs="宋体"/>
          <w:b/>
          <w:color w:val="auto"/>
          <w:sz w:val="28"/>
          <w:szCs w:val="28"/>
          <w:lang w:eastAsia="zh-CN"/>
        </w:rPr>
        <w:t>附件</w:t>
      </w:r>
      <w:r>
        <w:rPr>
          <w:rFonts w:hint="eastAsia" w:ascii="宋体" w:hAnsi="宋体" w:eastAsia="宋体" w:cs="宋体"/>
          <w:b/>
          <w:bCs/>
          <w:color w:val="auto"/>
          <w:sz w:val="28"/>
          <w:szCs w:val="28"/>
          <w:lang w:eastAsia="zh-CN"/>
        </w:rPr>
        <w:t>六：差异表</w:t>
      </w:r>
      <w:bookmarkEnd w:id="474"/>
    </w:p>
    <w:p w14:paraId="0BD7D23F">
      <w:pPr>
        <w:snapToGrid w:val="0"/>
        <w:spacing w:line="360" w:lineRule="auto"/>
        <w:jc w:val="center"/>
        <w:rPr>
          <w:rFonts w:ascii="宋体" w:hAnsi="宋体" w:eastAsia="宋体" w:cs="宋体"/>
          <w:b/>
          <w:bCs/>
          <w:color w:val="auto"/>
          <w:lang w:eastAsia="zh-CN"/>
        </w:rPr>
      </w:pPr>
      <w:r>
        <w:rPr>
          <w:rFonts w:hint="eastAsia" w:ascii="宋体" w:hAnsi="宋体" w:eastAsia="宋体" w:cs="宋体"/>
          <w:b/>
          <w:bCs/>
          <w:color w:val="auto"/>
          <w:lang w:eastAsia="zh-CN"/>
        </w:rPr>
        <w:t>差异表</w:t>
      </w:r>
      <w:bookmarkEnd w:id="475"/>
    </w:p>
    <w:p w14:paraId="71A969B7">
      <w:pPr>
        <w:spacing w:before="100" w:beforeAutospacing="1" w:after="100" w:afterAutospacing="1" w:line="360" w:lineRule="auto"/>
        <w:ind w:firstLine="480" w:firstLineChars="200"/>
        <w:rPr>
          <w:rFonts w:ascii="宋体" w:hAnsi="宋体" w:eastAsia="宋体" w:cs="宋体"/>
          <w:color w:val="auto"/>
          <w:lang w:eastAsia="zh-CN"/>
        </w:rPr>
      </w:pPr>
      <w:r>
        <w:rPr>
          <w:rFonts w:hint="eastAsia" w:ascii="宋体" w:hAnsi="宋体" w:eastAsia="宋体" w:cs="宋体"/>
          <w:color w:val="auto"/>
          <w:lang w:eastAsia="zh-CN"/>
        </w:rPr>
        <w:t>报价人要将报价文件和竞价文件的差异之处汇集成表。（只要有差别就需填写此表，无差异须填写“无”）</w:t>
      </w:r>
    </w:p>
    <w:p w14:paraId="0B497F7B">
      <w:pPr>
        <w:spacing w:before="60" w:after="60"/>
        <w:jc w:val="center"/>
        <w:rPr>
          <w:rFonts w:ascii="宋体" w:hAnsi="宋体" w:eastAsia="宋体" w:cs="宋体"/>
          <w:color w:val="auto"/>
        </w:rPr>
      </w:pPr>
      <w:r>
        <w:rPr>
          <w:rFonts w:hint="eastAsia" w:ascii="宋体" w:hAnsi="宋体" w:eastAsia="宋体" w:cs="宋体"/>
          <w:color w:val="auto"/>
        </w:rPr>
        <w:t>差异表</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28" w:type="dxa"/>
          <w:bottom w:w="0" w:type="dxa"/>
          <w:right w:w="28" w:type="dxa"/>
        </w:tblCellMar>
      </w:tblPr>
      <w:tblGrid>
        <w:gridCol w:w="840"/>
        <w:gridCol w:w="965"/>
        <w:gridCol w:w="2875"/>
        <w:gridCol w:w="938"/>
        <w:gridCol w:w="3059"/>
      </w:tblGrid>
      <w:tr w14:paraId="1BB538F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cantSplit/>
          <w:jc w:val="center"/>
        </w:trPr>
        <w:tc>
          <w:tcPr>
            <w:tcW w:w="840" w:type="dxa"/>
            <w:vMerge w:val="restart"/>
            <w:tcBorders>
              <w:bottom w:val="single" w:color="auto" w:sz="6" w:space="0"/>
              <w:right w:val="single" w:color="auto" w:sz="6" w:space="0"/>
            </w:tcBorders>
            <w:vAlign w:val="center"/>
          </w:tcPr>
          <w:p w14:paraId="1DAC37AD">
            <w:pPr>
              <w:spacing w:before="60" w:after="60"/>
              <w:jc w:val="center"/>
              <w:rPr>
                <w:rFonts w:ascii="宋体" w:hAnsi="宋体" w:eastAsia="宋体" w:cs="宋体"/>
                <w:color w:val="auto"/>
              </w:rPr>
            </w:pPr>
            <w:r>
              <w:rPr>
                <w:rFonts w:hint="eastAsia" w:ascii="宋体" w:hAnsi="宋体" w:eastAsia="宋体" w:cs="宋体"/>
                <w:color w:val="auto"/>
              </w:rPr>
              <w:t>序号</w:t>
            </w:r>
          </w:p>
        </w:tc>
        <w:tc>
          <w:tcPr>
            <w:tcW w:w="3840" w:type="dxa"/>
            <w:gridSpan w:val="2"/>
            <w:tcBorders>
              <w:left w:val="nil"/>
              <w:bottom w:val="single" w:color="auto" w:sz="6" w:space="0"/>
              <w:right w:val="single" w:color="auto" w:sz="6" w:space="0"/>
            </w:tcBorders>
          </w:tcPr>
          <w:p w14:paraId="72E09ED8">
            <w:pPr>
              <w:spacing w:before="60" w:after="60"/>
              <w:jc w:val="center"/>
              <w:rPr>
                <w:rFonts w:ascii="宋体" w:hAnsi="宋体" w:eastAsia="宋体" w:cs="宋体"/>
                <w:color w:val="auto"/>
              </w:rPr>
            </w:pPr>
            <w:r>
              <w:rPr>
                <w:rFonts w:hint="eastAsia" w:ascii="宋体" w:hAnsi="宋体" w:eastAsia="宋体" w:cs="宋体"/>
                <w:color w:val="auto"/>
                <w:lang w:eastAsia="zh-CN"/>
              </w:rPr>
              <w:t>竞价</w:t>
            </w:r>
            <w:r>
              <w:rPr>
                <w:rFonts w:hint="eastAsia" w:ascii="宋体" w:hAnsi="宋体" w:eastAsia="宋体" w:cs="宋体"/>
                <w:color w:val="auto"/>
              </w:rPr>
              <w:t>文件</w:t>
            </w:r>
          </w:p>
        </w:tc>
        <w:tc>
          <w:tcPr>
            <w:tcW w:w="3997" w:type="dxa"/>
            <w:gridSpan w:val="2"/>
            <w:tcBorders>
              <w:left w:val="nil"/>
              <w:bottom w:val="single" w:color="auto" w:sz="6" w:space="0"/>
            </w:tcBorders>
          </w:tcPr>
          <w:p w14:paraId="2E3AAABF">
            <w:pPr>
              <w:spacing w:before="60" w:after="60"/>
              <w:jc w:val="center"/>
              <w:rPr>
                <w:rFonts w:ascii="宋体" w:hAnsi="宋体" w:eastAsia="宋体" w:cs="宋体"/>
                <w:color w:val="auto"/>
              </w:rPr>
            </w:pPr>
            <w:r>
              <w:rPr>
                <w:rFonts w:hint="eastAsia" w:ascii="宋体" w:hAnsi="宋体" w:eastAsia="宋体" w:cs="宋体"/>
                <w:color w:val="auto"/>
              </w:rPr>
              <w:t>报价文件</w:t>
            </w:r>
          </w:p>
        </w:tc>
      </w:tr>
      <w:tr w14:paraId="31586C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cantSplit/>
          <w:jc w:val="center"/>
        </w:trPr>
        <w:tc>
          <w:tcPr>
            <w:tcW w:w="840" w:type="dxa"/>
            <w:vMerge w:val="continue"/>
            <w:tcBorders>
              <w:top w:val="single" w:color="auto" w:sz="6" w:space="0"/>
              <w:bottom w:val="single" w:color="auto" w:sz="6" w:space="0"/>
              <w:right w:val="single" w:color="auto" w:sz="6" w:space="0"/>
            </w:tcBorders>
          </w:tcPr>
          <w:p w14:paraId="1257B5A0">
            <w:pPr>
              <w:spacing w:before="60" w:after="60"/>
              <w:jc w:val="center"/>
              <w:rPr>
                <w:rFonts w:ascii="宋体" w:hAnsi="宋体" w:eastAsia="宋体" w:cs="宋体"/>
                <w:color w:val="auto"/>
              </w:rPr>
            </w:pPr>
          </w:p>
        </w:tc>
        <w:tc>
          <w:tcPr>
            <w:tcW w:w="965" w:type="dxa"/>
            <w:tcBorders>
              <w:top w:val="single" w:color="auto" w:sz="6" w:space="0"/>
              <w:left w:val="nil"/>
              <w:bottom w:val="single" w:color="auto" w:sz="6" w:space="0"/>
              <w:right w:val="single" w:color="auto" w:sz="6" w:space="0"/>
            </w:tcBorders>
          </w:tcPr>
          <w:p w14:paraId="49DF76B1">
            <w:pPr>
              <w:spacing w:before="60" w:after="60"/>
              <w:jc w:val="center"/>
              <w:rPr>
                <w:rFonts w:ascii="宋体" w:hAnsi="宋体" w:eastAsia="宋体" w:cs="宋体"/>
                <w:color w:val="auto"/>
              </w:rPr>
            </w:pPr>
            <w:r>
              <w:rPr>
                <w:rFonts w:hint="eastAsia" w:ascii="宋体" w:hAnsi="宋体" w:eastAsia="宋体" w:cs="宋体"/>
                <w:color w:val="auto"/>
              </w:rPr>
              <w:t>条目</w:t>
            </w:r>
          </w:p>
        </w:tc>
        <w:tc>
          <w:tcPr>
            <w:tcW w:w="2875" w:type="dxa"/>
            <w:tcBorders>
              <w:top w:val="single" w:color="auto" w:sz="6" w:space="0"/>
              <w:left w:val="nil"/>
              <w:bottom w:val="single" w:color="auto" w:sz="6" w:space="0"/>
              <w:right w:val="single" w:color="auto" w:sz="6" w:space="0"/>
            </w:tcBorders>
          </w:tcPr>
          <w:p w14:paraId="1CD94DA7">
            <w:pPr>
              <w:spacing w:before="60" w:after="60"/>
              <w:jc w:val="center"/>
              <w:rPr>
                <w:rFonts w:ascii="宋体" w:hAnsi="宋体" w:eastAsia="宋体" w:cs="宋体"/>
                <w:color w:val="auto"/>
              </w:rPr>
            </w:pPr>
            <w:r>
              <w:rPr>
                <w:rFonts w:hint="eastAsia" w:ascii="宋体" w:hAnsi="宋体" w:eastAsia="宋体" w:cs="宋体"/>
                <w:color w:val="auto"/>
              </w:rPr>
              <w:t>简要内容</w:t>
            </w:r>
          </w:p>
        </w:tc>
        <w:tc>
          <w:tcPr>
            <w:tcW w:w="938" w:type="dxa"/>
            <w:tcBorders>
              <w:top w:val="single" w:color="auto" w:sz="6" w:space="0"/>
              <w:left w:val="nil"/>
              <w:bottom w:val="single" w:color="auto" w:sz="6" w:space="0"/>
              <w:right w:val="single" w:color="auto" w:sz="6" w:space="0"/>
            </w:tcBorders>
          </w:tcPr>
          <w:p w14:paraId="5784C1FA">
            <w:pPr>
              <w:spacing w:before="60" w:after="60"/>
              <w:jc w:val="center"/>
              <w:rPr>
                <w:rFonts w:ascii="宋体" w:hAnsi="宋体" w:eastAsia="宋体" w:cs="宋体"/>
                <w:color w:val="auto"/>
              </w:rPr>
            </w:pPr>
            <w:r>
              <w:rPr>
                <w:rFonts w:hint="eastAsia" w:ascii="宋体" w:hAnsi="宋体" w:eastAsia="宋体" w:cs="宋体"/>
                <w:color w:val="auto"/>
              </w:rPr>
              <w:t>条目</w:t>
            </w:r>
          </w:p>
        </w:tc>
        <w:tc>
          <w:tcPr>
            <w:tcW w:w="3059" w:type="dxa"/>
            <w:tcBorders>
              <w:top w:val="single" w:color="auto" w:sz="6" w:space="0"/>
              <w:left w:val="nil"/>
              <w:bottom w:val="single" w:color="auto" w:sz="6" w:space="0"/>
            </w:tcBorders>
          </w:tcPr>
          <w:p w14:paraId="1B128A82">
            <w:pPr>
              <w:spacing w:before="60" w:after="60"/>
              <w:jc w:val="center"/>
              <w:rPr>
                <w:rFonts w:ascii="宋体" w:hAnsi="宋体" w:eastAsia="宋体" w:cs="宋体"/>
                <w:color w:val="auto"/>
              </w:rPr>
            </w:pPr>
            <w:r>
              <w:rPr>
                <w:rFonts w:hint="eastAsia" w:ascii="宋体" w:hAnsi="宋体" w:eastAsia="宋体" w:cs="宋体"/>
                <w:color w:val="auto"/>
              </w:rPr>
              <w:t>简要内容</w:t>
            </w:r>
          </w:p>
        </w:tc>
      </w:tr>
      <w:tr w14:paraId="0A6042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283EAB79">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074505F8">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7E02B9BB">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499C3571">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08BB094B">
            <w:pPr>
              <w:spacing w:before="60" w:after="60"/>
              <w:rPr>
                <w:rFonts w:ascii="宋体" w:hAnsi="宋体" w:eastAsia="宋体" w:cs="宋体"/>
                <w:color w:val="auto"/>
              </w:rPr>
            </w:pPr>
          </w:p>
        </w:tc>
      </w:tr>
      <w:tr w14:paraId="66D7F1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29E555C4">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5E180B6E">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5B7B62E3">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278D75D5">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78EE3E46">
            <w:pPr>
              <w:spacing w:before="60" w:after="60"/>
              <w:rPr>
                <w:rFonts w:ascii="宋体" w:hAnsi="宋体" w:eastAsia="宋体" w:cs="宋体"/>
                <w:color w:val="auto"/>
              </w:rPr>
            </w:pPr>
          </w:p>
        </w:tc>
      </w:tr>
      <w:tr w14:paraId="3AF0080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05612E70">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7C3F2533">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1D82FD4E">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453C62D7">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38A8B337">
            <w:pPr>
              <w:spacing w:before="60" w:after="60"/>
              <w:rPr>
                <w:rFonts w:ascii="宋体" w:hAnsi="宋体" w:eastAsia="宋体" w:cs="宋体"/>
                <w:color w:val="auto"/>
              </w:rPr>
            </w:pPr>
          </w:p>
        </w:tc>
      </w:tr>
      <w:tr w14:paraId="38C67B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25715747">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082E0B00">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6968A80F">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6F0435F7">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0F9741DD">
            <w:pPr>
              <w:spacing w:before="60" w:after="60"/>
              <w:rPr>
                <w:rFonts w:ascii="宋体" w:hAnsi="宋体" w:eastAsia="宋体" w:cs="宋体"/>
                <w:color w:val="auto"/>
              </w:rPr>
            </w:pPr>
          </w:p>
        </w:tc>
      </w:tr>
      <w:tr w14:paraId="7EC564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318DE9C0">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2C4D47BD">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2BC5E119">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615941D7">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383FB311">
            <w:pPr>
              <w:spacing w:before="60" w:after="60"/>
              <w:rPr>
                <w:rFonts w:ascii="宋体" w:hAnsi="宋体" w:eastAsia="宋体" w:cs="宋体"/>
                <w:color w:val="auto"/>
              </w:rPr>
            </w:pPr>
          </w:p>
        </w:tc>
      </w:tr>
      <w:tr w14:paraId="6B1716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75AC52DD">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6EF3F17A">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1F83C5A4">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1D41E2D9">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03A85024">
            <w:pPr>
              <w:spacing w:before="60" w:after="60"/>
              <w:rPr>
                <w:rFonts w:ascii="宋体" w:hAnsi="宋体" w:eastAsia="宋体" w:cs="宋体"/>
                <w:color w:val="auto"/>
              </w:rPr>
            </w:pPr>
          </w:p>
        </w:tc>
      </w:tr>
      <w:tr w14:paraId="6930C80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6FB88112">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143C7944">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6F04E491">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29C177BA">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7E1AE785">
            <w:pPr>
              <w:spacing w:before="60" w:after="60"/>
              <w:rPr>
                <w:rFonts w:ascii="宋体" w:hAnsi="宋体" w:eastAsia="宋体" w:cs="宋体"/>
                <w:color w:val="auto"/>
              </w:rPr>
            </w:pPr>
          </w:p>
        </w:tc>
      </w:tr>
      <w:tr w14:paraId="2ECC50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0F77D346">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02F0E685">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6EC837BB">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120F02B7">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64E7E1BF">
            <w:pPr>
              <w:spacing w:before="60" w:after="60"/>
              <w:rPr>
                <w:rFonts w:ascii="宋体" w:hAnsi="宋体" w:eastAsia="宋体" w:cs="宋体"/>
                <w:color w:val="auto"/>
              </w:rPr>
            </w:pPr>
          </w:p>
        </w:tc>
      </w:tr>
      <w:tr w14:paraId="6315E9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6F2E93DD">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68EB7A79">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2CC65118">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4F21D717">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6045713C">
            <w:pPr>
              <w:spacing w:before="60" w:after="60"/>
              <w:rPr>
                <w:rFonts w:ascii="宋体" w:hAnsi="宋体" w:eastAsia="宋体" w:cs="宋体"/>
                <w:color w:val="auto"/>
              </w:rPr>
            </w:pPr>
          </w:p>
        </w:tc>
      </w:tr>
      <w:tr w14:paraId="0FAE96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5AABEA7B">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104F4AC0">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4CF367F7">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30E83BC2">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584950D3">
            <w:pPr>
              <w:spacing w:before="60" w:after="60"/>
              <w:rPr>
                <w:rFonts w:ascii="宋体" w:hAnsi="宋体" w:eastAsia="宋体" w:cs="宋体"/>
                <w:color w:val="auto"/>
              </w:rPr>
            </w:pPr>
          </w:p>
        </w:tc>
      </w:tr>
      <w:tr w14:paraId="501018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40" w:type="dxa"/>
            <w:tcBorders>
              <w:top w:val="single" w:color="auto" w:sz="6" w:space="0"/>
              <w:bottom w:val="single" w:color="auto" w:sz="6" w:space="0"/>
            </w:tcBorders>
          </w:tcPr>
          <w:p w14:paraId="37C523C8">
            <w:pPr>
              <w:spacing w:before="60" w:after="60"/>
              <w:rPr>
                <w:rFonts w:ascii="宋体" w:hAnsi="宋体" w:eastAsia="宋体" w:cs="宋体"/>
                <w:color w:val="auto"/>
              </w:rPr>
            </w:pPr>
          </w:p>
        </w:tc>
        <w:tc>
          <w:tcPr>
            <w:tcW w:w="965" w:type="dxa"/>
            <w:tcBorders>
              <w:top w:val="single" w:color="auto" w:sz="6" w:space="0"/>
              <w:left w:val="single" w:color="auto" w:sz="6" w:space="0"/>
              <w:bottom w:val="single" w:color="auto" w:sz="6" w:space="0"/>
              <w:right w:val="single" w:color="auto" w:sz="6" w:space="0"/>
            </w:tcBorders>
          </w:tcPr>
          <w:p w14:paraId="20FA6FCC">
            <w:pPr>
              <w:spacing w:before="60" w:after="60"/>
              <w:rPr>
                <w:rFonts w:ascii="宋体" w:hAnsi="宋体" w:eastAsia="宋体" w:cs="宋体"/>
                <w:color w:val="auto"/>
              </w:rPr>
            </w:pPr>
          </w:p>
        </w:tc>
        <w:tc>
          <w:tcPr>
            <w:tcW w:w="2875" w:type="dxa"/>
            <w:tcBorders>
              <w:top w:val="single" w:color="auto" w:sz="6" w:space="0"/>
              <w:left w:val="nil"/>
              <w:bottom w:val="single" w:color="auto" w:sz="6" w:space="0"/>
            </w:tcBorders>
          </w:tcPr>
          <w:p w14:paraId="429FAB2B">
            <w:pPr>
              <w:spacing w:before="60" w:after="60"/>
              <w:rPr>
                <w:rFonts w:ascii="宋体" w:hAnsi="宋体" w:eastAsia="宋体" w:cs="宋体"/>
                <w:color w:val="auto"/>
              </w:rPr>
            </w:pPr>
          </w:p>
        </w:tc>
        <w:tc>
          <w:tcPr>
            <w:tcW w:w="938" w:type="dxa"/>
            <w:tcBorders>
              <w:top w:val="single" w:color="auto" w:sz="6" w:space="0"/>
              <w:left w:val="single" w:color="auto" w:sz="6" w:space="0"/>
              <w:bottom w:val="single" w:color="auto" w:sz="6" w:space="0"/>
              <w:right w:val="single" w:color="auto" w:sz="6" w:space="0"/>
            </w:tcBorders>
          </w:tcPr>
          <w:p w14:paraId="02766418">
            <w:pPr>
              <w:spacing w:before="60" w:after="60"/>
              <w:rPr>
                <w:rFonts w:ascii="宋体" w:hAnsi="宋体" w:eastAsia="宋体" w:cs="宋体"/>
                <w:color w:val="auto"/>
              </w:rPr>
            </w:pPr>
          </w:p>
        </w:tc>
        <w:tc>
          <w:tcPr>
            <w:tcW w:w="3059" w:type="dxa"/>
            <w:tcBorders>
              <w:top w:val="single" w:color="auto" w:sz="6" w:space="0"/>
              <w:left w:val="nil"/>
              <w:bottom w:val="single" w:color="auto" w:sz="6" w:space="0"/>
            </w:tcBorders>
          </w:tcPr>
          <w:p w14:paraId="12EAAD89">
            <w:pPr>
              <w:spacing w:before="60" w:after="60"/>
              <w:rPr>
                <w:rFonts w:ascii="宋体" w:hAnsi="宋体" w:eastAsia="宋体" w:cs="宋体"/>
                <w:color w:val="auto"/>
              </w:rPr>
            </w:pPr>
          </w:p>
        </w:tc>
      </w:tr>
      <w:tr w14:paraId="402F2EE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jc w:val="center"/>
        </w:trPr>
        <w:tc>
          <w:tcPr>
            <w:tcW w:w="8677" w:type="dxa"/>
            <w:gridSpan w:val="5"/>
            <w:tcBorders>
              <w:top w:val="single" w:color="auto" w:sz="6" w:space="0"/>
            </w:tcBorders>
          </w:tcPr>
          <w:p w14:paraId="1494F5AD">
            <w:pPr>
              <w:ind w:firstLine="480" w:firstLineChars="200"/>
              <w:rPr>
                <w:rFonts w:ascii="宋体" w:hAnsi="宋体" w:eastAsia="宋体" w:cs="宋体"/>
                <w:color w:val="auto"/>
                <w:lang w:eastAsia="zh-CN"/>
              </w:rPr>
            </w:pPr>
            <w:r>
              <w:rPr>
                <w:rFonts w:hint="eastAsia" w:ascii="宋体" w:hAnsi="宋体" w:eastAsia="宋体" w:cs="宋体"/>
                <w:color w:val="auto"/>
                <w:lang w:eastAsia="zh-CN"/>
              </w:rPr>
              <w:t>说明：</w:t>
            </w:r>
          </w:p>
          <w:p w14:paraId="31A1A8F8">
            <w:pPr>
              <w:ind w:firstLine="480" w:firstLineChars="200"/>
              <w:rPr>
                <w:rFonts w:ascii="宋体" w:hAnsi="宋体" w:eastAsia="宋体" w:cs="宋体"/>
                <w:color w:val="auto"/>
                <w:lang w:eastAsia="zh-CN"/>
              </w:rPr>
            </w:pPr>
            <w:r>
              <w:rPr>
                <w:rFonts w:hint="eastAsia" w:ascii="宋体" w:hAnsi="宋体" w:eastAsia="宋体" w:cs="宋体"/>
                <w:color w:val="auto"/>
                <w:lang w:eastAsia="zh-CN"/>
              </w:rPr>
              <w:t>1、若报价文件与竞价文件有差异，无论多么细微，必须在差异表中说明；</w:t>
            </w:r>
          </w:p>
          <w:p w14:paraId="21DBF1A3">
            <w:pPr>
              <w:ind w:firstLine="480" w:firstLineChars="200"/>
              <w:rPr>
                <w:rFonts w:ascii="宋体" w:hAnsi="宋体" w:eastAsia="宋体" w:cs="宋体"/>
                <w:color w:val="auto"/>
                <w:lang w:eastAsia="zh-CN"/>
              </w:rPr>
            </w:pPr>
            <w:r>
              <w:rPr>
                <w:rFonts w:hint="eastAsia" w:ascii="宋体" w:hAnsi="宋体" w:eastAsia="宋体" w:cs="宋体"/>
                <w:color w:val="auto"/>
                <w:lang w:eastAsia="zh-CN"/>
              </w:rPr>
              <w:t>2、若差异过大，可专题说明；</w:t>
            </w:r>
          </w:p>
          <w:p w14:paraId="0DD1AEE5">
            <w:pPr>
              <w:spacing w:before="60" w:after="60"/>
              <w:ind w:firstLine="480" w:firstLineChars="200"/>
              <w:rPr>
                <w:rFonts w:ascii="宋体" w:hAnsi="宋体" w:eastAsia="宋体" w:cs="宋体"/>
                <w:color w:val="auto"/>
                <w:lang w:eastAsia="zh-CN"/>
              </w:rPr>
            </w:pPr>
            <w:r>
              <w:rPr>
                <w:rFonts w:hint="eastAsia" w:ascii="宋体" w:hAnsi="宋体" w:eastAsia="宋体" w:cs="宋体"/>
                <w:color w:val="auto"/>
                <w:lang w:eastAsia="zh-CN"/>
              </w:rPr>
              <w:t>3、报价文件未提供差异表、或差异表内无具体内容或未在差异表中申明的内容，均视同报价人接受竞价文件的条款。</w:t>
            </w:r>
          </w:p>
        </w:tc>
      </w:tr>
    </w:tbl>
    <w:p w14:paraId="6D273818">
      <w:pPr>
        <w:spacing w:before="100" w:after="100" w:line="360" w:lineRule="auto"/>
        <w:jc w:val="both"/>
        <w:rPr>
          <w:rFonts w:ascii="宋体" w:hAnsi="宋体" w:eastAsia="宋体" w:cs="宋体"/>
          <w:b/>
          <w:color w:val="auto"/>
          <w:lang w:eastAsia="zh-CN"/>
        </w:rPr>
      </w:pPr>
      <w:r>
        <w:rPr>
          <w:rFonts w:hint="eastAsia" w:ascii="宋体" w:hAnsi="宋体" w:eastAsia="宋体" w:cs="宋体"/>
          <w:b/>
          <w:color w:val="auto"/>
          <w:lang w:eastAsia="zh-CN"/>
        </w:rPr>
        <w:t>报价人（公章）：</w:t>
      </w:r>
    </w:p>
    <w:p w14:paraId="149FEB4E">
      <w:pPr>
        <w:spacing w:line="360" w:lineRule="auto"/>
        <w:rPr>
          <w:rFonts w:ascii="宋体" w:hAnsi="宋体" w:eastAsia="宋体" w:cs="宋体"/>
          <w:b/>
          <w:color w:val="auto"/>
          <w:lang w:eastAsia="zh-CN"/>
        </w:rPr>
      </w:pPr>
      <w:r>
        <w:rPr>
          <w:rFonts w:hint="eastAsia" w:ascii="宋体" w:hAnsi="宋体" w:eastAsia="宋体" w:cs="宋体"/>
          <w:b/>
          <w:color w:val="auto"/>
          <w:lang w:eastAsia="zh-CN"/>
        </w:rPr>
        <w:t>法定代表人或代理人（签字）：                                                日期：</w:t>
      </w:r>
    </w:p>
    <w:p w14:paraId="5612C91B">
      <w:pPr>
        <w:pStyle w:val="29"/>
        <w:ind w:firstLine="0" w:firstLineChars="0"/>
        <w:rPr>
          <w:rFonts w:ascii="宋体" w:hAnsi="宋体" w:eastAsia="宋体" w:cs="宋体"/>
          <w:b/>
          <w:bCs/>
          <w:color w:val="auto"/>
          <w:sz w:val="24"/>
          <w:szCs w:val="24"/>
          <w:lang w:eastAsia="zh-CN"/>
        </w:rPr>
      </w:pPr>
    </w:p>
    <w:p w14:paraId="29B9EC5F">
      <w:pPr>
        <w:pStyle w:val="29"/>
        <w:ind w:firstLine="0" w:firstLineChars="0"/>
        <w:rPr>
          <w:rFonts w:ascii="宋体" w:hAnsi="宋体" w:eastAsia="宋体" w:cs="宋体"/>
          <w:b/>
          <w:bCs/>
          <w:color w:val="auto"/>
          <w:sz w:val="24"/>
          <w:szCs w:val="24"/>
          <w:lang w:eastAsia="zh-CN"/>
        </w:rPr>
      </w:pPr>
    </w:p>
    <w:p w14:paraId="5CADD100">
      <w:pPr>
        <w:pStyle w:val="29"/>
        <w:ind w:firstLine="0" w:firstLineChars="0"/>
        <w:rPr>
          <w:rFonts w:ascii="宋体" w:hAnsi="宋体" w:eastAsia="宋体" w:cs="宋体"/>
          <w:b/>
          <w:bCs/>
          <w:color w:val="auto"/>
          <w:sz w:val="24"/>
          <w:szCs w:val="24"/>
          <w:lang w:eastAsia="zh-CN"/>
        </w:rPr>
      </w:pPr>
    </w:p>
    <w:p w14:paraId="1337DAB3">
      <w:pPr>
        <w:pStyle w:val="29"/>
        <w:ind w:firstLine="0" w:firstLineChars="0"/>
        <w:rPr>
          <w:rFonts w:ascii="宋体" w:hAnsi="宋体" w:eastAsia="宋体" w:cs="宋体"/>
          <w:color w:val="auto"/>
          <w:u w:val="single"/>
          <w:lang w:eastAsia="zh-CN"/>
        </w:rPr>
      </w:pPr>
      <w:r>
        <w:rPr>
          <w:rFonts w:hint="eastAsia" w:ascii="宋体" w:hAnsi="宋体" w:eastAsia="宋体" w:cs="宋体"/>
          <w:b/>
          <w:bCs/>
          <w:color w:val="auto"/>
          <w:sz w:val="24"/>
          <w:szCs w:val="24"/>
          <w:lang w:eastAsia="zh-CN"/>
        </w:rPr>
        <w:t>注：竞价人须按照上述格式制作竞价文件</w:t>
      </w:r>
      <w:bookmarkEnd w:id="79"/>
      <w:bookmarkEnd w:id="80"/>
      <w:bookmarkEnd w:id="81"/>
      <w:bookmarkEnd w:id="82"/>
      <w:bookmarkEnd w:id="83"/>
      <w:bookmarkEnd w:id="84"/>
      <w:bookmarkEnd w:id="85"/>
      <w:bookmarkEnd w:id="86"/>
    </w:p>
    <w:sectPr>
      <w:headerReference r:id="rId14" w:type="default"/>
      <w:footerReference r:id="rId15" w:type="default"/>
      <w:pgSz w:w="11906" w:h="16838"/>
      <w:pgMar w:top="1440" w:right="1800" w:bottom="1440" w:left="1800"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86E7">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2B79F">
                          <w:pPr>
                            <w:pStyle w:val="2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wzpsMBAACO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dy&#10;fZP16QPUmPYYMDEN937ArZn9gM5Me1DR5i8SIhhHdU8XdeWQiMiPVsvVqsKQwNh8QXz29DxESG+l&#10;tyQbDY04vqIqP76HNKbOKbma8w/amDJC4/5yIGb2sNz72GO20rAbJkI7356QT4+Tb6jDRafEvHMo&#10;bF6S2YizsZuMXAPC3SFh4dJPRh2hpmI4psJoWqm8B3/eS9bTb7T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iDDOmwwEAAI4DAAAOAAAAAAAAAAEAIAAAAB4BAABkcnMvZTJvRG9jLnhtbFBL&#10;BQYAAAAABgAGAFkBAABTBQAAAAA=&#10;">
              <v:fill on="f" focussize="0,0"/>
              <v:stroke on="f"/>
              <v:imagedata o:title=""/>
              <o:lock v:ext="edit" aspectratio="f"/>
              <v:textbox inset="0mm,0mm,0mm,0mm" style="mso-fit-shape-to-text:t;">
                <w:txbxContent>
                  <w:p w14:paraId="2602B79F">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4A403E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EE11">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7260">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BA296">
                          <w:pPr>
                            <w:pStyle w:val="2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3LLq8MBAACOAwAADgAAAGRycy9lMm9Eb2MueG1srVPNjtMwEL4j8Q6W&#10;79TZi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8pcdziwM8/vp9//j7/+kZe&#10;X2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bcsurwwEAAI4DAAAOAAAAAAAAAAEAIAAAAB4BAABkcnMvZTJvRG9jLnhtbFBL&#10;BQYAAAAABgAGAFkBAABTBQAAAAA=&#10;">
              <v:fill on="f" focussize="0,0"/>
              <v:stroke on="f"/>
              <v:imagedata o:title=""/>
              <o:lock v:ext="edit" aspectratio="f"/>
              <v:textbox inset="0mm,0mm,0mm,0mm" style="mso-fit-shape-to-text:t;">
                <w:txbxContent>
                  <w:p w14:paraId="43CBA296">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D5AC">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19F47">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OpVIJ2AEAALMDAAAOAAAAAAAAAAEAIAAA&#10;AB4BAABkcnMvZTJvRG9jLnhtbFBLBQYAAAAABgAGAFkBAABoBQAAAAA=&#10;">
              <v:fill on="f" focussize="0,0"/>
              <v:stroke on="f"/>
              <v:imagedata o:title=""/>
              <o:lock v:ext="edit" aspectratio="f"/>
              <v:textbox inset="0mm,0mm,0mm,0mm" style="mso-fit-shape-to-text:t;">
                <w:txbxContent>
                  <w:p w14:paraId="47119F47">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453B">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D308BE">
                          <w:pPr>
                            <w:pStyle w:val="2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Gwwy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8QbDDICAABlBAAADgAAAAAAAAABACAAAAAfAQAAZHJzL2Uyb0RvYy54bWxQSwUG&#10;AAAAAAYABgBZAQAAwwUAAAAA&#10;">
              <v:fill on="f" focussize="0,0"/>
              <v:stroke on="f" weight="0.5pt"/>
              <v:imagedata o:title=""/>
              <o:lock v:ext="edit" aspectratio="f"/>
              <v:textbox inset="0mm,0mm,0mm,0mm" style="mso-fit-shape-to-text:t;">
                <w:txbxContent>
                  <w:p w14:paraId="60D308BE">
                    <w:pPr>
                      <w:pStyle w:val="2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309F">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094780">
                          <w:pPr>
                            <w:pStyle w:val="2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9Gam+2wEAAMADAAAOAAAAAAAAAAEA&#10;IAAAAB4BAABkcnMvZTJvRG9jLnhtbFBLBQYAAAAABgAGAFkBAABrBQAAAAA=&#10;">
              <v:fill on="f" focussize="0,0"/>
              <v:stroke on="f"/>
              <v:imagedata o:title=""/>
              <o:lock v:ext="edit" aspectratio="f"/>
              <v:textbox inset="0mm,0mm,0mm,0mm" style="mso-fit-shape-to-text:t;">
                <w:txbxContent>
                  <w:p w14:paraId="6B094780">
                    <w:pPr>
                      <w:pStyle w:val="2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p w14:paraId="5B0A064C"/>
  <w:p w14:paraId="2AA076D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2CAC">
    <w:pPr>
      <w:pStyle w:val="23"/>
      <w:jc w:val="center"/>
      <w:rPr>
        <w:sz w:val="21"/>
        <w:szCs w:val="28"/>
      </w:rPr>
    </w:pPr>
    <w:r>
      <w:rPr>
        <w:sz w:val="21"/>
        <w:szCs w:val="28"/>
      </w:rPr>
      <w:fldChar w:fldCharType="begin"/>
    </w:r>
    <w:r>
      <w:rPr>
        <w:sz w:val="21"/>
        <w:szCs w:val="28"/>
      </w:rPr>
      <w:instrText xml:space="preserve">PAGE   \* MERGEFORMAT</w:instrText>
    </w:r>
    <w:r>
      <w:rPr>
        <w:sz w:val="21"/>
        <w:szCs w:val="28"/>
      </w:rPr>
      <w:fldChar w:fldCharType="separate"/>
    </w:r>
    <w:r>
      <w:rPr>
        <w:sz w:val="21"/>
        <w:szCs w:val="28"/>
        <w:lang w:val="zh-CN"/>
      </w:rPr>
      <w:t>68</w:t>
    </w:r>
    <w:r>
      <w:rPr>
        <w:sz w:val="21"/>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745B">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625E">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448C">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0A8A">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193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B08D">
    <w:pPr>
      <w:pStyle w:val="25"/>
      <w:tabs>
        <w:tab w:val="left" w:pos="3686"/>
        <w:tab w:val="clear" w:pos="4153"/>
        <w:tab w:val="clear" w:pos="8306"/>
      </w:tabs>
      <w:ind w:right="6"/>
      <w:rPr>
        <w:rFonts w:ascii="宋体" w:hAnsi="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11F49"/>
    <w:multiLevelType w:val="singleLevel"/>
    <w:tmpl w:val="89911F49"/>
    <w:lvl w:ilvl="0" w:tentative="0">
      <w:start w:val="5"/>
      <w:numFmt w:val="chineseCounting"/>
      <w:suff w:val="space"/>
      <w:lvlText w:val="第%1条"/>
      <w:lvlJc w:val="left"/>
      <w:rPr>
        <w:rFonts w:hint="eastAsia"/>
      </w:rPr>
    </w:lvl>
  </w:abstractNum>
  <w:abstractNum w:abstractNumId="1">
    <w:nsid w:val="9C38CAA4"/>
    <w:multiLevelType w:val="singleLevel"/>
    <w:tmpl w:val="9C38CAA4"/>
    <w:lvl w:ilvl="0" w:tentative="0">
      <w:start w:val="1"/>
      <w:numFmt w:val="decimal"/>
      <w:suff w:val="nothing"/>
      <w:lvlText w:val="%1、"/>
      <w:lvlJc w:val="left"/>
    </w:lvl>
  </w:abstractNum>
  <w:abstractNum w:abstractNumId="2">
    <w:nsid w:val="C855A5BC"/>
    <w:multiLevelType w:val="singleLevel"/>
    <w:tmpl w:val="C855A5BC"/>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3">
    <w:nsid w:val="2355B4E7"/>
    <w:multiLevelType w:val="singleLevel"/>
    <w:tmpl w:val="2355B4E7"/>
    <w:lvl w:ilvl="0" w:tentative="0">
      <w:start w:val="1"/>
      <w:numFmt w:val="bullet"/>
      <w:pStyle w:val="5"/>
      <w:lvlText w:val=""/>
      <w:lvlJc w:val="left"/>
      <w:pPr>
        <w:tabs>
          <w:tab w:val="left" w:pos="1620"/>
        </w:tabs>
        <w:ind w:left="1620" w:hanging="360"/>
      </w:pPr>
      <w:rPr>
        <w:rFonts w:hint="default" w:ascii="Wingdings" w:hAnsi="Wingdings"/>
      </w:rPr>
    </w:lvl>
  </w:abstractNum>
  <w:abstractNum w:abstractNumId="4">
    <w:nsid w:val="537F0056"/>
    <w:multiLevelType w:val="singleLevel"/>
    <w:tmpl w:val="537F0056"/>
    <w:lvl w:ilvl="0" w:tentative="0">
      <w:start w:val="1"/>
      <w:numFmt w:val="decimal"/>
      <w:suff w:val="space"/>
      <w:lvlText w:val="（%1）"/>
      <w:lvlJc w:val="left"/>
    </w:lvl>
  </w:abstractNum>
  <w:abstractNum w:abstractNumId="5">
    <w:nsid w:val="5B8668A0"/>
    <w:multiLevelType w:val="multilevel"/>
    <w:tmpl w:val="5B8668A0"/>
    <w:lvl w:ilvl="0" w:tentative="0">
      <w:start w:val="1"/>
      <w:numFmt w:val="decimal"/>
      <w:pStyle w:val="53"/>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4YmVmYzQ3OWMxMDU4ODhjNTkyYzBkODUzMWI0MWQifQ=="/>
    <w:docVar w:name="KSO_WPS_MARK_KEY" w:val="3f956d53-be8d-45c7-ba21-00db0e425165"/>
  </w:docVars>
  <w:rsids>
    <w:rsidRoot w:val="2CD6104C"/>
    <w:rsid w:val="00035425"/>
    <w:rsid w:val="00041C29"/>
    <w:rsid w:val="00092968"/>
    <w:rsid w:val="000D054A"/>
    <w:rsid w:val="000F2008"/>
    <w:rsid w:val="0016102C"/>
    <w:rsid w:val="00163E7F"/>
    <w:rsid w:val="001902A6"/>
    <w:rsid w:val="001C57F7"/>
    <w:rsid w:val="001D4C7E"/>
    <w:rsid w:val="00236963"/>
    <w:rsid w:val="00243BD2"/>
    <w:rsid w:val="00260020"/>
    <w:rsid w:val="00281955"/>
    <w:rsid w:val="002E5A97"/>
    <w:rsid w:val="00347D97"/>
    <w:rsid w:val="00353CD7"/>
    <w:rsid w:val="00367742"/>
    <w:rsid w:val="003B084B"/>
    <w:rsid w:val="003D36AF"/>
    <w:rsid w:val="003F0F97"/>
    <w:rsid w:val="00406445"/>
    <w:rsid w:val="0041070C"/>
    <w:rsid w:val="0041533C"/>
    <w:rsid w:val="00433138"/>
    <w:rsid w:val="004508B0"/>
    <w:rsid w:val="00450F25"/>
    <w:rsid w:val="004B57BF"/>
    <w:rsid w:val="004B7A60"/>
    <w:rsid w:val="004D31CF"/>
    <w:rsid w:val="00514564"/>
    <w:rsid w:val="0053656F"/>
    <w:rsid w:val="005E25E1"/>
    <w:rsid w:val="00677032"/>
    <w:rsid w:val="0069460A"/>
    <w:rsid w:val="006A6122"/>
    <w:rsid w:val="006B7F1F"/>
    <w:rsid w:val="006D1988"/>
    <w:rsid w:val="006D1B18"/>
    <w:rsid w:val="006E082B"/>
    <w:rsid w:val="006F7BCD"/>
    <w:rsid w:val="00731F1D"/>
    <w:rsid w:val="0075568E"/>
    <w:rsid w:val="0078365F"/>
    <w:rsid w:val="00793659"/>
    <w:rsid w:val="00794D9F"/>
    <w:rsid w:val="007E1246"/>
    <w:rsid w:val="007E6EDA"/>
    <w:rsid w:val="007F1114"/>
    <w:rsid w:val="007F6533"/>
    <w:rsid w:val="00822679"/>
    <w:rsid w:val="00844A37"/>
    <w:rsid w:val="00883345"/>
    <w:rsid w:val="008C326B"/>
    <w:rsid w:val="008D1238"/>
    <w:rsid w:val="008D4CAC"/>
    <w:rsid w:val="008E1233"/>
    <w:rsid w:val="008E2C7C"/>
    <w:rsid w:val="008E7531"/>
    <w:rsid w:val="00961000"/>
    <w:rsid w:val="00985611"/>
    <w:rsid w:val="009C0348"/>
    <w:rsid w:val="009F6B44"/>
    <w:rsid w:val="00A641FB"/>
    <w:rsid w:val="00A66FBB"/>
    <w:rsid w:val="00A772E3"/>
    <w:rsid w:val="00A97648"/>
    <w:rsid w:val="00AA10A4"/>
    <w:rsid w:val="00AB0224"/>
    <w:rsid w:val="00AB1A76"/>
    <w:rsid w:val="00AD3B9A"/>
    <w:rsid w:val="00AE3005"/>
    <w:rsid w:val="00B10AE5"/>
    <w:rsid w:val="00B3068A"/>
    <w:rsid w:val="00B543C3"/>
    <w:rsid w:val="00B623FD"/>
    <w:rsid w:val="00B63414"/>
    <w:rsid w:val="00BC64EA"/>
    <w:rsid w:val="00C31571"/>
    <w:rsid w:val="00C358DE"/>
    <w:rsid w:val="00C40194"/>
    <w:rsid w:val="00C663AF"/>
    <w:rsid w:val="00C9510C"/>
    <w:rsid w:val="00CA2B48"/>
    <w:rsid w:val="00CA311C"/>
    <w:rsid w:val="00CB73F5"/>
    <w:rsid w:val="00CC6C75"/>
    <w:rsid w:val="00CD25CC"/>
    <w:rsid w:val="00CF24BC"/>
    <w:rsid w:val="00D27060"/>
    <w:rsid w:val="00D57D48"/>
    <w:rsid w:val="00D93E2A"/>
    <w:rsid w:val="00DB57AC"/>
    <w:rsid w:val="00DB7AD0"/>
    <w:rsid w:val="00DD20B7"/>
    <w:rsid w:val="00DE3A7B"/>
    <w:rsid w:val="00E13150"/>
    <w:rsid w:val="00E320CB"/>
    <w:rsid w:val="00E326DC"/>
    <w:rsid w:val="00E40F51"/>
    <w:rsid w:val="00E556C1"/>
    <w:rsid w:val="00E807A3"/>
    <w:rsid w:val="00E915B4"/>
    <w:rsid w:val="00ED52A5"/>
    <w:rsid w:val="00F16DE3"/>
    <w:rsid w:val="00F33247"/>
    <w:rsid w:val="00F36506"/>
    <w:rsid w:val="00F97924"/>
    <w:rsid w:val="00FA03C5"/>
    <w:rsid w:val="00FB1F7D"/>
    <w:rsid w:val="00FD6A14"/>
    <w:rsid w:val="00FE25ED"/>
    <w:rsid w:val="014A6E5E"/>
    <w:rsid w:val="025C6C3F"/>
    <w:rsid w:val="0328714A"/>
    <w:rsid w:val="034203CE"/>
    <w:rsid w:val="038B6600"/>
    <w:rsid w:val="03FD2D96"/>
    <w:rsid w:val="04157059"/>
    <w:rsid w:val="06534F3F"/>
    <w:rsid w:val="06B156A8"/>
    <w:rsid w:val="0945737A"/>
    <w:rsid w:val="09717B47"/>
    <w:rsid w:val="0A5530FD"/>
    <w:rsid w:val="0A6F4E2F"/>
    <w:rsid w:val="0AB6322D"/>
    <w:rsid w:val="0B952B8D"/>
    <w:rsid w:val="0BAD1D60"/>
    <w:rsid w:val="0CB47DBF"/>
    <w:rsid w:val="0CDA6FB7"/>
    <w:rsid w:val="0D9D14EF"/>
    <w:rsid w:val="0E5B6196"/>
    <w:rsid w:val="0E665ECD"/>
    <w:rsid w:val="0EA57882"/>
    <w:rsid w:val="0F476BAA"/>
    <w:rsid w:val="0FBA585B"/>
    <w:rsid w:val="10205E9E"/>
    <w:rsid w:val="105B5D8D"/>
    <w:rsid w:val="11591899"/>
    <w:rsid w:val="118A0FD0"/>
    <w:rsid w:val="11B36778"/>
    <w:rsid w:val="12000DBD"/>
    <w:rsid w:val="14FB4178"/>
    <w:rsid w:val="15080771"/>
    <w:rsid w:val="15357675"/>
    <w:rsid w:val="15D12ED7"/>
    <w:rsid w:val="16820C6A"/>
    <w:rsid w:val="16B14A96"/>
    <w:rsid w:val="181A5A8B"/>
    <w:rsid w:val="18752FEE"/>
    <w:rsid w:val="1959547C"/>
    <w:rsid w:val="1A374CCA"/>
    <w:rsid w:val="1B5E2215"/>
    <w:rsid w:val="1C420E24"/>
    <w:rsid w:val="1C874A89"/>
    <w:rsid w:val="1E74728F"/>
    <w:rsid w:val="1EAB2D91"/>
    <w:rsid w:val="1F1A5C12"/>
    <w:rsid w:val="21646717"/>
    <w:rsid w:val="22CD0827"/>
    <w:rsid w:val="232867B7"/>
    <w:rsid w:val="23C41FFC"/>
    <w:rsid w:val="24102374"/>
    <w:rsid w:val="247F3A3F"/>
    <w:rsid w:val="249919BB"/>
    <w:rsid w:val="24C20340"/>
    <w:rsid w:val="24C32990"/>
    <w:rsid w:val="24FB68A1"/>
    <w:rsid w:val="25E75B60"/>
    <w:rsid w:val="26282E39"/>
    <w:rsid w:val="280E198B"/>
    <w:rsid w:val="28F10604"/>
    <w:rsid w:val="291967FA"/>
    <w:rsid w:val="29512E02"/>
    <w:rsid w:val="297E1F72"/>
    <w:rsid w:val="2AC06C57"/>
    <w:rsid w:val="2BA3419C"/>
    <w:rsid w:val="2C1B6421"/>
    <w:rsid w:val="2C1D7C6F"/>
    <w:rsid w:val="2C7B767A"/>
    <w:rsid w:val="2CA50ADA"/>
    <w:rsid w:val="2CD6104C"/>
    <w:rsid w:val="2DDD3877"/>
    <w:rsid w:val="2E625537"/>
    <w:rsid w:val="2E837DED"/>
    <w:rsid w:val="2E905A1F"/>
    <w:rsid w:val="2F3D528D"/>
    <w:rsid w:val="2F7D6EF5"/>
    <w:rsid w:val="308C2216"/>
    <w:rsid w:val="30E958BB"/>
    <w:rsid w:val="3115045E"/>
    <w:rsid w:val="31250FCC"/>
    <w:rsid w:val="31795DFB"/>
    <w:rsid w:val="317E22EA"/>
    <w:rsid w:val="31BE11C2"/>
    <w:rsid w:val="329C603C"/>
    <w:rsid w:val="34925E7C"/>
    <w:rsid w:val="34B579FA"/>
    <w:rsid w:val="351E0715"/>
    <w:rsid w:val="36092964"/>
    <w:rsid w:val="36985AAA"/>
    <w:rsid w:val="36ED26A9"/>
    <w:rsid w:val="37494FE4"/>
    <w:rsid w:val="37F66E10"/>
    <w:rsid w:val="3866592A"/>
    <w:rsid w:val="38FE5C7B"/>
    <w:rsid w:val="396D785B"/>
    <w:rsid w:val="3982065B"/>
    <w:rsid w:val="3AB900AC"/>
    <w:rsid w:val="3ADD3702"/>
    <w:rsid w:val="3B676B2A"/>
    <w:rsid w:val="3C487939"/>
    <w:rsid w:val="3C85665F"/>
    <w:rsid w:val="3DBB3FD3"/>
    <w:rsid w:val="3E2055E2"/>
    <w:rsid w:val="3F214472"/>
    <w:rsid w:val="3FE40A8A"/>
    <w:rsid w:val="40011F72"/>
    <w:rsid w:val="40324B88"/>
    <w:rsid w:val="419C5513"/>
    <w:rsid w:val="41D028AB"/>
    <w:rsid w:val="43A27A3D"/>
    <w:rsid w:val="43F53B86"/>
    <w:rsid w:val="447446DC"/>
    <w:rsid w:val="45892823"/>
    <w:rsid w:val="46F506BE"/>
    <w:rsid w:val="47380ECC"/>
    <w:rsid w:val="4768481B"/>
    <w:rsid w:val="478D0302"/>
    <w:rsid w:val="47D12ED9"/>
    <w:rsid w:val="485A1120"/>
    <w:rsid w:val="486E3EF6"/>
    <w:rsid w:val="489336E7"/>
    <w:rsid w:val="48A36CB1"/>
    <w:rsid w:val="48C2225D"/>
    <w:rsid w:val="49706E41"/>
    <w:rsid w:val="49B1646E"/>
    <w:rsid w:val="4B357963"/>
    <w:rsid w:val="4B8500D7"/>
    <w:rsid w:val="4B9075F9"/>
    <w:rsid w:val="4C2E6B74"/>
    <w:rsid w:val="4C586E50"/>
    <w:rsid w:val="4C5B3C47"/>
    <w:rsid w:val="4C5E2DC5"/>
    <w:rsid w:val="4C691516"/>
    <w:rsid w:val="4CA7683B"/>
    <w:rsid w:val="4CE76CFB"/>
    <w:rsid w:val="4DAD5A9E"/>
    <w:rsid w:val="4F492790"/>
    <w:rsid w:val="4FF4052C"/>
    <w:rsid w:val="50ED4A2E"/>
    <w:rsid w:val="51677F98"/>
    <w:rsid w:val="52E43B2A"/>
    <w:rsid w:val="53492DDD"/>
    <w:rsid w:val="55052414"/>
    <w:rsid w:val="55BC788F"/>
    <w:rsid w:val="569D3421"/>
    <w:rsid w:val="56EE0863"/>
    <w:rsid w:val="57C94210"/>
    <w:rsid w:val="5A3317D1"/>
    <w:rsid w:val="5AF011C7"/>
    <w:rsid w:val="5B5E64A4"/>
    <w:rsid w:val="5B63096F"/>
    <w:rsid w:val="5BCF72D8"/>
    <w:rsid w:val="5C9D6DC2"/>
    <w:rsid w:val="5DEA51A3"/>
    <w:rsid w:val="5DF70AF7"/>
    <w:rsid w:val="5E1D5BFD"/>
    <w:rsid w:val="5E865B38"/>
    <w:rsid w:val="5E991C7C"/>
    <w:rsid w:val="5EA055FA"/>
    <w:rsid w:val="5F730C79"/>
    <w:rsid w:val="5FDC1B81"/>
    <w:rsid w:val="5FEE659E"/>
    <w:rsid w:val="62216C06"/>
    <w:rsid w:val="6230060D"/>
    <w:rsid w:val="6293792C"/>
    <w:rsid w:val="62D9079B"/>
    <w:rsid w:val="632D5946"/>
    <w:rsid w:val="634C210D"/>
    <w:rsid w:val="649B7B53"/>
    <w:rsid w:val="64F166EB"/>
    <w:rsid w:val="653B211B"/>
    <w:rsid w:val="655D2EB4"/>
    <w:rsid w:val="65C64B2E"/>
    <w:rsid w:val="67C93FF8"/>
    <w:rsid w:val="67F207EC"/>
    <w:rsid w:val="69B92FC4"/>
    <w:rsid w:val="6A193701"/>
    <w:rsid w:val="6B892E58"/>
    <w:rsid w:val="6BAB1D74"/>
    <w:rsid w:val="6BD62FC1"/>
    <w:rsid w:val="6C462936"/>
    <w:rsid w:val="6CC840CF"/>
    <w:rsid w:val="6D6972A9"/>
    <w:rsid w:val="6DAA3212"/>
    <w:rsid w:val="6DF23574"/>
    <w:rsid w:val="6E410A7D"/>
    <w:rsid w:val="6EC33745"/>
    <w:rsid w:val="6F7A21F2"/>
    <w:rsid w:val="6FDA6B84"/>
    <w:rsid w:val="6FDF388D"/>
    <w:rsid w:val="703740CD"/>
    <w:rsid w:val="713F75BF"/>
    <w:rsid w:val="72232D69"/>
    <w:rsid w:val="723236B8"/>
    <w:rsid w:val="72E513D6"/>
    <w:rsid w:val="740D044D"/>
    <w:rsid w:val="74D65C15"/>
    <w:rsid w:val="75746B15"/>
    <w:rsid w:val="758D5DE2"/>
    <w:rsid w:val="7616367D"/>
    <w:rsid w:val="76C34E6E"/>
    <w:rsid w:val="7708717C"/>
    <w:rsid w:val="77BB0D38"/>
    <w:rsid w:val="77E76425"/>
    <w:rsid w:val="77F212FF"/>
    <w:rsid w:val="78F71EED"/>
    <w:rsid w:val="79571C0D"/>
    <w:rsid w:val="79DB277C"/>
    <w:rsid w:val="7A977CA7"/>
    <w:rsid w:val="7AC31468"/>
    <w:rsid w:val="7AF2308B"/>
    <w:rsid w:val="7CF22E6A"/>
    <w:rsid w:val="7DC36FF1"/>
    <w:rsid w:val="7E8E723F"/>
    <w:rsid w:val="7EBE700C"/>
    <w:rsid w:val="7EFE5823"/>
    <w:rsid w:val="7F553534"/>
    <w:rsid w:val="7FD21285"/>
    <w:rsid w:val="7FDF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link w:val="55"/>
    <w:qFormat/>
    <w:uiPriority w:val="0"/>
    <w:pPr>
      <w:keepNext/>
      <w:keepLines/>
      <w:spacing w:before="340" w:after="330" w:line="576" w:lineRule="auto"/>
      <w:outlineLvl w:val="0"/>
    </w:pPr>
    <w:rPr>
      <w:b/>
      <w:kern w:val="44"/>
      <w:sz w:val="44"/>
    </w:rPr>
  </w:style>
  <w:style w:type="paragraph" w:styleId="2">
    <w:name w:val="heading 2"/>
    <w:basedOn w:val="1"/>
    <w:next w:val="1"/>
    <w:link w:val="56"/>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7"/>
    <w:unhideWhenUsed/>
    <w:qFormat/>
    <w:uiPriority w:val="0"/>
    <w:pPr>
      <w:keepNext/>
      <w:keepLines/>
      <w:spacing w:before="260" w:after="260" w:line="413" w:lineRule="auto"/>
      <w:outlineLvl w:val="2"/>
    </w:pPr>
    <w:rPr>
      <w:b/>
      <w:sz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List Bullet 4"/>
    <w:basedOn w:val="1"/>
    <w:qFormat/>
    <w:uiPriority w:val="0"/>
    <w:pPr>
      <w:numPr>
        <w:ilvl w:val="0"/>
        <w:numId w:val="1"/>
      </w:numPr>
    </w:pPr>
  </w:style>
  <w:style w:type="paragraph" w:styleId="6">
    <w:name w:val="E-mail Signature"/>
    <w:basedOn w:val="1"/>
    <w:next w:val="7"/>
    <w:link w:val="58"/>
    <w:qFormat/>
    <w:uiPriority w:val="0"/>
    <w:pPr>
      <w:jc w:val="both"/>
    </w:pPr>
    <w:rPr>
      <w:rFonts w:eastAsia="宋体"/>
      <w:sz w:val="21"/>
    </w:rPr>
  </w:style>
  <w:style w:type="paragraph" w:customStyle="1" w:styleId="7">
    <w:name w:val="xl84"/>
    <w:basedOn w:val="1"/>
    <w:next w:val="8"/>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8">
    <w:name w:val="et15"/>
    <w:basedOn w:val="1"/>
    <w:next w:val="9"/>
    <w:qFormat/>
    <w:uiPriority w:val="0"/>
    <w:pPr>
      <w:widowControl/>
      <w:shd w:val="clear" w:color="000000" w:fill="FFFFFF"/>
      <w:spacing w:before="280" w:after="280"/>
    </w:pPr>
    <w:rPr>
      <w:rFonts w:ascii="宋体" w:eastAsia="宋体"/>
      <w:sz w:val="20"/>
    </w:rPr>
  </w:style>
  <w:style w:type="paragraph" w:styleId="9">
    <w:name w:val="Signature"/>
    <w:basedOn w:val="1"/>
    <w:next w:val="1"/>
    <w:link w:val="59"/>
    <w:qFormat/>
    <w:uiPriority w:val="0"/>
    <w:pPr>
      <w:ind w:left="100"/>
      <w:jc w:val="both"/>
    </w:pPr>
    <w:rPr>
      <w:rFonts w:eastAsia="宋体"/>
      <w:sz w:val="21"/>
    </w:rPr>
  </w:style>
  <w:style w:type="paragraph" w:styleId="10">
    <w:name w:val="Normal Indent"/>
    <w:basedOn w:val="1"/>
    <w:qFormat/>
    <w:uiPriority w:val="0"/>
    <w:pPr>
      <w:snapToGrid w:val="0"/>
      <w:spacing w:before="60" w:after="60"/>
      <w:ind w:firstLine="420"/>
    </w:pPr>
    <w:rPr>
      <w:szCs w:val="20"/>
    </w:rPr>
  </w:style>
  <w:style w:type="paragraph" w:styleId="11">
    <w:name w:val="List Bullet"/>
    <w:basedOn w:val="1"/>
    <w:next w:val="12"/>
    <w:qFormat/>
    <w:uiPriority w:val="0"/>
    <w:pPr>
      <w:numPr>
        <w:ilvl w:val="0"/>
        <w:numId w:val="2"/>
      </w:numPr>
    </w:pPr>
  </w:style>
  <w:style w:type="paragraph" w:styleId="12">
    <w:name w:val="Body Text"/>
    <w:basedOn w:val="1"/>
    <w:next w:val="1"/>
    <w:link w:val="60"/>
    <w:unhideWhenUsed/>
    <w:qFormat/>
    <w:uiPriority w:val="0"/>
    <w:pPr>
      <w:spacing w:after="120"/>
    </w:pPr>
    <w:rPr>
      <w:rFonts w:ascii="Calibri" w:hAnsi="Calibri"/>
      <w:sz w:val="20"/>
      <w:szCs w:val="20"/>
    </w:rPr>
  </w:style>
  <w:style w:type="paragraph" w:styleId="13">
    <w:name w:val="toa heading"/>
    <w:basedOn w:val="1"/>
    <w:next w:val="1"/>
    <w:qFormat/>
    <w:uiPriority w:val="0"/>
    <w:pPr>
      <w:spacing w:before="120"/>
    </w:pPr>
    <w:rPr>
      <w:rFonts w:ascii="Arial" w:hAnsi="Arial"/>
    </w:rPr>
  </w:style>
  <w:style w:type="paragraph" w:styleId="14">
    <w:name w:val="annotation text"/>
    <w:basedOn w:val="1"/>
    <w:link w:val="61"/>
    <w:qFormat/>
    <w:uiPriority w:val="0"/>
  </w:style>
  <w:style w:type="paragraph" w:styleId="15">
    <w:name w:val="Body Text 3"/>
    <w:basedOn w:val="1"/>
    <w:link w:val="62"/>
    <w:qFormat/>
    <w:uiPriority w:val="0"/>
    <w:rPr>
      <w:rFonts w:ascii="宋体" w:hAnsi="Calibri"/>
      <w:szCs w:val="20"/>
    </w:rPr>
  </w:style>
  <w:style w:type="paragraph" w:styleId="16">
    <w:name w:val="Closing"/>
    <w:basedOn w:val="1"/>
    <w:next w:val="17"/>
    <w:link w:val="63"/>
    <w:qFormat/>
    <w:uiPriority w:val="0"/>
    <w:pPr>
      <w:ind w:left="100"/>
      <w:jc w:val="both"/>
    </w:pPr>
    <w:rPr>
      <w:rFonts w:eastAsia="宋体"/>
      <w:sz w:val="21"/>
    </w:rPr>
  </w:style>
  <w:style w:type="paragraph" w:customStyle="1" w:styleId="17">
    <w:name w:val="Char Char1 Char Char Char Char Char Char Char Char Char Char Char Char Char Char Char Char Char Char"/>
    <w:basedOn w:val="1"/>
    <w:next w:val="6"/>
    <w:qFormat/>
    <w:uiPriority w:val="0"/>
    <w:pPr>
      <w:widowControl/>
      <w:spacing w:after="160" w:line="240" w:lineRule="exact"/>
    </w:pPr>
    <w:rPr>
      <w:rFonts w:ascii="宋体" w:hAnsi="宋体"/>
      <w:sz w:val="20"/>
    </w:rPr>
  </w:style>
  <w:style w:type="paragraph" w:styleId="18">
    <w:name w:val="Body Text Indent"/>
    <w:basedOn w:val="1"/>
    <w:link w:val="64"/>
    <w:unhideWhenUsed/>
    <w:qFormat/>
    <w:uiPriority w:val="0"/>
    <w:pPr>
      <w:spacing w:after="120"/>
      <w:ind w:left="420" w:leftChars="200"/>
    </w:pPr>
    <w:rPr>
      <w:rFonts w:ascii="Calibri" w:hAnsi="Calibri"/>
      <w:sz w:val="20"/>
      <w:szCs w:val="20"/>
    </w:rPr>
  </w:style>
  <w:style w:type="paragraph" w:styleId="19">
    <w:name w:val="toc 3"/>
    <w:basedOn w:val="1"/>
    <w:next w:val="1"/>
    <w:qFormat/>
    <w:uiPriority w:val="39"/>
    <w:pPr>
      <w:ind w:left="840" w:leftChars="400"/>
    </w:pPr>
  </w:style>
  <w:style w:type="paragraph" w:styleId="20">
    <w:name w:val="Plain Text"/>
    <w:basedOn w:val="1"/>
    <w:next w:val="1"/>
    <w:link w:val="65"/>
    <w:qFormat/>
    <w:uiPriority w:val="0"/>
    <w:rPr>
      <w:rFonts w:ascii="宋体" w:hAnsi="Courier New"/>
      <w:szCs w:val="20"/>
    </w:rPr>
  </w:style>
  <w:style w:type="paragraph" w:styleId="21">
    <w:name w:val="Body Text Indent 2"/>
    <w:basedOn w:val="1"/>
    <w:link w:val="66"/>
    <w:unhideWhenUsed/>
    <w:qFormat/>
    <w:uiPriority w:val="0"/>
    <w:pPr>
      <w:spacing w:after="120" w:line="480" w:lineRule="auto"/>
      <w:ind w:left="420" w:leftChars="200"/>
    </w:pPr>
  </w:style>
  <w:style w:type="paragraph" w:styleId="22">
    <w:name w:val="Balloon Text"/>
    <w:basedOn w:val="1"/>
    <w:link w:val="36"/>
    <w:qFormat/>
    <w:uiPriority w:val="0"/>
    <w:rPr>
      <w:sz w:val="18"/>
      <w:szCs w:val="18"/>
    </w:rPr>
  </w:style>
  <w:style w:type="paragraph" w:styleId="23">
    <w:name w:val="footer"/>
    <w:basedOn w:val="1"/>
    <w:next w:val="24"/>
    <w:link w:val="67"/>
    <w:qFormat/>
    <w:uiPriority w:val="0"/>
    <w:pPr>
      <w:tabs>
        <w:tab w:val="center" w:pos="4153"/>
        <w:tab w:val="right" w:pos="8306"/>
      </w:tabs>
      <w:snapToGrid w:val="0"/>
    </w:pPr>
    <w:rPr>
      <w:sz w:val="18"/>
    </w:rPr>
  </w:style>
  <w:style w:type="paragraph" w:customStyle="1" w:styleId="24">
    <w:name w:val="HtmlNormal"/>
    <w:basedOn w:val="1"/>
    <w:semiHidden/>
    <w:qFormat/>
    <w:uiPriority w:val="0"/>
    <w:pPr>
      <w:widowControl/>
      <w:spacing w:before="100" w:beforeAutospacing="1" w:after="100" w:afterAutospacing="1"/>
      <w:textAlignment w:val="baseline"/>
    </w:pPr>
    <w:rPr>
      <w:rFonts w:ascii="Arial Unicode MS" w:hAnsi="Arial Unicode MS" w:eastAsia="Arial Unicode MS"/>
      <w:lang w:eastAsia="zh-CN" w:bidi="ar-SA"/>
    </w:rPr>
  </w:style>
  <w:style w:type="paragraph" w:styleId="25">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6">
    <w:name w:val="toc 1"/>
    <w:basedOn w:val="1"/>
    <w:next w:val="1"/>
    <w:qFormat/>
    <w:uiPriority w:val="39"/>
  </w:style>
  <w:style w:type="paragraph" w:styleId="27">
    <w:name w:val="toc 2"/>
    <w:basedOn w:val="1"/>
    <w:next w:val="1"/>
    <w:qFormat/>
    <w:uiPriority w:val="39"/>
    <w:pPr>
      <w:ind w:left="420" w:leftChars="200"/>
    </w:pPr>
  </w:style>
  <w:style w:type="paragraph" w:styleId="28">
    <w:name w:val="Normal (Web)"/>
    <w:basedOn w:val="1"/>
    <w:next w:val="11"/>
    <w:qFormat/>
    <w:uiPriority w:val="0"/>
    <w:pPr>
      <w:spacing w:before="100" w:beforeAutospacing="1" w:after="100" w:afterAutospacing="1"/>
    </w:pPr>
    <w:rPr>
      <w:lang w:eastAsia="zh-CN" w:bidi="ar-SA"/>
    </w:rPr>
  </w:style>
  <w:style w:type="paragraph" w:styleId="29">
    <w:name w:val="Body Text First Indent"/>
    <w:basedOn w:val="12"/>
    <w:link w:val="69"/>
    <w:qFormat/>
    <w:uiPriority w:val="0"/>
    <w:pPr>
      <w:ind w:firstLine="420" w:firstLineChars="1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FollowedHyperlink"/>
    <w:basedOn w:val="32"/>
    <w:unhideWhenUsed/>
    <w:qFormat/>
    <w:uiPriority w:val="99"/>
    <w:rPr>
      <w:color w:val="800080" w:themeColor="followedHyperlink"/>
      <w:u w:val="single"/>
      <w14:textFill>
        <w14:solidFill>
          <w14:schemeClr w14:val="folHlink"/>
        </w14:solidFill>
      </w14:textFill>
    </w:rPr>
  </w:style>
  <w:style w:type="character" w:styleId="35">
    <w:name w:val="Hyperlink"/>
    <w:qFormat/>
    <w:uiPriority w:val="99"/>
    <w:rPr>
      <w:color w:val="0000FF"/>
      <w:u w:val="single"/>
    </w:rPr>
  </w:style>
  <w:style w:type="character" w:customStyle="1" w:styleId="36">
    <w:name w:val="批注框文本 字符"/>
    <w:link w:val="22"/>
    <w:qFormat/>
    <w:uiPriority w:val="0"/>
    <w:rPr>
      <w:rFonts w:eastAsia="Times New Roman"/>
      <w:color w:val="000000"/>
      <w:sz w:val="18"/>
      <w:szCs w:val="18"/>
      <w:lang w:eastAsia="en-US" w:bidi="en-US"/>
    </w:rPr>
  </w:style>
  <w:style w:type="paragraph" w:customStyle="1" w:styleId="37">
    <w:name w:val="Body text|6"/>
    <w:basedOn w:val="1"/>
    <w:qFormat/>
    <w:uiPriority w:val="0"/>
    <w:pPr>
      <w:jc w:val="center"/>
    </w:pPr>
    <w:rPr>
      <w:rFonts w:ascii="宋体" w:hAnsi="宋体" w:eastAsia="宋体" w:cs="宋体"/>
      <w:sz w:val="58"/>
      <w:szCs w:val="58"/>
      <w:lang w:val="zh-TW" w:eastAsia="zh-TW" w:bidi="zh-TW"/>
    </w:rPr>
  </w:style>
  <w:style w:type="paragraph" w:customStyle="1" w:styleId="38">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9">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40">
    <w:name w:val="Body text|4"/>
    <w:basedOn w:val="1"/>
    <w:qFormat/>
    <w:uiPriority w:val="0"/>
    <w:pPr>
      <w:spacing w:after="220" w:line="230" w:lineRule="auto"/>
      <w:ind w:left="600" w:firstLine="420"/>
    </w:pPr>
    <w:rPr>
      <w:sz w:val="20"/>
      <w:szCs w:val="20"/>
    </w:rPr>
  </w:style>
  <w:style w:type="paragraph" w:customStyle="1" w:styleId="41">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42">
    <w:name w:val="Table caption|1"/>
    <w:basedOn w:val="1"/>
    <w:qFormat/>
    <w:uiPriority w:val="0"/>
    <w:pPr>
      <w:jc w:val="center"/>
    </w:pPr>
    <w:rPr>
      <w:rFonts w:ascii="宋体" w:hAnsi="宋体" w:eastAsia="宋体" w:cs="宋体"/>
      <w:sz w:val="20"/>
      <w:szCs w:val="20"/>
      <w:lang w:val="zh-TW" w:eastAsia="zh-TW" w:bidi="zh-TW"/>
    </w:rPr>
  </w:style>
  <w:style w:type="paragraph" w:customStyle="1" w:styleId="43">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44">
    <w:name w:val="Header or footer|1"/>
    <w:basedOn w:val="1"/>
    <w:qFormat/>
    <w:uiPriority w:val="0"/>
    <w:rPr>
      <w:rFonts w:ascii="宋体" w:hAnsi="宋体" w:eastAsia="宋体" w:cs="宋体"/>
      <w:lang w:val="zh-TW" w:eastAsia="zh-TW" w:bidi="zh-TW"/>
    </w:rPr>
  </w:style>
  <w:style w:type="paragraph" w:customStyle="1" w:styleId="45">
    <w:name w:val="WPSOffice手动目录 1"/>
    <w:qFormat/>
    <w:uiPriority w:val="0"/>
    <w:rPr>
      <w:rFonts w:ascii="Calibri" w:hAnsi="Calibri" w:eastAsia="宋体" w:cs="Times New Roman"/>
      <w:lang w:val="en-US" w:eastAsia="zh-CN" w:bidi="ar-SA"/>
    </w:rPr>
  </w:style>
  <w:style w:type="paragraph" w:customStyle="1" w:styleId="46">
    <w:name w:val="WPSOffice手动目录 2"/>
    <w:qFormat/>
    <w:uiPriority w:val="0"/>
    <w:pPr>
      <w:ind w:left="200" w:leftChars="200"/>
    </w:pPr>
    <w:rPr>
      <w:rFonts w:ascii="Calibri" w:hAnsi="Calibri" w:eastAsia="宋体" w:cs="Times New Roman"/>
      <w:lang w:val="en-US" w:eastAsia="zh-CN" w:bidi="ar-SA"/>
    </w:rPr>
  </w:style>
  <w:style w:type="paragraph" w:customStyle="1" w:styleId="47">
    <w:name w:val="WPSOffice手动目录 3"/>
    <w:qFormat/>
    <w:uiPriority w:val="0"/>
    <w:pPr>
      <w:ind w:left="400" w:leftChars="400"/>
    </w:pPr>
    <w:rPr>
      <w:rFonts w:ascii="Calibri" w:hAnsi="Calibri" w:eastAsia="宋体" w:cs="Times New Roman"/>
      <w:lang w:val="en-US" w:eastAsia="zh-CN" w:bidi="ar-SA"/>
    </w:rPr>
  </w:style>
  <w:style w:type="paragraph" w:styleId="48">
    <w:name w:val="List Paragraph"/>
    <w:basedOn w:val="1"/>
    <w:qFormat/>
    <w:uiPriority w:val="34"/>
    <w:pPr>
      <w:ind w:firstLine="420" w:firstLineChars="200"/>
    </w:pPr>
  </w:style>
  <w:style w:type="paragraph" w:customStyle="1" w:styleId="49">
    <w:name w:val="Table Text"/>
    <w:basedOn w:val="1"/>
    <w:semiHidden/>
    <w:qFormat/>
    <w:uiPriority w:val="0"/>
    <w:rPr>
      <w:rFonts w:ascii="宋体" w:hAnsi="宋体" w:eastAsia="宋体" w:cs="宋体"/>
      <w:sz w:val="20"/>
      <w:szCs w:val="20"/>
      <w:lang w:bidi="ar-SA"/>
    </w:rPr>
  </w:style>
  <w:style w:type="table" w:customStyle="1" w:styleId="50">
    <w:name w:val="Table Normal"/>
    <w:unhideWhenUsed/>
    <w:qFormat/>
    <w:uiPriority w:val="0"/>
    <w:tblPr>
      <w:tblCellMar>
        <w:top w:w="0" w:type="dxa"/>
        <w:left w:w="0" w:type="dxa"/>
        <w:bottom w:w="0" w:type="dxa"/>
        <w:right w:w="0" w:type="dxa"/>
      </w:tblCellMar>
    </w:tblPr>
  </w:style>
  <w:style w:type="paragraph" w:customStyle="1" w:styleId="51">
    <w:name w:val="Table Paragraph"/>
    <w:basedOn w:val="1"/>
    <w:qFormat/>
    <w:uiPriority w:val="1"/>
  </w:style>
  <w:style w:type="paragraph" w:customStyle="1" w:styleId="5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3">
    <w:name w:val="公路标题2"/>
    <w:basedOn w:val="2"/>
    <w:qFormat/>
    <w:uiPriority w:val="0"/>
    <w:pPr>
      <w:numPr>
        <w:ilvl w:val="0"/>
        <w:numId w:val="3"/>
      </w:numPr>
      <w:spacing w:line="240" w:lineRule="auto"/>
    </w:pPr>
    <w:rPr>
      <w:sz w:val="28"/>
      <w:szCs w:val="28"/>
    </w:rPr>
  </w:style>
  <w:style w:type="paragraph" w:customStyle="1" w:styleId="54">
    <w:name w:val="正文1"/>
    <w:basedOn w:val="1"/>
    <w:qFormat/>
    <w:uiPriority w:val="0"/>
    <w:pPr>
      <w:adjustRightInd w:val="0"/>
      <w:spacing w:line="360" w:lineRule="atLeast"/>
      <w:textAlignment w:val="baseline"/>
    </w:pPr>
    <w:rPr>
      <w:rFonts w:ascii="宋体"/>
      <w:szCs w:val="20"/>
    </w:rPr>
  </w:style>
  <w:style w:type="character" w:customStyle="1" w:styleId="55">
    <w:name w:val="标题 1 字符"/>
    <w:basedOn w:val="32"/>
    <w:link w:val="3"/>
    <w:qFormat/>
    <w:uiPriority w:val="0"/>
    <w:rPr>
      <w:rFonts w:eastAsia="Times New Roman"/>
      <w:b/>
      <w:color w:val="000000"/>
      <w:kern w:val="44"/>
      <w:sz w:val="44"/>
      <w:szCs w:val="24"/>
      <w:lang w:eastAsia="en-US" w:bidi="en-US"/>
    </w:rPr>
  </w:style>
  <w:style w:type="character" w:customStyle="1" w:styleId="56">
    <w:name w:val="标题 2 字符"/>
    <w:basedOn w:val="32"/>
    <w:link w:val="2"/>
    <w:qFormat/>
    <w:uiPriority w:val="0"/>
    <w:rPr>
      <w:rFonts w:ascii="Arial" w:hAnsi="Arial" w:eastAsia="黑体"/>
      <w:b/>
      <w:color w:val="000000"/>
      <w:sz w:val="32"/>
      <w:szCs w:val="24"/>
      <w:lang w:eastAsia="en-US" w:bidi="en-US"/>
    </w:rPr>
  </w:style>
  <w:style w:type="character" w:customStyle="1" w:styleId="57">
    <w:name w:val="标题 3 字符"/>
    <w:basedOn w:val="32"/>
    <w:link w:val="4"/>
    <w:qFormat/>
    <w:uiPriority w:val="0"/>
    <w:rPr>
      <w:rFonts w:eastAsia="Times New Roman"/>
      <w:b/>
      <w:color w:val="000000"/>
      <w:sz w:val="32"/>
      <w:szCs w:val="24"/>
      <w:lang w:eastAsia="en-US" w:bidi="en-US"/>
    </w:rPr>
  </w:style>
  <w:style w:type="character" w:customStyle="1" w:styleId="58">
    <w:name w:val="电子邮件签名 字符"/>
    <w:basedOn w:val="32"/>
    <w:link w:val="6"/>
    <w:qFormat/>
    <w:uiPriority w:val="0"/>
    <w:rPr>
      <w:color w:val="000000"/>
      <w:sz w:val="21"/>
      <w:szCs w:val="24"/>
      <w:lang w:eastAsia="en-US" w:bidi="en-US"/>
    </w:rPr>
  </w:style>
  <w:style w:type="character" w:customStyle="1" w:styleId="59">
    <w:name w:val="签名 字符"/>
    <w:basedOn w:val="32"/>
    <w:link w:val="9"/>
    <w:qFormat/>
    <w:uiPriority w:val="0"/>
    <w:rPr>
      <w:color w:val="000000"/>
      <w:sz w:val="21"/>
      <w:szCs w:val="24"/>
      <w:lang w:eastAsia="en-US" w:bidi="en-US"/>
    </w:rPr>
  </w:style>
  <w:style w:type="character" w:customStyle="1" w:styleId="60">
    <w:name w:val="正文文本 字符"/>
    <w:basedOn w:val="32"/>
    <w:link w:val="12"/>
    <w:qFormat/>
    <w:uiPriority w:val="0"/>
    <w:rPr>
      <w:rFonts w:ascii="Calibri" w:hAnsi="Calibri" w:eastAsia="Times New Roman"/>
      <w:color w:val="000000"/>
      <w:lang w:eastAsia="en-US" w:bidi="en-US"/>
    </w:rPr>
  </w:style>
  <w:style w:type="character" w:customStyle="1" w:styleId="61">
    <w:name w:val="批注文字 字符"/>
    <w:basedOn w:val="32"/>
    <w:link w:val="14"/>
    <w:qFormat/>
    <w:uiPriority w:val="0"/>
    <w:rPr>
      <w:rFonts w:eastAsia="Times New Roman"/>
      <w:color w:val="000000"/>
      <w:sz w:val="24"/>
      <w:szCs w:val="24"/>
      <w:lang w:eastAsia="en-US" w:bidi="en-US"/>
    </w:rPr>
  </w:style>
  <w:style w:type="character" w:customStyle="1" w:styleId="62">
    <w:name w:val="正文文本 3 字符"/>
    <w:basedOn w:val="32"/>
    <w:link w:val="15"/>
    <w:qFormat/>
    <w:uiPriority w:val="0"/>
    <w:rPr>
      <w:rFonts w:ascii="宋体" w:hAnsi="Calibri" w:eastAsia="Times New Roman"/>
      <w:color w:val="000000"/>
      <w:sz w:val="24"/>
      <w:lang w:eastAsia="en-US" w:bidi="en-US"/>
    </w:rPr>
  </w:style>
  <w:style w:type="character" w:customStyle="1" w:styleId="63">
    <w:name w:val="结束语 字符"/>
    <w:basedOn w:val="32"/>
    <w:link w:val="16"/>
    <w:qFormat/>
    <w:uiPriority w:val="0"/>
    <w:rPr>
      <w:color w:val="000000"/>
      <w:sz w:val="21"/>
      <w:szCs w:val="24"/>
      <w:lang w:eastAsia="en-US" w:bidi="en-US"/>
    </w:rPr>
  </w:style>
  <w:style w:type="character" w:customStyle="1" w:styleId="64">
    <w:name w:val="正文文本缩进 字符"/>
    <w:basedOn w:val="32"/>
    <w:link w:val="18"/>
    <w:qFormat/>
    <w:uiPriority w:val="0"/>
    <w:rPr>
      <w:rFonts w:ascii="Calibri" w:hAnsi="Calibri" w:eastAsia="Times New Roman"/>
      <w:color w:val="000000"/>
      <w:lang w:eastAsia="en-US" w:bidi="en-US"/>
    </w:rPr>
  </w:style>
  <w:style w:type="character" w:customStyle="1" w:styleId="65">
    <w:name w:val="纯文本 字符"/>
    <w:basedOn w:val="32"/>
    <w:link w:val="20"/>
    <w:qFormat/>
    <w:uiPriority w:val="0"/>
    <w:rPr>
      <w:rFonts w:ascii="宋体" w:hAnsi="Courier New" w:eastAsia="Times New Roman"/>
      <w:color w:val="000000"/>
      <w:sz w:val="24"/>
      <w:lang w:eastAsia="en-US" w:bidi="en-US"/>
    </w:rPr>
  </w:style>
  <w:style w:type="character" w:customStyle="1" w:styleId="66">
    <w:name w:val="正文文本缩进 2 字符"/>
    <w:basedOn w:val="32"/>
    <w:link w:val="21"/>
    <w:qFormat/>
    <w:uiPriority w:val="0"/>
    <w:rPr>
      <w:rFonts w:eastAsia="Times New Roman"/>
      <w:color w:val="000000"/>
      <w:sz w:val="24"/>
      <w:szCs w:val="24"/>
      <w:lang w:eastAsia="en-US" w:bidi="en-US"/>
    </w:rPr>
  </w:style>
  <w:style w:type="character" w:customStyle="1" w:styleId="67">
    <w:name w:val="页脚 字符"/>
    <w:basedOn w:val="32"/>
    <w:link w:val="23"/>
    <w:qFormat/>
    <w:uiPriority w:val="0"/>
    <w:rPr>
      <w:rFonts w:eastAsia="Times New Roman"/>
      <w:color w:val="000000"/>
      <w:sz w:val="18"/>
      <w:szCs w:val="24"/>
      <w:lang w:eastAsia="en-US" w:bidi="en-US"/>
    </w:rPr>
  </w:style>
  <w:style w:type="character" w:customStyle="1" w:styleId="68">
    <w:name w:val="页眉 字符"/>
    <w:basedOn w:val="32"/>
    <w:link w:val="25"/>
    <w:qFormat/>
    <w:uiPriority w:val="0"/>
    <w:rPr>
      <w:rFonts w:eastAsia="Times New Roman"/>
      <w:color w:val="000000"/>
      <w:sz w:val="18"/>
      <w:szCs w:val="24"/>
      <w:lang w:eastAsia="en-US" w:bidi="en-US"/>
    </w:rPr>
  </w:style>
  <w:style w:type="character" w:customStyle="1" w:styleId="69">
    <w:name w:val="正文文本首行缩进 字符"/>
    <w:basedOn w:val="60"/>
    <w:link w:val="29"/>
    <w:qFormat/>
    <w:uiPriority w:val="0"/>
    <w:rPr>
      <w:rFonts w:ascii="Calibri" w:hAnsi="Calibri" w:eastAsia="Times New Roman"/>
      <w:color w:val="00000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7FA04-7A4E-402E-A6F0-5DA496CD00E4}">
  <ds:schemaRefs/>
</ds:datastoreItem>
</file>

<file path=docProps/app.xml><?xml version="1.0" encoding="utf-8"?>
<Properties xmlns="http://schemas.openxmlformats.org/officeDocument/2006/extended-properties" xmlns:vt="http://schemas.openxmlformats.org/officeDocument/2006/docPropsVTypes">
  <Template>Normal</Template>
  <Pages>32</Pages>
  <Words>14883</Words>
  <Characters>15785</Characters>
  <Lines>407</Lines>
  <Paragraphs>698</Paragraphs>
  <TotalTime>16</TotalTime>
  <ScaleCrop>false</ScaleCrop>
  <LinksUpToDate>false</LinksUpToDate>
  <CharactersWithSpaces>16722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2025-07-03T09:24:00Z</dcterms:created>
  <dc:creator>月光灬Dream</dc:creator>
  <cp:lastModifiedBy>是嘉嘉吖</cp:lastModifiedBy>
  <cp:lastPrinted>2025-06-23T01:27:00Z</cp:lastPrinted>
  <dcterms:modified xsi:type="dcterms:W3CDTF">2025-07-15T00:25:13Z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31780E0C04E546D6BA76FB8553592756_13</vt:lpwstr>
  </property>
  <property fmtid="{D5CDD505-2E9C-101B-9397-08002B2CF9AE}" pid="4" name="KSOTemplateDocerSaveRecord">
    <vt:lpwstr>eyJoZGlkIjoiMDljYzUzMWQ4OWI0YzBkYjYzMDRhZTY5ZjZkYmFmYTgiLCJ1c2VySWQiOiIzMjkxOTQ1NjcifQ==</vt:lpwstr>
  </property>
</Properties>
</file>