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AB4DD">
      <w:pPr>
        <w:pStyle w:val="2"/>
        <w:keepNext/>
        <w:keepLines/>
        <w:kinsoku/>
        <w:autoSpaceDE/>
        <w:autoSpaceDN/>
        <w:adjustRightInd/>
        <w:snapToGrid/>
        <w:spacing w:before="0" w:after="0" w:line="360" w:lineRule="auto"/>
        <w:jc w:val="left"/>
        <w:textAlignment w:val="auto"/>
        <w:rPr>
          <w:rFonts w:hint="eastAsia" w:ascii="Times New Roman" w:hAnsi="Times New Roman" w:eastAsia="宋体" w:cs="Times New Roman"/>
          <w:color w:val="00000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lang w:val="en-US" w:eastAsia="zh-CN"/>
        </w:rPr>
        <w:t>附件</w:t>
      </w:r>
      <w:r>
        <w:rPr>
          <w:rFonts w:hint="eastAsia" w:eastAsia="宋体" w:cs="Times New Roman"/>
          <w:color w:val="000000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color w:val="000000"/>
          <w:lang w:val="en-US" w:eastAsia="zh-CN"/>
        </w:rPr>
        <w:t xml:space="preserve"> :</w:t>
      </w:r>
      <w:bookmarkStart w:id="0" w:name="_Toc26544"/>
      <w:bookmarkStart w:id="1" w:name="_Toc233130515"/>
    </w:p>
    <w:p w14:paraId="33B2CEB7">
      <w:pPr>
        <w:pStyle w:val="20"/>
        <w:widowControl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总院区住院综合楼20层特需病房装修改造项目</w:t>
      </w:r>
      <w:r>
        <w:rPr>
          <w:rFonts w:hint="eastAsia"/>
          <w:lang w:val="en-US" w:eastAsia="zh-CN"/>
        </w:rPr>
        <w:t>院内必选</w:t>
      </w:r>
    </w:p>
    <w:p w14:paraId="5BC7F0BC">
      <w:pPr>
        <w:pStyle w:val="20"/>
        <w:widowControl/>
        <w:rPr>
          <w:rFonts w:hint="eastAsia"/>
          <w:lang w:eastAsia="zh-CN"/>
        </w:rPr>
      </w:pPr>
      <w:r>
        <w:rPr>
          <w:rFonts w:hint="eastAsia"/>
          <w:lang w:eastAsia="zh-CN"/>
        </w:rPr>
        <w:t>评审标准</w:t>
      </w:r>
      <w:bookmarkEnd w:id="0"/>
      <w:bookmarkEnd w:id="1"/>
    </w:p>
    <w:p w14:paraId="3436194E">
      <w:pPr>
        <w:rPr>
          <w:rFonts w:hint="eastAsia"/>
          <w:lang w:eastAsia="zh-CN"/>
        </w:rPr>
      </w:pPr>
    </w:p>
    <w:tbl>
      <w:tblPr>
        <w:tblStyle w:val="23"/>
        <w:tblW w:w="504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2"/>
        <w:gridCol w:w="1456"/>
        <w:gridCol w:w="6665"/>
        <w:gridCol w:w="1005"/>
      </w:tblGrid>
      <w:tr w14:paraId="6F77C9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</w:trPr>
        <w:tc>
          <w:tcPr>
            <w:tcW w:w="305" w:type="pct"/>
            <w:vAlign w:val="center"/>
          </w:tcPr>
          <w:p w14:paraId="1649966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Tahoma"/>
                <w:b/>
                <w:bCs/>
                <w:snapToGrid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/>
                <w:bCs/>
                <w:snapToGrid/>
                <w:color w:val="auto"/>
                <w:kern w:val="0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750" w:type="pct"/>
            <w:gridSpan w:val="2"/>
            <w:vAlign w:val="center"/>
          </w:tcPr>
          <w:p w14:paraId="2DD7597B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Tahoma"/>
                <w:b/>
                <w:bCs/>
                <w:snapToGrid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/>
                <w:bCs/>
                <w:snapToGrid/>
                <w:color w:val="auto"/>
                <w:kern w:val="0"/>
                <w:szCs w:val="21"/>
                <w:highlight w:val="none"/>
                <w:lang w:val="en-US" w:eastAsia="zh-CN"/>
              </w:rPr>
              <w:t>评审因素</w:t>
            </w:r>
          </w:p>
        </w:tc>
        <w:tc>
          <w:tcPr>
            <w:tcW w:w="3428" w:type="pct"/>
            <w:vAlign w:val="center"/>
          </w:tcPr>
          <w:p w14:paraId="153019C6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Tahoma"/>
                <w:b/>
                <w:bCs/>
                <w:snapToGrid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/>
                <w:bCs/>
                <w:snapToGrid/>
                <w:color w:val="auto"/>
                <w:kern w:val="0"/>
                <w:szCs w:val="21"/>
                <w:highlight w:val="none"/>
                <w:lang w:val="en-US" w:eastAsia="zh-CN"/>
              </w:rPr>
              <w:t>评审因素具体内容</w:t>
            </w:r>
          </w:p>
        </w:tc>
        <w:tc>
          <w:tcPr>
            <w:tcW w:w="516" w:type="pct"/>
            <w:vAlign w:val="center"/>
          </w:tcPr>
          <w:p w14:paraId="56281AA8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Tahoma"/>
                <w:b/>
                <w:bCs/>
                <w:snapToGrid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/>
                <w:bCs/>
                <w:snapToGrid/>
                <w:color w:val="auto"/>
                <w:kern w:val="0"/>
                <w:szCs w:val="21"/>
                <w:highlight w:val="none"/>
                <w:lang w:val="en-US" w:eastAsia="zh-CN"/>
              </w:rPr>
              <w:t>分值</w:t>
            </w:r>
          </w:p>
        </w:tc>
      </w:tr>
      <w:tr w14:paraId="7FE511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05" w:type="pct"/>
            <w:vAlign w:val="center"/>
          </w:tcPr>
          <w:p w14:paraId="5883C1E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4178" w:type="pct"/>
            <w:gridSpan w:val="3"/>
            <w:vAlign w:val="center"/>
          </w:tcPr>
          <w:p w14:paraId="23B3A7D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技术分</w:t>
            </w:r>
          </w:p>
        </w:tc>
        <w:tc>
          <w:tcPr>
            <w:tcW w:w="516" w:type="pct"/>
            <w:vAlign w:val="center"/>
          </w:tcPr>
          <w:p w14:paraId="2AF56648"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70</w:t>
            </w:r>
          </w:p>
        </w:tc>
      </w:tr>
      <w:tr w14:paraId="27E92D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05" w:type="pct"/>
            <w:vAlign w:val="center"/>
          </w:tcPr>
          <w:p w14:paraId="6CE00253">
            <w:pPr>
              <w:jc w:val="center"/>
              <w:rPr>
                <w:rFonts w:hint="eastAsia" w:eastAsia="宋体"/>
                <w:lang w:val="en-US" w:eastAsia="zh-CN"/>
              </w:rPr>
            </w:pPr>
          </w:p>
          <w:p w14:paraId="3E8B164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1.1</w:t>
            </w:r>
          </w:p>
        </w:tc>
        <w:tc>
          <w:tcPr>
            <w:tcW w:w="750" w:type="pct"/>
            <w:gridSpan w:val="2"/>
            <w:vAlign w:val="center"/>
          </w:tcPr>
          <w:p w14:paraId="3A0B2889">
            <w:pPr>
              <w:jc w:val="center"/>
              <w:rPr>
                <w:rFonts w:hint="eastAsia" w:eastAsia="宋体"/>
                <w:lang w:val="en-US" w:eastAsia="zh-CN"/>
              </w:rPr>
            </w:pPr>
          </w:p>
          <w:p w14:paraId="74066A40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设备性能基本分</w:t>
            </w:r>
          </w:p>
        </w:tc>
        <w:tc>
          <w:tcPr>
            <w:tcW w:w="3428" w:type="pct"/>
            <w:vAlign w:val="top"/>
          </w:tcPr>
          <w:p w14:paraId="42B3844F">
            <w:pPr>
              <w:spacing w:line="360" w:lineRule="auto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设备采购部分技术参数无负偏离的得基本分 25分，每负偏离一项在基本 分基础上扣4 分，漏项视为负偏离。</w:t>
            </w:r>
          </w:p>
        </w:tc>
        <w:tc>
          <w:tcPr>
            <w:tcW w:w="516" w:type="pct"/>
            <w:vAlign w:val="center"/>
          </w:tcPr>
          <w:p w14:paraId="46F359D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25</w:t>
            </w:r>
          </w:p>
        </w:tc>
      </w:tr>
      <w:tr w14:paraId="755310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05" w:type="pct"/>
            <w:vAlign w:val="center"/>
          </w:tcPr>
          <w:p w14:paraId="3564795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1.2</w:t>
            </w:r>
          </w:p>
        </w:tc>
        <w:tc>
          <w:tcPr>
            <w:tcW w:w="750" w:type="pct"/>
            <w:gridSpan w:val="2"/>
            <w:vAlign w:val="center"/>
          </w:tcPr>
          <w:p w14:paraId="21B0A69C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项目实施方案分</w:t>
            </w:r>
          </w:p>
        </w:tc>
        <w:tc>
          <w:tcPr>
            <w:tcW w:w="3428" w:type="pct"/>
            <w:vAlign w:val="top"/>
          </w:tcPr>
          <w:p w14:paraId="30E0DB2E">
            <w:pPr>
              <w:spacing w:line="360" w:lineRule="auto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一档（4 分）：供应商所提供技术方案较差，技术架构简单，在人员配置 及安排、项目进度等方面描述较为简单，方案不全面。</w:t>
            </w:r>
          </w:p>
          <w:p w14:paraId="33B1DCC0">
            <w:pPr>
              <w:spacing w:line="360" w:lineRule="auto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二档（8 分）：供应商所提供技术方案简单，没有明显技术错误，技术架 构简单可行，在人员配置及安排、项目进度、免费技术操作培训等方面有简  单描述，方案基本可操作，但不够具体详细。</w:t>
            </w:r>
          </w:p>
          <w:p w14:paraId="42A069D5">
            <w:pPr>
              <w:spacing w:line="360" w:lineRule="auto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三档（12 分）：供应商所提供技术方案较详细、先进、合理，对项目理解 较深刻，步骤有序，能较有针对性地提出合理化建议，在保证及时供货的方  案、人员配置及安排、项目进度等方面有比较详细的描述，方案可操作性强。</w:t>
            </w:r>
          </w:p>
          <w:p w14:paraId="74B28538">
            <w:pPr>
              <w:spacing w:line="360" w:lineRule="auto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四档（16 分）：项目实施方案符合现场实际情况；提供技术方案非常详 细、先进、合理，对项目理解较深刻，步骤有序，且方案整体性，可靠性， 可维护性，安全性非常好，有针对性提出合理化建议，在保证及时供货的 方案、人员配置及安排、项目进度等方面有非常详细的描述，包括人员配置 方案、施工方案、培训方案等方面。方案科学，可操作性强。</w:t>
            </w:r>
          </w:p>
        </w:tc>
        <w:tc>
          <w:tcPr>
            <w:tcW w:w="516" w:type="pct"/>
            <w:vAlign w:val="center"/>
          </w:tcPr>
          <w:p w14:paraId="77AF671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16</w:t>
            </w:r>
          </w:p>
        </w:tc>
      </w:tr>
      <w:tr w14:paraId="5EA6BE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05" w:type="pct"/>
            <w:vAlign w:val="center"/>
          </w:tcPr>
          <w:p w14:paraId="0E1AFC7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1.3</w:t>
            </w:r>
          </w:p>
        </w:tc>
        <w:tc>
          <w:tcPr>
            <w:tcW w:w="750" w:type="pct"/>
            <w:gridSpan w:val="2"/>
            <w:vAlign w:val="center"/>
          </w:tcPr>
          <w:p w14:paraId="208247A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项目的了解及特点、难点分析及污染物浓度变化的方案和措施</w:t>
            </w:r>
          </w:p>
        </w:tc>
        <w:tc>
          <w:tcPr>
            <w:tcW w:w="3428" w:type="pct"/>
            <w:vAlign w:val="top"/>
          </w:tcPr>
          <w:p w14:paraId="1E16241F">
            <w:pPr>
              <w:spacing w:line="360" w:lineRule="auto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一档（3 分）：对项目基本情况了解不全面，描述设备的工作原理不合理 且没有对项目进行重点难点分析，无针对水质变化及季节特点的解决方案；</w:t>
            </w:r>
          </w:p>
          <w:p w14:paraId="17B05E06">
            <w:pPr>
              <w:spacing w:line="360" w:lineRule="auto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二档（6 分）：对项目基本情况能清楚了解，描述设备的工作原理准确合 理，没有对项目进行重点难点分析，针对水质变化及季节特点有解决方案；</w:t>
            </w:r>
          </w:p>
          <w:p w14:paraId="783A2824">
            <w:pPr>
              <w:spacing w:line="360" w:lineRule="auto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三档（9 分）：对项目基本情况能清楚了解，能准确理解及描述设备的工 作原理，具有项目的重点难点分析，并配以工艺流程图，图文与项目实际相 结合，各项分析合理、完善，完全针对水质变化及季节特点有切实可行的解 决方案和措施，出水水质质量并且能够保障出水水质质量及季节运行稳定。</w:t>
            </w:r>
          </w:p>
        </w:tc>
        <w:tc>
          <w:tcPr>
            <w:tcW w:w="516" w:type="pct"/>
            <w:vAlign w:val="center"/>
          </w:tcPr>
          <w:p w14:paraId="14DD0D8C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</w:t>
            </w:r>
          </w:p>
        </w:tc>
      </w:tr>
      <w:tr w14:paraId="6A0438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05" w:type="pct"/>
            <w:vAlign w:val="center"/>
          </w:tcPr>
          <w:p w14:paraId="11DBC4BC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1.4</w:t>
            </w:r>
          </w:p>
        </w:tc>
        <w:tc>
          <w:tcPr>
            <w:tcW w:w="750" w:type="pct"/>
            <w:gridSpan w:val="2"/>
            <w:vAlign w:val="center"/>
          </w:tcPr>
          <w:p w14:paraId="0FD8368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总体概述</w:t>
            </w:r>
          </w:p>
          <w:p w14:paraId="71EF3F8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（施工程序总体设想及施工阶段）</w:t>
            </w:r>
          </w:p>
        </w:tc>
        <w:tc>
          <w:tcPr>
            <w:tcW w:w="3428" w:type="pct"/>
            <w:vAlign w:val="top"/>
          </w:tcPr>
          <w:p w14:paraId="74C08C9F">
            <w:pPr>
              <w:spacing w:line="360" w:lineRule="auto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一档（1分）：对项目认识不足，表述不清晰，措施不具体。施工段划分不合理。</w:t>
            </w:r>
          </w:p>
          <w:p w14:paraId="6CAD65D2">
            <w:pPr>
              <w:spacing w:line="360" w:lineRule="auto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二档（3 分）：对项目总体有认识，有一定的措施但部分不具体。施工段 划分比较合理，有一定的措施但部分不具体。</w:t>
            </w:r>
          </w:p>
          <w:p w14:paraId="59CDC72D">
            <w:pPr>
              <w:spacing w:line="360" w:lineRule="auto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三档（6 分）：对项目总体有一定认识，表述清晰、完整，措施具体有效； 施工段划分呼应总表述，划分清晰、合理，符合规范要求。</w:t>
            </w:r>
          </w:p>
          <w:p w14:paraId="46E73319">
            <w:pPr>
              <w:spacing w:line="360" w:lineRule="auto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四档（8 分）：对项目总体有深刻认识、表达清晰、完整、严谨、合理，措施先进、具体、有效、成熟；施工段划分呼应总表述，划分清晰、合理， 符合规范要求。</w:t>
            </w:r>
          </w:p>
        </w:tc>
        <w:tc>
          <w:tcPr>
            <w:tcW w:w="516" w:type="pct"/>
            <w:vAlign w:val="center"/>
          </w:tcPr>
          <w:p w14:paraId="1F36326C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</w:t>
            </w:r>
          </w:p>
        </w:tc>
      </w:tr>
      <w:tr w14:paraId="039C11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05" w:type="pct"/>
            <w:vAlign w:val="center"/>
          </w:tcPr>
          <w:p w14:paraId="33C7FED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1.5</w:t>
            </w:r>
          </w:p>
        </w:tc>
        <w:tc>
          <w:tcPr>
            <w:tcW w:w="750" w:type="pct"/>
            <w:gridSpan w:val="2"/>
            <w:vAlign w:val="center"/>
          </w:tcPr>
          <w:p w14:paraId="74510B00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施工进度计划和各阶段保证措施 </w:t>
            </w:r>
          </w:p>
        </w:tc>
        <w:tc>
          <w:tcPr>
            <w:tcW w:w="3428" w:type="pct"/>
            <w:vAlign w:val="top"/>
          </w:tcPr>
          <w:p w14:paraId="1A4F5E1F">
            <w:pPr>
              <w:spacing w:line="360" w:lineRule="auto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一档（1 分）：对本项目施工关键线路不准确，计划编制不合理，关键节 点的控制措施不可行，没有违约责任承诺，质量保证措施不具体。</w:t>
            </w:r>
          </w:p>
          <w:p w14:paraId="45C58EA7">
            <w:pPr>
              <w:spacing w:line="360" w:lineRule="auto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二档（3 分）：对本项目施工关键线路基本准确，计划编制基本合理，关 键节点的控制措施基本可行，进度违约责任承诺具体，基本能保证技术质量， 达到承诺的质量标准。</w:t>
            </w:r>
          </w:p>
          <w:p w14:paraId="6BC660D7">
            <w:pPr>
              <w:spacing w:line="360" w:lineRule="auto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三档（6 分）：对本项目施工关键线路清晰、准确、完整，计划编制可行， 关键节点的控制措施合理、可行，进度违约责任承诺具体，能保证技术质量， 达到承诺的质量标准。</w:t>
            </w:r>
          </w:p>
          <w:p w14:paraId="171010A4">
            <w:pPr>
              <w:spacing w:line="360" w:lineRule="auto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四档（8 分）：对本项目施工关键线路清晰、准确、完整，计划编制合理、 可行，关键节点的控制措施有力、合理、可行、进度违约责任承诺具体，能 确保工程各阶段顺利施工，主要工序应有质量技术保证措施和手段， 自控体系完整，能有效保证技术质量，达到承诺的质量标准。</w:t>
            </w:r>
          </w:p>
        </w:tc>
        <w:tc>
          <w:tcPr>
            <w:tcW w:w="516" w:type="pct"/>
            <w:vAlign w:val="center"/>
          </w:tcPr>
          <w:p w14:paraId="0B4569F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</w:t>
            </w:r>
          </w:p>
        </w:tc>
      </w:tr>
      <w:tr w14:paraId="2A44D6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05" w:type="pct"/>
            <w:tcBorders>
              <w:right w:val="single" w:color="auto" w:sz="4" w:space="0"/>
            </w:tcBorders>
            <w:vAlign w:val="center"/>
          </w:tcPr>
          <w:p w14:paraId="371859E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1.6</w:t>
            </w:r>
          </w:p>
        </w:tc>
        <w:tc>
          <w:tcPr>
            <w:tcW w:w="750" w:type="pct"/>
            <w:gridSpan w:val="2"/>
            <w:tcBorders>
              <w:left w:val="single" w:color="auto" w:sz="4" w:space="0"/>
            </w:tcBorders>
            <w:vAlign w:val="center"/>
          </w:tcPr>
          <w:p w14:paraId="574E6BE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项目管理机构分</w:t>
            </w:r>
          </w:p>
        </w:tc>
        <w:tc>
          <w:tcPr>
            <w:tcW w:w="3428" w:type="pct"/>
            <w:vAlign w:val="top"/>
          </w:tcPr>
          <w:p w14:paraId="428D97C8">
            <w:pPr>
              <w:spacing w:line="360" w:lineRule="auto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一档（1 分）：持证专职安全员满足项目要求，其他项目班子人员不齐 备或搭配不合理。</w:t>
            </w:r>
          </w:p>
          <w:p w14:paraId="55D16736">
            <w:pPr>
              <w:spacing w:line="360" w:lineRule="auto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二档（2 分）：技术负责人有中级及以上职称，持证专职安全员满足项目 要求，其他项目班子人员齐备、搭配基本合理，都有岗位证书。</w:t>
            </w:r>
          </w:p>
          <w:p w14:paraId="6AEC6D39">
            <w:pPr>
              <w:spacing w:line="360" w:lineRule="auto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三档（3 分）：技术负责人有中级及以上职称，持证专职安全员满足项 目要求，其他项目班子人员齐备、搭配合理，都有岗位证书，1 名及以上的人 员都具备中级及以上职称。</w:t>
            </w:r>
          </w:p>
          <w:p w14:paraId="6F568B0B">
            <w:pPr>
              <w:spacing w:line="360" w:lineRule="auto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四档（4 分）：技术负责人有中级及以上职称，持证专职安全员满足项目 要求，其他项目班子人员齐备、搭配合理，都有岗位证书，2 名及以上的人员 都具备中级及以上职称。</w:t>
            </w:r>
          </w:p>
        </w:tc>
        <w:tc>
          <w:tcPr>
            <w:tcW w:w="516" w:type="pct"/>
            <w:vAlign w:val="center"/>
          </w:tcPr>
          <w:p w14:paraId="5D81EB8C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</w:t>
            </w:r>
          </w:p>
        </w:tc>
      </w:tr>
      <w:tr w14:paraId="3A6D5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06" w:type="pct"/>
            <w:gridSpan w:val="2"/>
            <w:tcBorders>
              <w:right w:val="single" w:color="auto" w:sz="4" w:space="0"/>
            </w:tcBorders>
            <w:vAlign w:val="center"/>
          </w:tcPr>
          <w:p w14:paraId="17D0B76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</w:p>
        </w:tc>
        <w:tc>
          <w:tcPr>
            <w:tcW w:w="4177" w:type="pct"/>
            <w:gridSpan w:val="2"/>
            <w:tcBorders>
              <w:left w:val="single" w:color="auto" w:sz="4" w:space="0"/>
            </w:tcBorders>
            <w:vAlign w:val="center"/>
          </w:tcPr>
          <w:p w14:paraId="3E2AF75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商务分</w:t>
            </w:r>
          </w:p>
        </w:tc>
        <w:tc>
          <w:tcPr>
            <w:tcW w:w="516" w:type="pct"/>
            <w:vAlign w:val="center"/>
          </w:tcPr>
          <w:p w14:paraId="474E07F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30</w:t>
            </w:r>
          </w:p>
        </w:tc>
      </w:tr>
      <w:tr w14:paraId="7C843F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05" w:type="pct"/>
            <w:vAlign w:val="center"/>
          </w:tcPr>
          <w:p w14:paraId="0605184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2.1</w:t>
            </w:r>
          </w:p>
        </w:tc>
        <w:tc>
          <w:tcPr>
            <w:tcW w:w="750" w:type="pct"/>
            <w:gridSpan w:val="2"/>
            <w:vAlign w:val="center"/>
          </w:tcPr>
          <w:p w14:paraId="14552A8E">
            <w:pPr>
              <w:jc w:val="center"/>
              <w:rPr>
                <w:rFonts w:hint="eastAsia" w:eastAsia="宋体"/>
                <w:lang w:val="en-US" w:eastAsia="zh-CN"/>
              </w:rPr>
            </w:pPr>
          </w:p>
          <w:p w14:paraId="45AF7C2D">
            <w:pPr>
              <w:jc w:val="center"/>
              <w:rPr>
                <w:rFonts w:hint="eastAsia" w:eastAsia="宋体"/>
                <w:lang w:val="en-US" w:eastAsia="zh-CN"/>
              </w:rPr>
            </w:pPr>
          </w:p>
          <w:p w14:paraId="3D2AFE5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售后服务方案</w:t>
            </w:r>
          </w:p>
          <w:p w14:paraId="4E42682B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428" w:type="pct"/>
            <w:vAlign w:val="top"/>
          </w:tcPr>
          <w:p w14:paraId="26B2271F">
            <w:pPr>
              <w:spacing w:line="360" w:lineRule="auto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一档（5分）：售后服务方案较简单不切实际。不能满足项目要求。</w:t>
            </w:r>
          </w:p>
          <w:p w14:paraId="22239A5E">
            <w:pPr>
              <w:spacing w:line="360" w:lineRule="auto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二档（10 分）：投标人承诺的售后服务满足招标文件要求，投标人有相关技术服务、维护机构，有基本的维保方案（含技术培训、回访措施、维护措施、 耗材及备品备件优惠措施、维保人员配置等）。</w:t>
            </w:r>
          </w:p>
          <w:p w14:paraId="4230EEED">
            <w:pPr>
              <w:spacing w:line="360" w:lineRule="auto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三档（15 分）：投标人承诺的售后服务满足招标文件要求，投标人有相关技术服务、维护机构，有较完善的维保方案（含技术培训、回访措施、维护 措施、维保人员配置等）和可靠的服务响应体系；</w:t>
            </w:r>
          </w:p>
          <w:p w14:paraId="16C08192">
            <w:pPr>
              <w:spacing w:line="360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四档（20 分）：投标人承诺的售后服务满足招标文件要求，投标人有相关 技术服务、维护机构，有完善的维保方案（含技术培训、回访措施、维护措 施、耗材及备品备件优惠措施、维保人员配置等）和可靠的服务响应体系（含 接到通知到达时现场处理故障时间、一般故障承诺解决时间、故障无法排除 时的解决方案等）。接到故障立即响应，到达现场处理时间4 小时内。</w:t>
            </w:r>
          </w:p>
        </w:tc>
        <w:tc>
          <w:tcPr>
            <w:tcW w:w="516" w:type="pct"/>
            <w:vAlign w:val="center"/>
          </w:tcPr>
          <w:p w14:paraId="10794EA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</w:tr>
      <w:tr w14:paraId="665F98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05" w:type="pct"/>
            <w:vAlign w:val="center"/>
          </w:tcPr>
          <w:p w14:paraId="7F784611">
            <w:pPr>
              <w:jc w:val="center"/>
              <w:rPr>
                <w:rFonts w:hint="eastAsia" w:eastAsia="宋体"/>
                <w:lang w:val="en-US" w:eastAsia="zh-CN"/>
              </w:rPr>
            </w:pPr>
          </w:p>
          <w:p w14:paraId="0CB997A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2.2</w:t>
            </w:r>
          </w:p>
        </w:tc>
        <w:tc>
          <w:tcPr>
            <w:tcW w:w="750" w:type="pct"/>
            <w:gridSpan w:val="2"/>
            <w:vAlign w:val="center"/>
          </w:tcPr>
          <w:p w14:paraId="75BA21F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业绩分</w:t>
            </w:r>
          </w:p>
          <w:p w14:paraId="1F07E54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（客观分）</w:t>
            </w:r>
          </w:p>
        </w:tc>
        <w:tc>
          <w:tcPr>
            <w:tcW w:w="3428" w:type="pct"/>
            <w:vAlign w:val="top"/>
          </w:tcPr>
          <w:p w14:paraId="3017F6A3">
            <w:pPr>
              <w:spacing w:line="360" w:lineRule="auto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投标人 2023 年 1 月以来，有销售同类设备或承揽或完成过同类工程业绩 的，每 1 个项目得 2 分，满分 10 分（投标文件中提供合同或竣工验收证书复印 件）。</w:t>
            </w:r>
          </w:p>
        </w:tc>
        <w:tc>
          <w:tcPr>
            <w:tcW w:w="516" w:type="pct"/>
            <w:vAlign w:val="center"/>
          </w:tcPr>
          <w:p w14:paraId="4D89D4A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</w:tr>
      <w:tr w14:paraId="0BC1CC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5"/>
            <w:vAlign w:val="center"/>
          </w:tcPr>
          <w:p w14:paraId="0DA4E757"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总得分=1+2</w:t>
            </w:r>
          </w:p>
        </w:tc>
      </w:tr>
    </w:tbl>
    <w:p w14:paraId="7829CE67">
      <w:pPr>
        <w:widowControl w:val="0"/>
        <w:kinsoku/>
        <w:autoSpaceDE/>
        <w:autoSpaceDN/>
        <w:adjustRightInd/>
        <w:snapToGrid w:val="0"/>
        <w:spacing w:before="0" w:beforeAutospacing="0" w:after="0" w:afterAutospacing="0" w:line="360" w:lineRule="auto"/>
        <w:ind w:firstLine="420" w:firstLineChars="200"/>
        <w:jc w:val="both"/>
        <w:textAlignment w:val="baseline"/>
        <w:rPr>
          <w:rStyle w:val="33"/>
          <w:rFonts w:ascii="宋体" w:hAnsi="宋体" w:eastAsia="宋体" w:cs="Times New Roman"/>
          <w:b w:val="0"/>
          <w:i w:val="0"/>
          <w:caps w:val="0"/>
          <w:snapToGrid/>
          <w:color w:val="auto"/>
          <w:spacing w:val="0"/>
          <w:w w:val="100"/>
          <w:kern w:val="2"/>
          <w:sz w:val="21"/>
          <w:szCs w:val="24"/>
          <w:highlight w:val="none"/>
          <w:lang w:val="en-US" w:eastAsia="zh-CN" w:bidi="ar-SA"/>
        </w:rPr>
      </w:pPr>
    </w:p>
    <w:p w14:paraId="7954ADE5">
      <w:pPr>
        <w:widowControl w:val="0"/>
        <w:kinsoku/>
        <w:autoSpaceDE/>
        <w:autoSpaceDN/>
        <w:adjustRightInd/>
        <w:snapToGrid w:val="0"/>
        <w:spacing w:before="0" w:beforeAutospacing="0" w:after="0" w:afterAutospacing="0" w:line="360" w:lineRule="auto"/>
        <w:ind w:firstLine="420" w:firstLineChars="200"/>
        <w:jc w:val="both"/>
        <w:textAlignment w:val="baseline"/>
        <w:rPr>
          <w:rStyle w:val="33"/>
          <w:rFonts w:hint="eastAsia" w:ascii="宋体" w:hAnsi="宋体" w:eastAsia="宋体" w:cs="宋体"/>
          <w:b w:val="0"/>
          <w:i w:val="0"/>
          <w:caps w:val="0"/>
          <w:snapToGrid/>
          <w:color w:val="auto"/>
          <w:spacing w:val="0"/>
          <w:w w:val="100"/>
          <w:kern w:val="2"/>
          <w:sz w:val="21"/>
          <w:szCs w:val="24"/>
          <w:highlight w:val="none"/>
          <w:lang w:val="en-US" w:eastAsia="zh-CN" w:bidi="ar-SA"/>
        </w:rPr>
      </w:pPr>
      <w:r>
        <w:rPr>
          <w:rStyle w:val="33"/>
          <w:rFonts w:hint="eastAsia" w:ascii="宋体" w:hAnsi="宋体" w:eastAsia="宋体" w:cs="宋体"/>
          <w:b w:val="0"/>
          <w:i w:val="0"/>
          <w:caps w:val="0"/>
          <w:snapToGrid/>
          <w:color w:val="auto"/>
          <w:spacing w:val="0"/>
          <w:w w:val="100"/>
          <w:kern w:val="2"/>
          <w:sz w:val="21"/>
          <w:szCs w:val="24"/>
          <w:highlight w:val="none"/>
          <w:lang w:val="en-US" w:eastAsia="zh-CN" w:bidi="ar-SA"/>
        </w:rPr>
        <w:t>1商务技术评审因素为客观评分项的，应在评分项目或评分标准中予以标注为“客观分”。对供应商的客观评分项目，各评审专家评分应当一致。</w:t>
      </w:r>
    </w:p>
    <w:p w14:paraId="1E01AB94">
      <w:pPr>
        <w:widowControl w:val="0"/>
        <w:kinsoku/>
        <w:autoSpaceDE/>
        <w:autoSpaceDN/>
        <w:adjustRightInd/>
        <w:snapToGrid w:val="0"/>
        <w:spacing w:before="0" w:beforeAutospacing="0" w:after="0" w:afterAutospacing="0" w:line="360" w:lineRule="auto"/>
        <w:ind w:firstLine="420" w:firstLineChars="200"/>
        <w:jc w:val="both"/>
        <w:textAlignment w:val="baseline"/>
        <w:rPr>
          <w:rStyle w:val="33"/>
          <w:rFonts w:hint="eastAsia" w:ascii="宋体" w:hAnsi="宋体" w:eastAsia="宋体" w:cs="宋体"/>
          <w:b w:val="0"/>
          <w:i w:val="0"/>
          <w:caps w:val="0"/>
          <w:snapToGrid/>
          <w:color w:val="auto"/>
          <w:spacing w:val="0"/>
          <w:w w:val="100"/>
          <w:kern w:val="2"/>
          <w:sz w:val="21"/>
          <w:szCs w:val="24"/>
          <w:highlight w:val="none"/>
          <w:lang w:val="en-US" w:eastAsia="zh-CN" w:bidi="ar-SA"/>
        </w:rPr>
      </w:pPr>
      <w:r>
        <w:rPr>
          <w:rStyle w:val="33"/>
          <w:rFonts w:hint="eastAsia" w:ascii="宋体" w:hAnsi="宋体" w:eastAsia="宋体" w:cs="宋体"/>
          <w:b w:val="0"/>
          <w:i w:val="0"/>
          <w:caps w:val="0"/>
          <w:snapToGrid/>
          <w:color w:val="auto"/>
          <w:spacing w:val="0"/>
          <w:w w:val="100"/>
          <w:kern w:val="2"/>
          <w:sz w:val="21"/>
          <w:szCs w:val="24"/>
          <w:highlight w:val="none"/>
          <w:lang w:val="en-US" w:eastAsia="zh-CN" w:bidi="ar-SA"/>
        </w:rPr>
        <w:t>2</w:t>
      </w:r>
      <w:bookmarkStart w:id="2" w:name="_GoBack"/>
      <w:bookmarkEnd w:id="2"/>
      <w:r>
        <w:rPr>
          <w:rStyle w:val="33"/>
          <w:rFonts w:hint="eastAsia" w:ascii="宋体" w:hAnsi="宋体" w:eastAsia="宋体" w:cs="宋体"/>
          <w:b w:val="0"/>
          <w:i w:val="0"/>
          <w:caps w:val="0"/>
          <w:snapToGrid/>
          <w:color w:val="auto"/>
          <w:spacing w:val="0"/>
          <w:w w:val="100"/>
          <w:kern w:val="2"/>
          <w:sz w:val="21"/>
          <w:szCs w:val="24"/>
          <w:highlight w:val="none"/>
          <w:lang w:val="en-US" w:eastAsia="zh-CN" w:bidi="ar-SA"/>
        </w:rPr>
        <w:t>.终止竞争性磋商采购活动</w:t>
      </w:r>
    </w:p>
    <w:p w14:paraId="19DBD08E">
      <w:pPr>
        <w:widowControl w:val="0"/>
        <w:kinsoku/>
        <w:autoSpaceDE/>
        <w:autoSpaceDN/>
        <w:adjustRightInd/>
        <w:snapToGrid w:val="0"/>
        <w:spacing w:before="0" w:beforeAutospacing="0" w:after="0" w:afterAutospacing="0" w:line="360" w:lineRule="auto"/>
        <w:ind w:firstLine="420" w:firstLineChars="200"/>
        <w:jc w:val="both"/>
        <w:textAlignment w:val="baseline"/>
        <w:rPr>
          <w:rStyle w:val="33"/>
          <w:rFonts w:hint="eastAsia" w:ascii="宋体" w:hAnsi="宋体" w:eastAsia="宋体" w:cs="宋体"/>
          <w:b w:val="0"/>
          <w:i w:val="0"/>
          <w:caps w:val="0"/>
          <w:snapToGrid/>
          <w:color w:val="auto"/>
          <w:spacing w:val="0"/>
          <w:w w:val="100"/>
          <w:kern w:val="2"/>
          <w:sz w:val="21"/>
          <w:szCs w:val="24"/>
          <w:highlight w:val="none"/>
          <w:lang w:val="en-US" w:eastAsia="zh-CN" w:bidi="ar-SA"/>
        </w:rPr>
      </w:pPr>
      <w:r>
        <w:rPr>
          <w:rStyle w:val="33"/>
          <w:rFonts w:hint="eastAsia" w:ascii="宋体" w:hAnsi="宋体" w:eastAsia="宋体" w:cs="宋体"/>
          <w:b w:val="0"/>
          <w:i w:val="0"/>
          <w:caps w:val="0"/>
          <w:snapToGrid/>
          <w:color w:val="auto"/>
          <w:spacing w:val="0"/>
          <w:w w:val="100"/>
          <w:kern w:val="2"/>
          <w:sz w:val="21"/>
          <w:szCs w:val="24"/>
          <w:highlight w:val="none"/>
          <w:lang w:val="en-US" w:eastAsia="zh-CN" w:bidi="ar-SA"/>
        </w:rPr>
        <w:t>磋商小组发现竞争性磋商文件存在歧义、重大缺陷导致评审工作无法进行，或者竞争性磋商文件内容违反国家有关规定的，要停止评审工作并向采购人或采购代理机构书面说明情况，采购人应当修改竞争性磋商文件后重新组织采购活动；发现供应商提供虚假材料、串通等违法违规行为的，要及时向采购人报告。</w:t>
      </w:r>
    </w:p>
    <w:sectPr>
      <w:headerReference r:id="rId5" w:type="default"/>
      <w:footerReference r:id="rId6" w:type="default"/>
      <w:pgSz w:w="11906" w:h="16839"/>
      <w:pgMar w:top="960" w:right="1134" w:bottom="1091" w:left="1134" w:header="567" w:footer="73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13454">
    <w:pPr>
      <w:pStyle w:val="1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3B7F3C">
                          <w:pPr>
                            <w:pStyle w:val="1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3B7F3C">
                    <w:pPr>
                      <w:pStyle w:val="1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E9E70">
    <w:pPr>
      <w:pStyle w:val="17"/>
      <w:jc w:val="center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项目编号：</w:t>
    </w:r>
    <w:r>
      <w:rPr>
        <w:rFonts w:hint="eastAsia"/>
      </w:rPr>
      <w:t>GC202507034</w:t>
    </w:r>
  </w:p>
  <w:p w14:paraId="3DB8A911">
    <w:pPr>
      <w:pStyle w:val="1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47625</wp:posOffset>
              </wp:positionH>
              <wp:positionV relativeFrom="paragraph">
                <wp:posOffset>75565</wp:posOffset>
              </wp:positionV>
              <wp:extent cx="6047740" cy="635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137285" y="861060"/>
                        <a:ext cx="6047740" cy="63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prstClr val="black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3.75pt;margin-top:5.95pt;height:0.05pt;width:476.2pt;z-index:251660288;mso-width-relative:page;mso-height-relative:page;" filled="f" stroked="t" coordsize="21600,21600" o:gfxdata="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BGWT/UAAAABwEAAA8AAAAAAAAAAQAgAAAAIgAAAGRycy9kb3ducmV2LnhtbFBLAQIU&#10;ABQAAAAIAIdO4kC1X4359wEAAMgDAAAOAAAAAAAAAAEAIAAAACMBAABkcnMvZTJvRG9jLnhtbFBL&#10;BQYAAAAABgAGAFkBAACMBQAAAAA=&#10;">
              <v:fill on="f" focussize="0,0"/>
              <v:stroke weight="1pt" color="#000000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5114EDC"/>
    <w:rsid w:val="0DBC115B"/>
    <w:rsid w:val="16711C1A"/>
    <w:rsid w:val="182E59D5"/>
    <w:rsid w:val="19BE4D52"/>
    <w:rsid w:val="1E8160BE"/>
    <w:rsid w:val="1EE5621C"/>
    <w:rsid w:val="21394689"/>
    <w:rsid w:val="27060656"/>
    <w:rsid w:val="30355402"/>
    <w:rsid w:val="34E103AE"/>
    <w:rsid w:val="36804603"/>
    <w:rsid w:val="3AC04D4C"/>
    <w:rsid w:val="4A9401EE"/>
    <w:rsid w:val="4FBF7ABB"/>
    <w:rsid w:val="565C27A3"/>
    <w:rsid w:val="569C6DA8"/>
    <w:rsid w:val="56BA4D1A"/>
    <w:rsid w:val="5DDB0D13"/>
    <w:rsid w:val="5FEE6B72"/>
    <w:rsid w:val="62152997"/>
    <w:rsid w:val="6BFB1E1B"/>
    <w:rsid w:val="71613894"/>
    <w:rsid w:val="78D651EE"/>
    <w:rsid w:val="79275E06"/>
    <w:rsid w:val="7DF4603C"/>
    <w:rsid w:val="7FD44FC5"/>
    <w:rsid w:val="7FFC42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next w:val="1"/>
    <w:qFormat/>
    <w:uiPriority w:val="0"/>
    <w:pPr>
      <w:widowControl w:val="0"/>
      <w:adjustRightInd w:val="0"/>
      <w:spacing w:before="320" w:line="300" w:lineRule="auto"/>
      <w:jc w:val="both"/>
      <w:outlineLvl w:val="0"/>
    </w:pPr>
    <w:rPr>
      <w:rFonts w:ascii="Times New Roman" w:hAnsi="Times New Roman" w:eastAsia="黑体" w:cs="Times New Roman"/>
      <w:color w:val="000000"/>
      <w:kern w:val="44"/>
      <w:sz w:val="32"/>
      <w:szCs w:val="44"/>
      <w:lang w:bidi="ar-SA"/>
    </w:rPr>
  </w:style>
  <w:style w:type="paragraph" w:styleId="3">
    <w:name w:val="heading 2"/>
    <w:next w:val="1"/>
    <w:unhideWhenUsed/>
    <w:qFormat/>
    <w:uiPriority w:val="0"/>
    <w:pPr>
      <w:widowControl w:val="0"/>
      <w:adjustRightInd w:val="0"/>
      <w:spacing w:before="280" w:line="300" w:lineRule="auto"/>
      <w:jc w:val="both"/>
      <w:outlineLvl w:val="1"/>
    </w:pPr>
    <w:rPr>
      <w:rFonts w:ascii="Times New Roman" w:hAnsi="Times New Roman" w:eastAsia="黑体" w:cs="Times New Roman"/>
      <w:kern w:val="2"/>
      <w:sz w:val="30"/>
      <w:szCs w:val="32"/>
      <w:lang w:bidi="ar-SA"/>
    </w:rPr>
  </w:style>
  <w:style w:type="paragraph" w:styleId="4">
    <w:name w:val="heading 3"/>
    <w:next w:val="1"/>
    <w:unhideWhenUsed/>
    <w:qFormat/>
    <w:uiPriority w:val="0"/>
    <w:pPr>
      <w:keepNext/>
      <w:keepLines/>
      <w:widowControl w:val="0"/>
      <w:adjustRightInd w:val="0"/>
      <w:spacing w:before="240" w:line="300" w:lineRule="auto"/>
      <w:jc w:val="both"/>
      <w:outlineLvl w:val="2"/>
    </w:pPr>
    <w:rPr>
      <w:rFonts w:ascii="Times New Roman" w:hAnsi="Times New Roman" w:eastAsia="黑体" w:cs="Times New Roman"/>
      <w:kern w:val="2"/>
      <w:sz w:val="30"/>
      <w:szCs w:val="24"/>
      <w:lang w:bidi="ar-SA"/>
    </w:rPr>
  </w:style>
  <w:style w:type="paragraph" w:styleId="5">
    <w:name w:val="heading 4"/>
    <w:next w:val="1"/>
    <w:unhideWhenUsed/>
    <w:qFormat/>
    <w:uiPriority w:val="0"/>
    <w:pPr>
      <w:keepNext/>
      <w:keepLines/>
      <w:widowControl w:val="0"/>
      <w:adjustRightInd w:val="0"/>
      <w:spacing w:before="200" w:line="300" w:lineRule="auto"/>
      <w:jc w:val="both"/>
      <w:outlineLvl w:val="3"/>
    </w:pPr>
    <w:rPr>
      <w:rFonts w:ascii="Times New Roman" w:hAnsi="Times New Roman" w:eastAsia="黑体" w:cs="Times New Roman"/>
      <w:bCs/>
      <w:kern w:val="2"/>
      <w:sz w:val="28"/>
      <w:szCs w:val="28"/>
      <w:lang w:bidi="ar-SA"/>
    </w:rPr>
  </w:style>
  <w:style w:type="paragraph" w:styleId="6">
    <w:name w:val="heading 5"/>
    <w:next w:val="1"/>
    <w:unhideWhenUsed/>
    <w:qFormat/>
    <w:uiPriority w:val="0"/>
    <w:pPr>
      <w:keepNext/>
      <w:keepLines/>
      <w:widowControl w:val="0"/>
      <w:adjustRightInd w:val="0"/>
      <w:spacing w:before="160" w:line="300" w:lineRule="auto"/>
      <w:jc w:val="both"/>
      <w:outlineLvl w:val="4"/>
    </w:pPr>
    <w:rPr>
      <w:rFonts w:ascii="Times New Roman" w:hAnsi="Times New Roman" w:eastAsia="黑体" w:cs="Times New Roman"/>
      <w:bCs/>
      <w:kern w:val="2"/>
      <w:sz w:val="28"/>
      <w:szCs w:val="28"/>
      <w:lang w:bidi="ar-SA"/>
    </w:rPr>
  </w:style>
  <w:style w:type="paragraph" w:styleId="7">
    <w:name w:val="heading 6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5"/>
    </w:pPr>
    <w:rPr>
      <w:rFonts w:ascii="Times New Roman" w:hAnsi="Times New Roman" w:eastAsia="黑体" w:cs="Times New Roman"/>
      <w:bCs/>
      <w:kern w:val="2"/>
      <w:sz w:val="28"/>
      <w:szCs w:val="24"/>
      <w:lang w:bidi="ar-SA"/>
    </w:rPr>
  </w:style>
  <w:style w:type="paragraph" w:styleId="8">
    <w:name w:val="heading 7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6"/>
    </w:pPr>
    <w:rPr>
      <w:rFonts w:ascii="Times New Roman" w:hAnsi="Times New Roman" w:eastAsia="黑体" w:cs="Times New Roman"/>
      <w:bCs/>
      <w:kern w:val="2"/>
      <w:sz w:val="24"/>
      <w:szCs w:val="24"/>
      <w:lang w:bidi="ar-SA"/>
    </w:rPr>
  </w:style>
  <w:style w:type="paragraph" w:styleId="9">
    <w:name w:val="heading 8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7"/>
    </w:pPr>
    <w:rPr>
      <w:rFonts w:ascii="Times New Roman" w:hAnsi="Times New Roman" w:eastAsia="黑体" w:cs="Times New Roman"/>
      <w:kern w:val="2"/>
      <w:sz w:val="24"/>
      <w:szCs w:val="24"/>
      <w:lang w:bidi="ar-SA"/>
    </w:rPr>
  </w:style>
  <w:style w:type="paragraph" w:styleId="10">
    <w:name w:val="heading 9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8"/>
    </w:pPr>
    <w:rPr>
      <w:rFonts w:ascii="Times New Roman" w:hAnsi="Times New Roman" w:eastAsia="黑体" w:cs="Times New Roman"/>
      <w:kern w:val="2"/>
      <w:sz w:val="21"/>
      <w:szCs w:val="21"/>
      <w:lang w:bidi="ar-SA"/>
    </w:rPr>
  </w:style>
  <w:style w:type="character" w:default="1" w:styleId="22">
    <w:name w:val="Default Paragraph Font"/>
    <w:semiHidden/>
    <w:qFormat/>
    <w:uiPriority w:val="0"/>
  </w:style>
  <w:style w:type="table" w:default="1" w:styleId="2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index 8"/>
    <w:basedOn w:val="1"/>
    <w:next w:val="1"/>
    <w:qFormat/>
    <w:uiPriority w:val="0"/>
    <w:pPr>
      <w:ind w:left="1680" w:hanging="210"/>
      <w:jc w:val="left"/>
    </w:pPr>
  </w:style>
  <w:style w:type="paragraph" w:styleId="12">
    <w:name w:val="Normal Indent"/>
    <w:basedOn w:val="1"/>
    <w:qFormat/>
    <w:uiPriority w:val="99"/>
    <w:pPr>
      <w:ind w:firstLine="420" w:firstLineChars="200"/>
    </w:pPr>
  </w:style>
  <w:style w:type="paragraph" w:styleId="13">
    <w:name w:val="annotation text"/>
    <w:basedOn w:val="1"/>
    <w:qFormat/>
    <w:uiPriority w:val="0"/>
    <w:pPr>
      <w:jc w:val="left"/>
    </w:pPr>
  </w:style>
  <w:style w:type="paragraph" w:styleId="14">
    <w:name w:val="Body Text"/>
    <w:semiHidden/>
    <w:qFormat/>
    <w:uiPriority w:val="0"/>
    <w:pPr>
      <w:widowControl w:val="0"/>
      <w:adjustRightInd w:val="0"/>
      <w:spacing w:before="100" w:after="100" w:afterLines="0" w:afterAutospacing="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bidi="ar-SA"/>
    </w:rPr>
  </w:style>
  <w:style w:type="paragraph" w:styleId="15">
    <w:name w:val="Plain Text"/>
    <w:basedOn w:val="1"/>
    <w:next w:val="11"/>
    <w:qFormat/>
    <w:uiPriority w:val="0"/>
    <w:rPr>
      <w:rFonts w:ascii="宋体" w:hAnsi="Courier New"/>
      <w:kern w:val="0"/>
      <w:sz w:val="20"/>
      <w:szCs w:val="21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8">
    <w:name w:val="Subtitle"/>
    <w:next w:val="1"/>
    <w:qFormat/>
    <w:uiPriority w:val="11"/>
    <w:pPr>
      <w:widowControl w:val="0"/>
      <w:adjustRightInd w:val="0"/>
      <w:spacing w:before="100" w:after="100" w:line="240" w:lineRule="auto"/>
      <w:jc w:val="center"/>
      <w:outlineLvl w:val="9"/>
    </w:pPr>
    <w:rPr>
      <w:rFonts w:ascii="Times New Roman" w:hAnsi="Times New Roman" w:eastAsia="黑体" w:cs="Times New Roman"/>
      <w:kern w:val="28"/>
      <w:sz w:val="32"/>
      <w:szCs w:val="24"/>
      <w:lang w:bidi="ar-SA"/>
    </w:rPr>
  </w:style>
  <w:style w:type="paragraph" w:styleId="1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0">
    <w:name w:val="Title"/>
    <w:qFormat/>
    <w:uiPriority w:val="0"/>
    <w:pPr>
      <w:widowControl w:val="0"/>
      <w:adjustRightInd w:val="0"/>
      <w:spacing w:before="100" w:beforeAutospacing="0" w:after="100" w:afterAutospacing="0" w:line="240" w:lineRule="auto"/>
      <w:jc w:val="center"/>
      <w:outlineLvl w:val="9"/>
    </w:pPr>
    <w:rPr>
      <w:rFonts w:ascii="Times New Roman" w:hAnsi="Times New Roman" w:eastAsia="黑体" w:cs="Times New Roman"/>
      <w:kern w:val="2"/>
      <w:sz w:val="36"/>
      <w:szCs w:val="24"/>
      <w:lang w:bidi="ar-SA"/>
    </w:rPr>
  </w:style>
  <w:style w:type="table" w:customStyle="1" w:styleId="2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表图名称-蔡"/>
    <w:basedOn w:val="1"/>
    <w:qFormat/>
    <w:uiPriority w:val="0"/>
    <w:pPr>
      <w:snapToGrid w:val="0"/>
      <w:spacing w:line="360" w:lineRule="auto"/>
      <w:jc w:val="center"/>
    </w:pPr>
    <w:rPr>
      <w:rFonts w:ascii="Times New Roman" w:hAnsi="Times New Roman" w:eastAsia="宋体" w:cs="Times New Roman"/>
      <w:b/>
      <w:bCs/>
      <w:color w:val="000000"/>
      <w:szCs w:val="21"/>
    </w:rPr>
  </w:style>
  <w:style w:type="paragraph" w:customStyle="1" w:styleId="28">
    <w:name w:val="附录标题"/>
    <w:next w:val="1"/>
    <w:qFormat/>
    <w:uiPriority w:val="0"/>
    <w:pPr>
      <w:widowControl w:val="0"/>
      <w:adjustRightInd w:val="0"/>
      <w:spacing w:before="100" w:after="100" w:line="360" w:lineRule="auto"/>
      <w:jc w:val="both"/>
      <w:outlineLvl w:val="0"/>
    </w:pPr>
    <w:rPr>
      <w:rFonts w:ascii="Times New Roman" w:hAnsi="Times New Roman" w:eastAsia="黑体" w:cs="Times New Roman"/>
      <w:color w:val="000000"/>
      <w:kern w:val="44"/>
      <w:sz w:val="36"/>
      <w:szCs w:val="44"/>
      <w:lang w:bidi="ar-SA"/>
    </w:rPr>
  </w:style>
  <w:style w:type="paragraph" w:customStyle="1" w:styleId="29">
    <w:name w:val="章标题"/>
    <w:next w:val="1"/>
    <w:qFormat/>
    <w:uiPriority w:val="0"/>
    <w:pPr>
      <w:widowControl w:val="0"/>
      <w:adjustRightInd w:val="0"/>
      <w:spacing w:before="100" w:after="100" w:line="360" w:lineRule="auto"/>
      <w:jc w:val="center"/>
      <w:outlineLvl w:val="0"/>
    </w:pPr>
    <w:rPr>
      <w:rFonts w:ascii="Times New Roman" w:hAnsi="Times New Roman" w:eastAsia="黑体" w:cs="Times New Roman"/>
      <w:kern w:val="44"/>
      <w:sz w:val="36"/>
      <w:szCs w:val="44"/>
      <w:lang w:bidi="ar-SA"/>
    </w:rPr>
  </w:style>
  <w:style w:type="paragraph" w:customStyle="1" w:styleId="30">
    <w:name w:val="文档说明标题"/>
    <w:next w:val="1"/>
    <w:qFormat/>
    <w:uiPriority w:val="0"/>
    <w:pPr>
      <w:widowControl w:val="0"/>
      <w:adjustRightInd w:val="0"/>
      <w:spacing w:before="100" w:after="100" w:line="240" w:lineRule="auto"/>
      <w:jc w:val="center"/>
      <w:outlineLvl w:val="9"/>
    </w:pPr>
    <w:rPr>
      <w:rFonts w:ascii="Times New Roman" w:hAnsi="Times New Roman" w:eastAsia="黑体" w:cs="Times New Roman"/>
      <w:kern w:val="2"/>
      <w:sz w:val="52"/>
      <w:szCs w:val="52"/>
      <w:lang w:bidi="ar-SA"/>
    </w:rPr>
  </w:style>
  <w:style w:type="paragraph" w:customStyle="1" w:styleId="31">
    <w:name w:val="题注1"/>
    <w:next w:val="1"/>
    <w:qFormat/>
    <w:uiPriority w:val="0"/>
    <w:pPr>
      <w:widowControl w:val="0"/>
      <w:adjustRightInd w:val="0"/>
      <w:spacing w:before="240" w:after="120" w:line="288" w:lineRule="auto"/>
      <w:jc w:val="center"/>
    </w:pPr>
    <w:rPr>
      <w:rFonts w:ascii="Times New Roman" w:hAnsi="Times New Roman" w:eastAsia="宋体" w:cs="宋体"/>
      <w:kern w:val="2"/>
      <w:sz w:val="24"/>
      <w:szCs w:val="22"/>
      <w:lang w:bidi="ar-SA"/>
    </w:rPr>
  </w:style>
  <w:style w:type="paragraph" w:customStyle="1" w:styleId="32">
    <w:name w:val="Heading2"/>
    <w:next w:val="1"/>
    <w:qFormat/>
    <w:uiPriority w:val="0"/>
    <w:pPr>
      <w:keepNext/>
      <w:keepLines/>
      <w:widowControl w:val="0"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3">
    <w:name w:val="NormalCharacter"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34">
    <w:name w:val="UserStyle_35"/>
    <w:qFormat/>
    <w:uiPriority w:val="0"/>
    <w:pPr>
      <w:widowControl w:val="0"/>
      <w:spacing w:before="156" w:line="360" w:lineRule="auto"/>
      <w:ind w:firstLine="510" w:firstLineChars="200"/>
      <w:jc w:val="both"/>
      <w:textAlignment w:val="baseline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2334</Words>
  <Characters>2377</Characters>
  <TotalTime>3</TotalTime>
  <ScaleCrop>false</ScaleCrop>
  <LinksUpToDate>false</LinksUpToDate>
  <CharactersWithSpaces>2457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2025-01-20T15:34:00Z</dcterms:created>
  <dc:creator>丁琳</dc:creator>
  <cp:lastModifiedBy>非你所思</cp:lastModifiedBy>
  <dcterms:modified xsi:type="dcterms:W3CDTF">2025-07-11T08:17:36Z</dcterms:modified>
  <dc:title>南财采管〔2012〕3号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2025-06-19T16:22:46Z</vt:filetime>
  </property>
  <property fmtid="{D5CDD505-2E9C-101B-9397-08002B2CF9AE}" pid="4" name="KSOTemplateDocerSaveRecord">
    <vt:lpwstr>eyJoZGlkIjoiNWU3NDY4MzM3OGNiMmI0YzY2NTg0YmZkZDY5ODNlY2QiLCJ1c2VySWQiOiI5OTM2NzA5NzMifQ==</vt:lpwstr>
  </property>
  <property fmtid="{D5CDD505-2E9C-101B-9397-08002B2CF9AE}" pid="5" name="KSOProductBuildVer">
    <vt:lpwstr>2052-12.1.0.21915</vt:lpwstr>
  </property>
  <property fmtid="{D5CDD505-2E9C-101B-9397-08002B2CF9AE}" pid="6" name="ICV">
    <vt:lpwstr>2816231641814E1EBAA4B21E1FAFA8F5_13</vt:lpwstr>
  </property>
</Properties>
</file>