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330EF">
      <w:pPr>
        <w:spacing w:line="240" w:lineRule="auto"/>
        <w:jc w:val="center"/>
        <w:rPr>
          <w:rFonts w:hint="eastAsia" w:ascii="宋体" w:hAnsi="宋体" w:eastAsia="宋体" w:cs="宋体"/>
          <w:b/>
          <w:bCs/>
          <w:color w:val="auto"/>
          <w:kern w:val="28"/>
          <w:sz w:val="36"/>
          <w:szCs w:val="36"/>
          <w:lang w:val="en-US" w:eastAsia="zh-CN"/>
        </w:rPr>
      </w:pPr>
      <w:r>
        <w:rPr>
          <w:rFonts w:hint="eastAsia" w:ascii="宋体" w:hAnsi="宋体" w:eastAsia="宋体" w:cs="宋体"/>
          <w:b/>
          <w:bCs/>
          <w:color w:val="auto"/>
          <w:kern w:val="28"/>
          <w:sz w:val="36"/>
          <w:szCs w:val="36"/>
          <w:lang w:val="en-US" w:eastAsia="zh-CN"/>
        </w:rPr>
        <w:t>九江彭信港务有限公司九江港彭泽港区矶山作业区彭信公用化工品码头工程前期咨询及设计项目</w:t>
      </w:r>
    </w:p>
    <w:p w14:paraId="292BC0F8">
      <w:pPr>
        <w:spacing w:line="240" w:lineRule="auto"/>
        <w:jc w:val="center"/>
        <w:rPr>
          <w:rFonts w:hint="eastAsia" w:ascii="宋体" w:hAnsi="宋体" w:eastAsia="宋体" w:cs="宋体"/>
          <w:b/>
          <w:bCs/>
          <w:color w:val="auto"/>
          <w:kern w:val="28"/>
          <w:sz w:val="28"/>
          <w:szCs w:val="28"/>
          <w:lang w:val="en-US" w:eastAsia="zh-CN"/>
        </w:rPr>
      </w:pPr>
      <w:r>
        <w:rPr>
          <w:rFonts w:hint="eastAsia" w:ascii="宋体" w:hAnsi="宋体" w:eastAsia="宋体" w:cs="宋体"/>
          <w:b/>
          <w:bCs/>
          <w:color w:val="auto"/>
          <w:kern w:val="28"/>
          <w:sz w:val="36"/>
          <w:szCs w:val="36"/>
          <w:lang w:val="en-US" w:eastAsia="zh-CN"/>
        </w:rPr>
        <w:t>关键内容公开</w:t>
      </w:r>
      <w:bookmarkStart w:id="78" w:name="_GoBack"/>
      <w:bookmarkEnd w:id="78"/>
    </w:p>
    <w:p w14:paraId="7E4B0D4A">
      <w:pPr>
        <w:pStyle w:val="3"/>
        <w:spacing w:line="240" w:lineRule="auto"/>
        <w:rPr>
          <w:rFonts w:hint="eastAsia" w:ascii="宋体" w:hAnsi="宋体" w:eastAsia="宋体" w:cs="宋体"/>
          <w:b/>
          <w:bCs/>
          <w:color w:val="auto"/>
          <w:kern w:val="2"/>
          <w:sz w:val="32"/>
          <w:szCs w:val="32"/>
          <w:highlight w:val="none"/>
          <w:lang w:val="en-US" w:eastAsia="zh-CN" w:bidi="ar-SA"/>
        </w:rPr>
      </w:pPr>
    </w:p>
    <w:p w14:paraId="66BC2B61">
      <w:pPr>
        <w:pStyle w:val="3"/>
        <w:spacing w:line="240" w:lineRule="auto"/>
        <w:rPr>
          <w:rFonts w:hint="eastAsia" w:ascii="宋体" w:hAnsi="宋体" w:eastAsia="宋体" w:cs="宋体"/>
          <w:color w:val="auto"/>
          <w:sz w:val="32"/>
          <w:szCs w:val="32"/>
          <w:highlight w:val="none"/>
        </w:rPr>
      </w:pPr>
      <w:r>
        <w:rPr>
          <w:rFonts w:hint="eastAsia" w:ascii="宋体" w:hAnsi="宋体" w:eastAsia="宋体" w:cs="宋体"/>
          <w:b/>
          <w:bCs/>
          <w:color w:val="auto"/>
          <w:kern w:val="2"/>
          <w:sz w:val="32"/>
          <w:szCs w:val="32"/>
          <w:highlight w:val="none"/>
          <w:lang w:val="en-US" w:eastAsia="zh-CN" w:bidi="ar-SA"/>
        </w:rPr>
        <w:t>评标办法（综合评估法）</w:t>
      </w:r>
    </w:p>
    <w:p w14:paraId="52C00FC9">
      <w:pPr>
        <w:pStyle w:val="4"/>
        <w:autoSpaceDE/>
        <w:autoSpaceDN/>
        <w:spacing w:line="240" w:lineRule="auto"/>
        <w:ind w:left="0" w:leftChars="0" w:firstLine="0" w:firstLineChars="0"/>
        <w:jc w:val="center"/>
        <w:rPr>
          <w:rFonts w:hint="eastAsia" w:ascii="宋体" w:hAnsi="宋体" w:eastAsia="宋体" w:cs="宋体"/>
          <w:color w:val="auto"/>
          <w:sz w:val="32"/>
          <w:szCs w:val="32"/>
          <w:highlight w:val="none"/>
        </w:rPr>
      </w:pPr>
      <w:bookmarkStart w:id="0" w:name="评标办法前附表"/>
      <w:bookmarkEnd w:id="0"/>
      <w:bookmarkStart w:id="1" w:name="_bookmark11"/>
      <w:bookmarkEnd w:id="1"/>
      <w:bookmarkStart w:id="2" w:name="_Toc16968"/>
      <w:bookmarkStart w:id="3" w:name="_Toc4097"/>
      <w:bookmarkStart w:id="4" w:name="_Toc28879"/>
      <w:bookmarkStart w:id="5" w:name="_Toc2660"/>
      <w:bookmarkStart w:id="6" w:name="_Toc10652"/>
      <w:bookmarkStart w:id="7" w:name="_Toc26044"/>
      <w:r>
        <w:rPr>
          <w:rFonts w:hint="eastAsia" w:ascii="宋体" w:hAnsi="宋体" w:eastAsia="宋体" w:cs="宋体"/>
          <w:color w:val="auto"/>
          <w:sz w:val="32"/>
          <w:szCs w:val="32"/>
          <w:highlight w:val="none"/>
        </w:rPr>
        <w:t>评标办法前附表</w:t>
      </w:r>
      <w:bookmarkEnd w:id="2"/>
      <w:bookmarkEnd w:id="3"/>
      <w:bookmarkEnd w:id="4"/>
      <w:bookmarkEnd w:id="5"/>
      <w:bookmarkEnd w:id="6"/>
      <w:bookmarkEnd w:id="7"/>
    </w:p>
    <w:tbl>
      <w:tblPr>
        <w:tblStyle w:val="10"/>
        <w:tblW w:w="9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35"/>
        <w:gridCol w:w="835"/>
        <w:gridCol w:w="1738"/>
        <w:gridCol w:w="5360"/>
      </w:tblGrid>
      <w:tr w14:paraId="49712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gridSpan w:val="3"/>
            <w:tcBorders>
              <w:tl2br w:val="nil"/>
              <w:tr2bl w:val="nil"/>
            </w:tcBorders>
            <w:vAlign w:val="center"/>
          </w:tcPr>
          <w:p w14:paraId="467DC6A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条款号</w:t>
            </w:r>
          </w:p>
        </w:tc>
        <w:tc>
          <w:tcPr>
            <w:tcW w:w="7098" w:type="dxa"/>
            <w:gridSpan w:val="2"/>
            <w:tcBorders>
              <w:tl2br w:val="nil"/>
              <w:tr2bl w:val="nil"/>
            </w:tcBorders>
            <w:vAlign w:val="center"/>
          </w:tcPr>
          <w:p w14:paraId="34DF260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评审因素和评审标准</w:t>
            </w:r>
          </w:p>
        </w:tc>
      </w:tr>
      <w:tr w14:paraId="11500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Borders>
              <w:tl2br w:val="nil"/>
              <w:tr2bl w:val="nil"/>
            </w:tcBorders>
            <w:vAlign w:val="center"/>
          </w:tcPr>
          <w:p w14:paraId="63C7736E">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0" w:type="dxa"/>
            <w:gridSpan w:val="2"/>
            <w:tcBorders>
              <w:tl2br w:val="nil"/>
              <w:tr2bl w:val="nil"/>
            </w:tcBorders>
            <w:vAlign w:val="center"/>
          </w:tcPr>
          <w:p w14:paraId="68B832F2">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7098" w:type="dxa"/>
            <w:gridSpan w:val="2"/>
            <w:tcBorders>
              <w:tl2br w:val="nil"/>
              <w:tr2bl w:val="nil"/>
            </w:tcBorders>
            <w:vAlign w:val="center"/>
          </w:tcPr>
          <w:p w14:paraId="42E44EDE">
            <w:pPr>
              <w:pStyle w:val="12"/>
              <w:tabs>
                <w:tab w:val="left" w:pos="662"/>
              </w:tabs>
              <w:spacing w:line="440" w:lineRule="exact"/>
              <w:ind w:left="14" w:firstLine="473"/>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采用综合</w:t>
            </w:r>
            <w:r>
              <w:rPr>
                <w:rFonts w:hint="eastAsia" w:ascii="宋体" w:hAnsi="宋体" w:eastAsia="宋体" w:cs="宋体"/>
                <w:color w:val="auto"/>
                <w:sz w:val="24"/>
                <w:szCs w:val="24"/>
                <w:highlight w:val="none"/>
                <w:lang w:val="en-US" w:eastAsia="zh-CN"/>
              </w:rPr>
              <w:t>评估</w:t>
            </w:r>
            <w:r>
              <w:rPr>
                <w:rFonts w:hint="eastAsia" w:ascii="宋体" w:hAnsi="宋体" w:eastAsia="宋体" w:cs="宋体"/>
                <w:color w:val="auto"/>
                <w:sz w:val="24"/>
                <w:szCs w:val="24"/>
                <w:highlight w:val="none"/>
                <w:lang w:val="en-US"/>
              </w:rPr>
              <w:t>法。评标委员会对满足招标文件实质性要求的投标文件，按照本章规定的评分标准进行打分，按综合得分由高到低顺序排名推荐中标候选人。综合评分相等时，评标委员会依次按照以下顺序推荐中标候选人或确定中标人：</w:t>
            </w:r>
          </w:p>
          <w:p w14:paraId="67743148">
            <w:pPr>
              <w:pStyle w:val="12"/>
              <w:tabs>
                <w:tab w:val="left" w:pos="662"/>
              </w:tabs>
              <w:spacing w:line="440" w:lineRule="exact"/>
              <w:ind w:left="14" w:firstLine="473"/>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（1）评标价低的投标人优先；</w:t>
            </w:r>
          </w:p>
          <w:p w14:paraId="1EF78AD5">
            <w:pPr>
              <w:pStyle w:val="12"/>
              <w:tabs>
                <w:tab w:val="left" w:pos="662"/>
              </w:tabs>
              <w:spacing w:line="440" w:lineRule="exact"/>
              <w:ind w:left="14" w:firstLine="473"/>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（2）江西省交通运输厅发布的</w:t>
            </w:r>
            <w:r>
              <w:rPr>
                <w:rFonts w:hint="eastAsia" w:ascii="宋体" w:hAnsi="宋体" w:eastAsia="宋体" w:cs="宋体"/>
                <w:color w:val="auto"/>
                <w:sz w:val="24"/>
                <w:szCs w:val="24"/>
                <w:highlight w:val="none"/>
                <w:lang w:val="en-US" w:eastAsia="zh-CN"/>
              </w:rPr>
              <w:t>2024年度全省水运工程设计、施工和监理信用评价</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水运工程</w:t>
            </w:r>
            <w:r>
              <w:rPr>
                <w:rFonts w:hint="eastAsia" w:ascii="宋体" w:hAnsi="宋体" w:eastAsia="宋体" w:cs="宋体"/>
                <w:color w:val="auto"/>
                <w:sz w:val="24"/>
                <w:szCs w:val="24"/>
                <w:highlight w:val="none"/>
                <w:lang w:val="en-US"/>
              </w:rPr>
              <w:t>设计企业）中</w:t>
            </w:r>
            <w:r>
              <w:rPr>
                <w:rFonts w:hint="eastAsia" w:ascii="宋体" w:hAnsi="宋体" w:eastAsia="宋体" w:cs="宋体"/>
                <w:color w:val="auto"/>
                <w:sz w:val="24"/>
                <w:szCs w:val="24"/>
                <w:highlight w:val="none"/>
                <w:lang w:val="en-US" w:eastAsia="zh-CN"/>
              </w:rPr>
              <w:t>等级</w:t>
            </w:r>
            <w:r>
              <w:rPr>
                <w:rFonts w:hint="eastAsia" w:ascii="宋体" w:hAnsi="宋体" w:eastAsia="宋体" w:cs="宋体"/>
                <w:color w:val="auto"/>
                <w:sz w:val="24"/>
                <w:szCs w:val="24"/>
                <w:highlight w:val="none"/>
                <w:lang w:val="en-US"/>
              </w:rPr>
              <w:t>较高的投标人优先。未参与评价的按B级确定；</w:t>
            </w:r>
          </w:p>
          <w:p w14:paraId="6F0F2E81">
            <w:pPr>
              <w:pStyle w:val="12"/>
              <w:tabs>
                <w:tab w:val="left" w:pos="662"/>
              </w:tabs>
              <w:spacing w:line="440" w:lineRule="exact"/>
              <w:ind w:left="14" w:firstLine="473"/>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（3）商务和技术得分高者优先。</w:t>
            </w:r>
          </w:p>
        </w:tc>
      </w:tr>
      <w:tr w14:paraId="3BC56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restart"/>
            <w:tcBorders>
              <w:tl2br w:val="nil"/>
              <w:tr2bl w:val="nil"/>
            </w:tcBorders>
            <w:vAlign w:val="center"/>
          </w:tcPr>
          <w:p w14:paraId="254586BC">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14:paraId="740663D6">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835" w:type="dxa"/>
            <w:vMerge w:val="restart"/>
            <w:tcBorders>
              <w:tl2br w:val="nil"/>
              <w:tr2bl w:val="nil"/>
            </w:tcBorders>
            <w:vAlign w:val="center"/>
          </w:tcPr>
          <w:p w14:paraId="6E7E0CA7">
            <w:pPr>
              <w:pStyle w:val="12"/>
              <w:spacing w:line="440" w:lineRule="exact"/>
              <w:ind w:left="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形式评审与</w:t>
            </w:r>
          </w:p>
          <w:p w14:paraId="3FC0B36F">
            <w:pPr>
              <w:pStyle w:val="12"/>
              <w:spacing w:line="440" w:lineRule="exact"/>
              <w:ind w:left="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响应性评审</w:t>
            </w:r>
          </w:p>
          <w:p w14:paraId="1E3854C5">
            <w:pPr>
              <w:pStyle w:val="12"/>
              <w:spacing w:line="440" w:lineRule="exact"/>
              <w:ind w:left="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835" w:type="dxa"/>
            <w:vMerge w:val="restart"/>
            <w:tcBorders>
              <w:tl2br w:val="nil"/>
              <w:tr2bl w:val="nil"/>
            </w:tcBorders>
            <w:vAlign w:val="center"/>
          </w:tcPr>
          <w:p w14:paraId="41B2DB89">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p>
          <w:p w14:paraId="5BC92981">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3EDF4442">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p w14:paraId="49CB9D60">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w:t>
            </w:r>
          </w:p>
          <w:p w14:paraId="06A52D78">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w:t>
            </w:r>
          </w:p>
          <w:p w14:paraId="351FA072">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9B45875">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w:t>
            </w:r>
          </w:p>
          <w:p w14:paraId="5DD65406">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务</w:t>
            </w:r>
          </w:p>
          <w:p w14:paraId="1E7CB1AF">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w:t>
            </w:r>
          </w:p>
          <w:p w14:paraId="673698EF">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w:t>
            </w:r>
          </w:p>
          <w:p w14:paraId="174D6BE6">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术</w:t>
            </w:r>
          </w:p>
          <w:p w14:paraId="4F23BAC8">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w:t>
            </w:r>
          </w:p>
          <w:p w14:paraId="290B2095">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p w14:paraId="029BC175">
            <w:pPr>
              <w:pStyle w:val="12"/>
              <w:spacing w:line="440" w:lineRule="exact"/>
              <w:ind w:left="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38" w:type="dxa"/>
            <w:tcBorders>
              <w:tl2br w:val="nil"/>
              <w:tr2bl w:val="nil"/>
            </w:tcBorders>
            <w:vAlign w:val="center"/>
          </w:tcPr>
          <w:p w14:paraId="6B83F2BD">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投标函填写</w:t>
            </w:r>
          </w:p>
        </w:tc>
        <w:tc>
          <w:tcPr>
            <w:tcW w:w="5360" w:type="dxa"/>
            <w:tcBorders>
              <w:tl2br w:val="nil"/>
              <w:tr2bl w:val="nil"/>
            </w:tcBorders>
            <w:vAlign w:val="center"/>
          </w:tcPr>
          <w:p w14:paraId="5D9A4A6D">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按招标文件规定填报了正确的</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名称、项目名称、服务期限、</w:t>
            </w:r>
            <w:r>
              <w:rPr>
                <w:rFonts w:hint="eastAsia" w:ascii="宋体" w:hAnsi="宋体" w:eastAsia="宋体" w:cs="宋体"/>
                <w:caps w:val="0"/>
                <w:smallCaps w:val="0"/>
                <w:color w:val="auto"/>
                <w:sz w:val="24"/>
                <w:szCs w:val="24"/>
                <w:highlight w:val="none"/>
              </w:rPr>
              <w:t>质量要求及安全目标</w:t>
            </w:r>
          </w:p>
        </w:tc>
      </w:tr>
      <w:tr w14:paraId="468F7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2F7C5171">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209B80E3">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005E9857">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2F54205C">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文件填写及组成</w:t>
            </w:r>
          </w:p>
        </w:tc>
        <w:tc>
          <w:tcPr>
            <w:tcW w:w="5360" w:type="dxa"/>
            <w:tcBorders>
              <w:tl2br w:val="nil"/>
              <w:tr2bl w:val="nil"/>
            </w:tcBorders>
            <w:vAlign w:val="center"/>
          </w:tcPr>
          <w:p w14:paraId="2115E18B">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组成齐全，没有缺项或缺页，内容均按招标文件规定填写</w:t>
            </w:r>
          </w:p>
        </w:tc>
      </w:tr>
      <w:tr w14:paraId="7A315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6A057DBB">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696E7364">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524A3A10">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4FA2CFFF">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文件签字盖章</w:t>
            </w:r>
          </w:p>
        </w:tc>
        <w:tc>
          <w:tcPr>
            <w:tcW w:w="5360" w:type="dxa"/>
            <w:tcBorders>
              <w:tl2br w:val="nil"/>
              <w:tr2bl w:val="nil"/>
            </w:tcBorders>
            <w:vAlign w:val="center"/>
          </w:tcPr>
          <w:p w14:paraId="02EF9675">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符合第二章“投标人须知”第3.7.3项规定</w:t>
            </w:r>
          </w:p>
        </w:tc>
      </w:tr>
      <w:tr w14:paraId="04D28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013F8260">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1A9FBA1A">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46BCC1D5">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5EAFBB8C">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360" w:type="dxa"/>
            <w:tcBorders>
              <w:tl2br w:val="nil"/>
              <w:tr2bl w:val="nil"/>
            </w:tcBorders>
            <w:vAlign w:val="center"/>
          </w:tcPr>
          <w:p w14:paraId="6BB8D825">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符合第二章“投标人须知”第3.4.1项规定</w:t>
            </w:r>
          </w:p>
        </w:tc>
      </w:tr>
      <w:tr w14:paraId="1EA7E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7B1B96C9">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1129677D">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41D298ED">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207A1FB8">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w:t>
            </w:r>
          </w:p>
        </w:tc>
        <w:tc>
          <w:tcPr>
            <w:tcW w:w="5360" w:type="dxa"/>
            <w:tcBorders>
              <w:tl2br w:val="nil"/>
              <w:tr2bl w:val="nil"/>
            </w:tcBorders>
            <w:vAlign w:val="center"/>
          </w:tcPr>
          <w:p w14:paraId="21569E47">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身份证明或授权委托书，</w:t>
            </w:r>
            <w:r>
              <w:rPr>
                <w:rFonts w:hint="eastAsia" w:ascii="宋体" w:hAnsi="宋体" w:eastAsia="宋体" w:cs="宋体"/>
                <w:color w:val="auto"/>
                <w:sz w:val="24"/>
                <w:szCs w:val="24"/>
                <w:highlight w:val="none"/>
              </w:rPr>
              <w:t>由法定代表人电子签名并加盖单位电子公章</w:t>
            </w:r>
          </w:p>
        </w:tc>
      </w:tr>
      <w:tr w14:paraId="122FE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46925520">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3D062149">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565BDCB7">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0389CE18">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5360" w:type="dxa"/>
            <w:tcBorders>
              <w:tl2br w:val="nil"/>
              <w:tr2bl w:val="nil"/>
            </w:tcBorders>
            <w:vAlign w:val="center"/>
          </w:tcPr>
          <w:p w14:paraId="6F94F7CE">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如有分包计划，符合第二章“投标人须知”第1.11款规定，且按第六章“投标文件格式”的要求填写了“拟分包项目情况表”</w:t>
            </w:r>
          </w:p>
        </w:tc>
      </w:tr>
      <w:tr w14:paraId="79D70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2306AEC0">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1C1C9689">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42B9FC3B">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79DA39F7">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投标文件备选方案</w:t>
            </w:r>
          </w:p>
        </w:tc>
        <w:tc>
          <w:tcPr>
            <w:tcW w:w="5360" w:type="dxa"/>
            <w:tcBorders>
              <w:tl2br w:val="nil"/>
              <w:tr2bl w:val="nil"/>
            </w:tcBorders>
            <w:vAlign w:val="center"/>
          </w:tcPr>
          <w:p w14:paraId="5CBBBBD8">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同一投标人同一标段未提交两个及以上不同的投标文件</w:t>
            </w:r>
          </w:p>
        </w:tc>
      </w:tr>
      <w:tr w14:paraId="76566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3860629F">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7F249EC9">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1EF24B6C">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3BA8CF5E">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360" w:type="dxa"/>
            <w:tcBorders>
              <w:tl2br w:val="nil"/>
              <w:tr2bl w:val="nil"/>
            </w:tcBorders>
            <w:vAlign w:val="center"/>
          </w:tcPr>
          <w:p w14:paraId="32858F41">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未出现有关投标报价的内容</w:t>
            </w:r>
          </w:p>
        </w:tc>
      </w:tr>
      <w:tr w14:paraId="2E87D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337AC573">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7798C794">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76423767">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1C5912A2">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5360" w:type="dxa"/>
            <w:tcBorders>
              <w:tl2br w:val="nil"/>
              <w:tr2bl w:val="nil"/>
            </w:tcBorders>
            <w:vAlign w:val="center"/>
          </w:tcPr>
          <w:p w14:paraId="25C98685">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1.3.2 项规定</w:t>
            </w:r>
          </w:p>
        </w:tc>
      </w:tr>
      <w:tr w14:paraId="51572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90" w:type="dxa"/>
            <w:vMerge w:val="continue"/>
            <w:tcBorders>
              <w:tl2br w:val="nil"/>
              <w:tr2bl w:val="nil"/>
            </w:tcBorders>
            <w:vAlign w:val="center"/>
          </w:tcPr>
          <w:p w14:paraId="5CDFA00D">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02C116ED">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67E2D9BA">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019BA4DE">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要求</w:t>
            </w:r>
          </w:p>
        </w:tc>
        <w:tc>
          <w:tcPr>
            <w:tcW w:w="5360" w:type="dxa"/>
            <w:tcBorders>
              <w:tl2br w:val="nil"/>
              <w:tr2bl w:val="nil"/>
            </w:tcBorders>
            <w:vAlign w:val="center"/>
          </w:tcPr>
          <w:p w14:paraId="0158C52C">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1.3.3 项规定</w:t>
            </w:r>
          </w:p>
        </w:tc>
      </w:tr>
      <w:tr w14:paraId="1ACB2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75287B51">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3A262904">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13F4F60C">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0C1E87DB">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安全目标</w:t>
            </w:r>
          </w:p>
        </w:tc>
        <w:tc>
          <w:tcPr>
            <w:tcW w:w="5360" w:type="dxa"/>
            <w:tcBorders>
              <w:tl2br w:val="nil"/>
              <w:tr2bl w:val="nil"/>
            </w:tcBorders>
            <w:vAlign w:val="center"/>
          </w:tcPr>
          <w:p w14:paraId="11DF1A6B">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不发生一般及以上安全事故</w:t>
            </w:r>
          </w:p>
        </w:tc>
      </w:tr>
      <w:tr w14:paraId="31560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6B93B18E">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05F1D5B9">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216B8D76">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3FB25148">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权利义务符合招标文件规定</w:t>
            </w:r>
          </w:p>
        </w:tc>
        <w:tc>
          <w:tcPr>
            <w:tcW w:w="5360" w:type="dxa"/>
            <w:tcBorders>
              <w:tl2br w:val="nil"/>
              <w:tr2bl w:val="nil"/>
            </w:tcBorders>
            <w:vAlign w:val="center"/>
          </w:tcPr>
          <w:p w14:paraId="0A45491F">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a.投标人应接受招标文件规定的风险划分原则，未提出新的风险划分办法；</w:t>
            </w:r>
          </w:p>
          <w:p w14:paraId="08D80BFF">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b.投标人未增加发包人的责任范围，或减少投标人义务；</w:t>
            </w:r>
          </w:p>
          <w:p w14:paraId="038DE258">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c.投标人未提出不同的支付办法；</w:t>
            </w:r>
          </w:p>
          <w:p w14:paraId="50000F19">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d.投标人对合同纠纷、事故处理办法未提出异议；</w:t>
            </w:r>
          </w:p>
          <w:p w14:paraId="7E816069">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e.投标人在投标活动中无欺诈行为；</w:t>
            </w:r>
          </w:p>
          <w:p w14:paraId="55E3A329">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f.投标人未对合同条款有重要保留。</w:t>
            </w:r>
          </w:p>
        </w:tc>
      </w:tr>
      <w:tr w14:paraId="33D03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4D3A0915">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0F1D5EBA">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5E306900">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53568980">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投标人不得存在的情形</w:t>
            </w:r>
          </w:p>
        </w:tc>
        <w:tc>
          <w:tcPr>
            <w:tcW w:w="5360" w:type="dxa"/>
            <w:tcBorders>
              <w:tl2br w:val="nil"/>
              <w:tr2bl w:val="nil"/>
            </w:tcBorders>
            <w:vAlign w:val="center"/>
          </w:tcPr>
          <w:p w14:paraId="08A95D77">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投标人不得存在第二章“投标人须知”第1.4.3项规定的任何一种情形</w:t>
            </w:r>
          </w:p>
        </w:tc>
      </w:tr>
      <w:tr w14:paraId="73252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30876527">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374291E1">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6D420C17">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601D79BB">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360" w:type="dxa"/>
            <w:tcBorders>
              <w:tl2br w:val="nil"/>
              <w:tr2bl w:val="nil"/>
            </w:tcBorders>
            <w:vAlign w:val="center"/>
          </w:tcPr>
          <w:p w14:paraId="69CAA60C">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投标文件未附有招标人不能接受的条件</w:t>
            </w:r>
          </w:p>
        </w:tc>
      </w:tr>
      <w:tr w14:paraId="75C5D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7BEC59E9">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3415DC3B">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0856DD80">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3617FD6D">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bidi="ar-SA"/>
              </w:rPr>
              <w:t>具备竞争性</w:t>
            </w:r>
          </w:p>
        </w:tc>
        <w:tc>
          <w:tcPr>
            <w:tcW w:w="5360" w:type="dxa"/>
            <w:tcBorders>
              <w:tl2br w:val="nil"/>
              <w:tr2bl w:val="nil"/>
            </w:tcBorders>
            <w:vAlign w:val="center"/>
          </w:tcPr>
          <w:p w14:paraId="15213043">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bidi="ar-SA"/>
              </w:rPr>
              <w:t>有效投标数量不足3个的，评标委员会经评审认定仍具有竞争性。</w:t>
            </w:r>
          </w:p>
        </w:tc>
      </w:tr>
      <w:tr w14:paraId="552B8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76842F58">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36CAC9DB">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restart"/>
            <w:tcBorders>
              <w:tl2br w:val="nil"/>
              <w:tr2bl w:val="nil"/>
            </w:tcBorders>
            <w:vAlign w:val="center"/>
          </w:tcPr>
          <w:p w14:paraId="0B7E858F">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p>
          <w:p w14:paraId="5FA24523">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p w14:paraId="745B8A02">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p w14:paraId="2DAE1F96">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w:t>
            </w:r>
          </w:p>
          <w:p w14:paraId="469806C1">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w:t>
            </w:r>
          </w:p>
          <w:p w14:paraId="4FCDD7E8">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5F94B6D">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w:t>
            </w:r>
          </w:p>
          <w:p w14:paraId="382FAC5C">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w:t>
            </w:r>
          </w:p>
          <w:p w14:paraId="6C8924CD">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w:t>
            </w:r>
          </w:p>
          <w:p w14:paraId="0372E719">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件</w:t>
            </w:r>
          </w:p>
          <w:p w14:paraId="746BE625">
            <w:pPr>
              <w:pStyle w:val="12"/>
              <w:spacing w:line="440" w:lineRule="exact"/>
              <w:ind w:left="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38" w:type="dxa"/>
            <w:tcBorders>
              <w:tl2br w:val="nil"/>
              <w:tr2bl w:val="nil"/>
            </w:tcBorders>
            <w:vAlign w:val="center"/>
          </w:tcPr>
          <w:p w14:paraId="395E5EFB">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投标函填写</w:t>
            </w:r>
          </w:p>
        </w:tc>
        <w:tc>
          <w:tcPr>
            <w:tcW w:w="5360" w:type="dxa"/>
            <w:tcBorders>
              <w:tl2br w:val="nil"/>
              <w:tr2bl w:val="nil"/>
            </w:tcBorders>
            <w:vAlign w:val="center"/>
          </w:tcPr>
          <w:p w14:paraId="18260BA1">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按招标文件规定填报了</w:t>
            </w:r>
            <w:r>
              <w:rPr>
                <w:rFonts w:hint="eastAsia" w:ascii="宋体" w:hAnsi="宋体" w:eastAsia="宋体" w:cs="宋体"/>
                <w:color w:val="auto"/>
                <w:sz w:val="24"/>
                <w:szCs w:val="24"/>
                <w:highlight w:val="none"/>
                <w:lang w:val="en-US" w:eastAsia="zh-CN"/>
              </w:rPr>
              <w:t>正确的招标人名称、</w:t>
            </w:r>
            <w:r>
              <w:rPr>
                <w:rFonts w:hint="eastAsia" w:ascii="宋体" w:hAnsi="宋体" w:eastAsia="宋体" w:cs="宋体"/>
                <w:color w:val="auto"/>
                <w:sz w:val="24"/>
                <w:szCs w:val="24"/>
                <w:highlight w:val="none"/>
              </w:rPr>
              <w:t>项目名称</w:t>
            </w:r>
          </w:p>
        </w:tc>
      </w:tr>
      <w:tr w14:paraId="7FD40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0A711105">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1834B460">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387D1C2C">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7474BEAE">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文件填写及组成</w:t>
            </w:r>
          </w:p>
        </w:tc>
        <w:tc>
          <w:tcPr>
            <w:tcW w:w="5360" w:type="dxa"/>
            <w:tcBorders>
              <w:tl2br w:val="nil"/>
              <w:tr2bl w:val="nil"/>
            </w:tcBorders>
            <w:vAlign w:val="center"/>
          </w:tcPr>
          <w:p w14:paraId="7D9F8159">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组成齐全，没有缺项或缺页，内容均按招标文件规定填写</w:t>
            </w:r>
          </w:p>
        </w:tc>
      </w:tr>
      <w:tr w14:paraId="1125E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7047CC53">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3BDE2682">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2CED3BF3">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6ADF616C">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文件签字盖章</w:t>
            </w:r>
          </w:p>
        </w:tc>
        <w:tc>
          <w:tcPr>
            <w:tcW w:w="5360" w:type="dxa"/>
            <w:tcBorders>
              <w:tl2br w:val="nil"/>
              <w:tr2bl w:val="nil"/>
            </w:tcBorders>
            <w:vAlign w:val="center"/>
          </w:tcPr>
          <w:p w14:paraId="110052C5">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符合第二章“投标人须知”第3.7.3项规定</w:t>
            </w:r>
          </w:p>
        </w:tc>
      </w:tr>
      <w:tr w14:paraId="66E21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3756A7E2">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698E1469">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3302386D">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53488CCD">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360" w:type="dxa"/>
            <w:tcBorders>
              <w:tl2br w:val="nil"/>
              <w:tr2bl w:val="nil"/>
            </w:tcBorders>
            <w:vAlign w:val="center"/>
          </w:tcPr>
          <w:p w14:paraId="23F0FCBA">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未超过招标人公布的最高投标限价，大写金额能够确定具体数值</w:t>
            </w:r>
          </w:p>
        </w:tc>
      </w:tr>
      <w:tr w14:paraId="0F5BC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46F8D6A3">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6EB69B10">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480B81BC">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7DE33D1C">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tc>
        <w:tc>
          <w:tcPr>
            <w:tcW w:w="5360" w:type="dxa"/>
            <w:tcBorders>
              <w:tl2br w:val="nil"/>
              <w:tr2bl w:val="nil"/>
            </w:tcBorders>
            <w:vAlign w:val="center"/>
          </w:tcPr>
          <w:p w14:paraId="47D4D758">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开标一览表中所填报的投标报价与报价清单表的投标总报价必须一致</w:t>
            </w:r>
          </w:p>
        </w:tc>
      </w:tr>
      <w:tr w14:paraId="3F586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08F09E4C">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6A81ED88">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20DC3D2A">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317099F7">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投标报价唯一性</w:t>
            </w:r>
          </w:p>
        </w:tc>
        <w:tc>
          <w:tcPr>
            <w:tcW w:w="5360" w:type="dxa"/>
            <w:tcBorders>
              <w:tl2br w:val="nil"/>
              <w:tr2bl w:val="nil"/>
            </w:tcBorders>
            <w:vAlign w:val="center"/>
          </w:tcPr>
          <w:p w14:paraId="3ECF4AD6">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同一投标人未提交两个及以上不同的投标报价</w:t>
            </w:r>
          </w:p>
        </w:tc>
      </w:tr>
      <w:tr w14:paraId="4AC56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Borders>
              <w:tl2br w:val="nil"/>
              <w:tr2bl w:val="nil"/>
            </w:tcBorders>
            <w:vAlign w:val="center"/>
          </w:tcPr>
          <w:p w14:paraId="72B27539">
            <w:pPr>
              <w:pStyle w:val="12"/>
              <w:spacing w:line="440" w:lineRule="exact"/>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2AED5E49">
            <w:pPr>
              <w:pStyle w:val="12"/>
              <w:spacing w:line="440" w:lineRule="exact"/>
              <w:ind w:left="23"/>
              <w:jc w:val="center"/>
              <w:rPr>
                <w:rFonts w:hint="eastAsia" w:ascii="宋体" w:hAnsi="宋体" w:eastAsia="宋体" w:cs="宋体"/>
                <w:color w:val="auto"/>
                <w:sz w:val="24"/>
                <w:szCs w:val="24"/>
                <w:highlight w:val="none"/>
              </w:rPr>
            </w:pPr>
          </w:p>
        </w:tc>
        <w:tc>
          <w:tcPr>
            <w:tcW w:w="835" w:type="dxa"/>
            <w:vMerge w:val="continue"/>
            <w:tcBorders>
              <w:tl2br w:val="nil"/>
              <w:tr2bl w:val="nil"/>
            </w:tcBorders>
            <w:vAlign w:val="center"/>
          </w:tcPr>
          <w:p w14:paraId="57866716">
            <w:pPr>
              <w:pStyle w:val="12"/>
              <w:spacing w:line="440" w:lineRule="exact"/>
              <w:ind w:left="23"/>
              <w:jc w:val="center"/>
              <w:rPr>
                <w:rFonts w:hint="eastAsia" w:ascii="宋体" w:hAnsi="宋体" w:eastAsia="宋体" w:cs="宋体"/>
                <w:color w:val="auto"/>
                <w:sz w:val="24"/>
                <w:szCs w:val="24"/>
                <w:highlight w:val="none"/>
              </w:rPr>
            </w:pPr>
          </w:p>
        </w:tc>
        <w:tc>
          <w:tcPr>
            <w:tcW w:w="1738" w:type="dxa"/>
            <w:tcBorders>
              <w:tl2br w:val="nil"/>
              <w:tr2bl w:val="nil"/>
            </w:tcBorders>
            <w:vAlign w:val="center"/>
          </w:tcPr>
          <w:p w14:paraId="512AB3D0">
            <w:pPr>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bidi="ar-SA"/>
              </w:rPr>
              <w:t>具备竞争性</w:t>
            </w:r>
          </w:p>
        </w:tc>
        <w:tc>
          <w:tcPr>
            <w:tcW w:w="5360" w:type="dxa"/>
            <w:tcBorders>
              <w:tl2br w:val="nil"/>
              <w:tr2bl w:val="nil"/>
            </w:tcBorders>
            <w:vAlign w:val="center"/>
          </w:tcPr>
          <w:p w14:paraId="105ACAF9">
            <w:pPr>
              <w:spacing w:line="36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bidi="ar-SA"/>
              </w:rPr>
              <w:t>有效投标数量不足3个的，评标委员会经评审认定仍具有竞争性。</w:t>
            </w:r>
          </w:p>
        </w:tc>
      </w:tr>
      <w:tr w14:paraId="3B5C8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Borders>
              <w:tl2br w:val="nil"/>
              <w:tr2bl w:val="nil"/>
            </w:tcBorders>
            <w:vAlign w:val="center"/>
          </w:tcPr>
          <w:p w14:paraId="79235921">
            <w:pPr>
              <w:pStyle w:val="12"/>
              <w:spacing w:line="440" w:lineRule="exact"/>
              <w:ind w:left="1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670" w:type="dxa"/>
            <w:gridSpan w:val="2"/>
            <w:tcBorders>
              <w:tl2br w:val="nil"/>
              <w:tr2bl w:val="nil"/>
            </w:tcBorders>
            <w:vAlign w:val="center"/>
          </w:tcPr>
          <w:p w14:paraId="6A1E6ADC">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w:t>
            </w:r>
          </w:p>
          <w:p w14:paraId="0C0C56CA">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7098" w:type="dxa"/>
            <w:gridSpan w:val="2"/>
            <w:tcBorders>
              <w:tl2br w:val="nil"/>
              <w:tr2bl w:val="nil"/>
            </w:tcBorders>
            <w:vAlign w:val="center"/>
          </w:tcPr>
          <w:p w14:paraId="70341027">
            <w:pPr>
              <w:pStyle w:val="12"/>
              <w:tabs>
                <w:tab w:val="left" w:pos="1135"/>
              </w:tabs>
              <w:spacing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（1）营业执照、组织机构代码证和基本账户开户许可证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符合第二章“投标人须知”第3.5.1项规定，具备有效的营业执照、组织机构代码证（按照“三证合一”或“五证合一”登记制度进行登记的，可仅提供营业执照）和基本账户开户许可证</w:t>
            </w:r>
            <w:r>
              <w:rPr>
                <w:rFonts w:hint="eastAsia" w:ascii="宋体" w:hAnsi="宋体" w:eastAsia="宋体" w:cs="宋体"/>
                <w:color w:val="auto"/>
                <w:sz w:val="24"/>
                <w:szCs w:val="24"/>
                <w:highlight w:val="none"/>
                <w:lang w:eastAsia="zh-CN"/>
              </w:rPr>
              <w:t>；</w:t>
            </w:r>
          </w:p>
          <w:p w14:paraId="6F349F21">
            <w:pPr>
              <w:pStyle w:val="12"/>
              <w:tabs>
                <w:tab w:val="left" w:pos="1135"/>
              </w:tabs>
              <w:spacing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资质等级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符合第二章“投标人须知”第 1.4.1 项“资质要求”的规定</w:t>
            </w:r>
            <w:r>
              <w:rPr>
                <w:rFonts w:hint="eastAsia" w:ascii="宋体" w:hAnsi="宋体" w:eastAsia="宋体" w:cs="宋体"/>
                <w:color w:val="auto"/>
                <w:sz w:val="24"/>
                <w:szCs w:val="24"/>
                <w:highlight w:val="none"/>
                <w:lang w:eastAsia="zh-CN"/>
              </w:rPr>
              <w:t>；</w:t>
            </w:r>
          </w:p>
          <w:p w14:paraId="221A3D3F">
            <w:pPr>
              <w:pStyle w:val="12"/>
              <w:tabs>
                <w:tab w:val="left" w:pos="1135"/>
              </w:tabs>
              <w:spacing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类似项目业绩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符合第二章“投标人须知”第 1.4.1 项“业绩要求”的规定</w:t>
            </w:r>
            <w:r>
              <w:rPr>
                <w:rFonts w:hint="eastAsia" w:ascii="宋体" w:hAnsi="宋体" w:eastAsia="宋体" w:cs="宋体"/>
                <w:color w:val="auto"/>
                <w:sz w:val="24"/>
                <w:szCs w:val="24"/>
                <w:highlight w:val="none"/>
                <w:lang w:eastAsia="zh-CN"/>
              </w:rPr>
              <w:t>；</w:t>
            </w:r>
          </w:p>
          <w:p w14:paraId="4C5082E6">
            <w:pPr>
              <w:pStyle w:val="12"/>
              <w:tabs>
                <w:tab w:val="left" w:pos="1135"/>
              </w:tabs>
              <w:spacing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符合第二章“投标人须知”第 1.4.1 项“信誉要求”的规定</w:t>
            </w:r>
            <w:r>
              <w:rPr>
                <w:rFonts w:hint="eastAsia" w:ascii="宋体" w:hAnsi="宋体" w:eastAsia="宋体" w:cs="宋体"/>
                <w:color w:val="auto"/>
                <w:sz w:val="24"/>
                <w:szCs w:val="24"/>
                <w:highlight w:val="none"/>
                <w:lang w:eastAsia="zh-CN"/>
              </w:rPr>
              <w:t>；</w:t>
            </w:r>
          </w:p>
          <w:p w14:paraId="5F7F6057">
            <w:pPr>
              <w:pStyle w:val="12"/>
              <w:tabs>
                <w:tab w:val="left" w:pos="1135"/>
              </w:tabs>
              <w:spacing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项目负责人资格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符合第二章“投标人须知”第 1.4.1 项“项目负责人资格要求”的规定</w:t>
            </w:r>
            <w:r>
              <w:rPr>
                <w:rFonts w:hint="eastAsia" w:ascii="宋体" w:hAnsi="宋体" w:eastAsia="宋体" w:cs="宋体"/>
                <w:color w:val="auto"/>
                <w:sz w:val="24"/>
                <w:szCs w:val="24"/>
                <w:highlight w:val="none"/>
                <w:lang w:eastAsia="zh-CN"/>
              </w:rPr>
              <w:t>；</w:t>
            </w:r>
          </w:p>
          <w:p w14:paraId="69A7FEAE">
            <w:pPr>
              <w:pStyle w:val="12"/>
              <w:tabs>
                <w:tab w:val="left" w:pos="1135"/>
              </w:tabs>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符合第二章“投标人须知”第 1.4.1 项“其他要求”的规定</w:t>
            </w:r>
          </w:p>
          <w:p w14:paraId="3ADA1871">
            <w:pPr>
              <w:pStyle w:val="12"/>
              <w:tabs>
                <w:tab w:val="left" w:pos="1135"/>
              </w:tabs>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（7）投标人不存在“第二章</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投标人须知”第1.4.3项规定的任何一种情形。</w:t>
            </w:r>
          </w:p>
        </w:tc>
      </w:tr>
      <w:tr w14:paraId="6FAB3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Borders>
              <w:tl2br w:val="nil"/>
              <w:tr2bl w:val="nil"/>
            </w:tcBorders>
            <w:vAlign w:val="center"/>
          </w:tcPr>
          <w:p w14:paraId="1A232843">
            <w:pPr>
              <w:pStyle w:val="12"/>
              <w:spacing w:line="440" w:lineRule="exact"/>
              <w:ind w:left="1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670" w:type="dxa"/>
            <w:gridSpan w:val="2"/>
            <w:tcBorders>
              <w:tl2br w:val="nil"/>
              <w:tr2bl w:val="nil"/>
            </w:tcBorders>
            <w:vAlign w:val="center"/>
          </w:tcPr>
          <w:p w14:paraId="6E1433F6">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1823D5C8">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7098" w:type="dxa"/>
            <w:gridSpan w:val="2"/>
            <w:tcBorders>
              <w:tl2br w:val="nil"/>
              <w:tr2bl w:val="nil"/>
            </w:tcBorders>
            <w:vAlign w:val="center"/>
          </w:tcPr>
          <w:p w14:paraId="546F1231">
            <w:pPr>
              <w:pStyle w:val="12"/>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第一个信封（商务及技术文件）评分分值构成：</w:t>
            </w:r>
          </w:p>
          <w:p w14:paraId="5715F46A">
            <w:pPr>
              <w:pStyle w:val="12"/>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rPr>
              <w:t>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u w:val="single"/>
                <w:lang w:val="en-US"/>
              </w:rPr>
              <w:t>0</w:t>
            </w:r>
            <w:r>
              <w:rPr>
                <w:rFonts w:hint="eastAsia" w:ascii="宋体" w:hAnsi="宋体" w:eastAsia="宋体" w:cs="宋体"/>
                <w:color w:val="auto"/>
                <w:sz w:val="24"/>
                <w:szCs w:val="24"/>
                <w:highlight w:val="none"/>
                <w:u w:val="single"/>
              </w:rPr>
              <w:t>分</w:t>
            </w:r>
          </w:p>
          <w:p w14:paraId="679C5AD6">
            <w:pPr>
              <w:pStyle w:val="12"/>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商务部分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u w:val="single"/>
              </w:rPr>
              <w:t>0分</w:t>
            </w:r>
          </w:p>
          <w:p w14:paraId="46CC364C">
            <w:pPr>
              <w:pStyle w:val="12"/>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第二个信封（报价文件）评分分值构成：</w:t>
            </w:r>
          </w:p>
          <w:p w14:paraId="3005C178">
            <w:pPr>
              <w:pStyle w:val="12"/>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u w:val="single"/>
              </w:rPr>
              <w:t>0分</w:t>
            </w:r>
          </w:p>
        </w:tc>
      </w:tr>
      <w:tr w14:paraId="1F90A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Borders>
              <w:tl2br w:val="nil"/>
              <w:tr2bl w:val="nil"/>
            </w:tcBorders>
            <w:vAlign w:val="center"/>
          </w:tcPr>
          <w:p w14:paraId="055A054E">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670" w:type="dxa"/>
            <w:gridSpan w:val="2"/>
            <w:tcBorders>
              <w:tl2br w:val="nil"/>
              <w:tr2bl w:val="nil"/>
            </w:tcBorders>
            <w:vAlign w:val="center"/>
          </w:tcPr>
          <w:p w14:paraId="0327CBBA">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w:t>
            </w:r>
          </w:p>
          <w:p w14:paraId="601DE730">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c>
          <w:tcPr>
            <w:tcW w:w="7098" w:type="dxa"/>
            <w:gridSpan w:val="2"/>
            <w:tcBorders>
              <w:tl2br w:val="nil"/>
              <w:tr2bl w:val="nil"/>
            </w:tcBorders>
            <w:vAlign w:val="center"/>
          </w:tcPr>
          <w:p w14:paraId="1128D242">
            <w:pPr>
              <w:pStyle w:val="12"/>
              <w:spacing w:line="44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评标基准价的计算：</w:t>
            </w:r>
          </w:p>
          <w:p w14:paraId="52DDF5A4">
            <w:pPr>
              <w:pStyle w:val="12"/>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在开标现场，招标人（或招标代理机构）将当场计算并宣布评标基准价</w:t>
            </w:r>
          </w:p>
          <w:p w14:paraId="130D1F63">
            <w:pPr>
              <w:pStyle w:val="12"/>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（1）评标价的确定：</w:t>
            </w:r>
          </w:p>
          <w:p w14:paraId="1421592C">
            <w:pPr>
              <w:pStyle w:val="12"/>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w:t>
            </w:r>
            <w:r>
              <w:rPr>
                <w:rFonts w:hint="eastAsia" w:ascii="宋体" w:hAnsi="宋体" w:eastAsia="宋体" w:cs="宋体"/>
                <w:color w:val="auto"/>
                <w:sz w:val="24"/>
                <w:szCs w:val="24"/>
                <w:highlight w:val="none"/>
                <w:lang w:val="en-US" w:eastAsia="zh-CN"/>
              </w:rPr>
              <w:t>开标一览表</w:t>
            </w:r>
            <w:r>
              <w:rPr>
                <w:rFonts w:hint="eastAsia" w:ascii="宋体" w:hAnsi="宋体" w:eastAsia="宋体" w:cs="宋体"/>
                <w:color w:val="auto"/>
                <w:sz w:val="24"/>
                <w:szCs w:val="24"/>
                <w:highlight w:val="none"/>
              </w:rPr>
              <w:t>报价。</w:t>
            </w:r>
          </w:p>
          <w:p w14:paraId="7ED1ED90">
            <w:pPr>
              <w:pStyle w:val="12"/>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（2）评标基准价的计算：</w:t>
            </w:r>
          </w:p>
          <w:p w14:paraId="7D00986A">
            <w:pPr>
              <w:pStyle w:val="12"/>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在有效投标报价中去掉一个最高价和一个最低价后，剩余报价的算术平均值作为评标基准价（当有效投标报价小于或等于5名时，所有有效投标报价算术平均值为评标基准价）。</w:t>
            </w:r>
          </w:p>
          <w:p w14:paraId="0AF50F72">
            <w:pPr>
              <w:pStyle w:val="12"/>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在评标过程中，评审委员会应对采购人计算的评标基准价进行复核，存在计算错误的应予以修正并在评标报告中作出说明。除此以外，评标基准价在整个评标期间保持不变，不随任何因素发生变化。</w:t>
            </w:r>
          </w:p>
        </w:tc>
      </w:tr>
      <w:tr w14:paraId="1D62F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tcBorders>
              <w:tl2br w:val="nil"/>
              <w:tr2bl w:val="nil"/>
            </w:tcBorders>
            <w:vAlign w:val="center"/>
          </w:tcPr>
          <w:p w14:paraId="7AAD966E">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670" w:type="dxa"/>
            <w:gridSpan w:val="2"/>
            <w:tcBorders>
              <w:tl2br w:val="nil"/>
              <w:tr2bl w:val="nil"/>
            </w:tcBorders>
            <w:vAlign w:val="center"/>
          </w:tcPr>
          <w:p w14:paraId="7CFC45F2">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评标价的</w:t>
            </w:r>
          </w:p>
          <w:p w14:paraId="70812770">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偏差率</w:t>
            </w:r>
          </w:p>
          <w:p w14:paraId="4F9080D6">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计算公式</w:t>
            </w:r>
          </w:p>
        </w:tc>
        <w:tc>
          <w:tcPr>
            <w:tcW w:w="7098" w:type="dxa"/>
            <w:gridSpan w:val="2"/>
            <w:tcBorders>
              <w:tl2br w:val="nil"/>
              <w:tr2bl w:val="nil"/>
            </w:tcBorders>
            <w:vAlign w:val="center"/>
          </w:tcPr>
          <w:p w14:paraId="78ADE335">
            <w:pPr>
              <w:pStyle w:val="12"/>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偏差率=100%*（投标人评标价-评标基准价）/评标基准价；偏差率保留三位小数</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小数点后第</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位“四舍五入”。</w:t>
            </w:r>
          </w:p>
        </w:tc>
      </w:tr>
    </w:tbl>
    <w:p w14:paraId="2C2540CA">
      <w:pPr>
        <w:spacing w:line="440" w:lineRule="exact"/>
        <w:ind w:right="80"/>
        <w:jc w:val="both"/>
        <w:rPr>
          <w:rFonts w:hint="eastAsia" w:ascii="宋体" w:hAnsi="宋体" w:eastAsia="宋体" w:cs="宋体"/>
          <w:b/>
          <w:color w:val="auto"/>
          <w:sz w:val="24"/>
          <w:szCs w:val="24"/>
          <w:highlight w:val="none"/>
        </w:rPr>
        <w:sectPr>
          <w:pgSz w:w="11920" w:h="16860"/>
          <w:pgMar w:top="1440" w:right="1080" w:bottom="1440" w:left="1080" w:header="0" w:footer="904" w:gutter="0"/>
          <w:pgNumType w:fmt="decimal"/>
          <w:cols w:space="720" w:num="1"/>
        </w:sectPr>
      </w:pPr>
    </w:p>
    <w:tbl>
      <w:tblPr>
        <w:tblStyle w:val="9"/>
        <w:tblW w:w="5182"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32"/>
        <w:gridCol w:w="1078"/>
        <w:gridCol w:w="783"/>
        <w:gridCol w:w="1549"/>
        <w:gridCol w:w="839"/>
        <w:gridCol w:w="4944"/>
      </w:tblGrid>
      <w:tr w14:paraId="7FD8C5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134" w:type="dxa"/>
            <w:tcBorders>
              <w:tl2br w:val="nil"/>
              <w:tr2bl w:val="nil"/>
            </w:tcBorders>
            <w:vAlign w:val="center"/>
          </w:tcPr>
          <w:p w14:paraId="0C4CDFC1">
            <w:pPr>
              <w:spacing w:line="440" w:lineRule="exact"/>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条款号</w:t>
            </w:r>
          </w:p>
        </w:tc>
        <w:tc>
          <w:tcPr>
            <w:tcW w:w="1079" w:type="dxa"/>
            <w:tcBorders>
              <w:tl2br w:val="nil"/>
              <w:tr2bl w:val="nil"/>
            </w:tcBorders>
            <w:vAlign w:val="center"/>
          </w:tcPr>
          <w:p w14:paraId="44B733C3">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w:t>
            </w:r>
          </w:p>
          <w:p w14:paraId="1769541F">
            <w:pPr>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因素</w:t>
            </w:r>
          </w:p>
        </w:tc>
        <w:tc>
          <w:tcPr>
            <w:tcW w:w="784" w:type="dxa"/>
            <w:tcBorders>
              <w:tl2br w:val="nil"/>
              <w:tr2bl w:val="nil"/>
            </w:tcBorders>
            <w:vAlign w:val="center"/>
          </w:tcPr>
          <w:p w14:paraId="3E8BBCDB">
            <w:pPr>
              <w:spacing w:line="440" w:lineRule="exact"/>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分值</w:t>
            </w:r>
          </w:p>
        </w:tc>
        <w:tc>
          <w:tcPr>
            <w:tcW w:w="1551" w:type="dxa"/>
            <w:tcBorders>
              <w:tl2br w:val="nil"/>
              <w:tr2bl w:val="nil"/>
            </w:tcBorders>
            <w:vAlign w:val="center"/>
          </w:tcPr>
          <w:p w14:paraId="25F2994B">
            <w:pPr>
              <w:pStyle w:val="5"/>
              <w:spacing w:line="440" w:lineRule="exact"/>
              <w:jc w:val="center"/>
              <w:rPr>
                <w:rFonts w:hint="eastAsia" w:ascii="宋体" w:hAnsi="宋体" w:eastAsia="宋体" w:cs="宋体"/>
                <w:b/>
                <w:bCs/>
                <w:color w:val="auto"/>
                <w:sz w:val="24"/>
                <w:szCs w:val="24"/>
                <w:highlight w:val="none"/>
                <w:lang w:val="en-US"/>
              </w:rPr>
            </w:pPr>
            <w:r>
              <w:rPr>
                <w:rFonts w:hint="eastAsia" w:ascii="宋体" w:hAnsi="宋体" w:eastAsia="宋体" w:cs="宋体"/>
                <w:b/>
                <w:color w:val="auto"/>
                <w:sz w:val="24"/>
                <w:szCs w:val="24"/>
                <w:highlight w:val="none"/>
              </w:rPr>
              <w:t>各评分因素分项</w:t>
            </w:r>
          </w:p>
        </w:tc>
        <w:tc>
          <w:tcPr>
            <w:tcW w:w="840" w:type="dxa"/>
            <w:tcBorders>
              <w:tl2br w:val="nil"/>
              <w:tr2bl w:val="nil"/>
            </w:tcBorders>
            <w:vAlign w:val="center"/>
          </w:tcPr>
          <w:p w14:paraId="107481B0">
            <w:pPr>
              <w:pStyle w:val="5"/>
              <w:spacing w:line="440" w:lineRule="exact"/>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分值</w:t>
            </w:r>
          </w:p>
        </w:tc>
        <w:tc>
          <w:tcPr>
            <w:tcW w:w="4951" w:type="dxa"/>
            <w:tcBorders>
              <w:tl2br w:val="nil"/>
              <w:tr2bl w:val="nil"/>
            </w:tcBorders>
            <w:vAlign w:val="center"/>
          </w:tcPr>
          <w:p w14:paraId="7C60C2C1">
            <w:pPr>
              <w:pStyle w:val="5"/>
              <w:spacing w:line="440" w:lineRule="exact"/>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评分标准</w:t>
            </w:r>
          </w:p>
        </w:tc>
      </w:tr>
      <w:tr w14:paraId="495821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34" w:type="dxa"/>
            <w:vMerge w:val="restart"/>
            <w:tcBorders>
              <w:tl2br w:val="nil"/>
              <w:tr2bl w:val="nil"/>
            </w:tcBorders>
            <w:vAlign w:val="center"/>
          </w:tcPr>
          <w:p w14:paraId="142FF981">
            <w:pPr>
              <w:pStyle w:val="12"/>
              <w:tabs>
                <w:tab w:val="center" w:pos="481"/>
              </w:tabs>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c>
          <w:tcPr>
            <w:tcW w:w="1079" w:type="dxa"/>
            <w:vMerge w:val="restart"/>
            <w:tcBorders>
              <w:tl2br w:val="nil"/>
              <w:tr2bl w:val="nil"/>
            </w:tcBorders>
            <w:vAlign w:val="center"/>
          </w:tcPr>
          <w:p w14:paraId="63FCEC5B">
            <w:pPr>
              <w:pStyle w:val="12"/>
              <w:tabs>
                <w:tab w:val="left" w:pos="1320"/>
              </w:tabs>
              <w:spacing w:line="440" w:lineRule="exact"/>
              <w:ind w:right="-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1D8C9B43">
            <w:pPr>
              <w:pStyle w:val="12"/>
              <w:tabs>
                <w:tab w:val="left" w:pos="1320"/>
              </w:tabs>
              <w:spacing w:line="440" w:lineRule="exact"/>
              <w:ind w:right="-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部分</w:t>
            </w:r>
          </w:p>
        </w:tc>
        <w:tc>
          <w:tcPr>
            <w:tcW w:w="784" w:type="dxa"/>
            <w:vMerge w:val="restart"/>
            <w:tcBorders>
              <w:tl2br w:val="nil"/>
              <w:tr2bl w:val="nil"/>
            </w:tcBorders>
            <w:vAlign w:val="center"/>
          </w:tcPr>
          <w:p w14:paraId="7054A0D1">
            <w:pPr>
              <w:pStyle w:val="12"/>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rPr>
              <w:t>分</w:t>
            </w:r>
          </w:p>
        </w:tc>
        <w:tc>
          <w:tcPr>
            <w:tcW w:w="1551" w:type="dxa"/>
            <w:tcBorders>
              <w:tl2br w:val="nil"/>
              <w:tr2bl w:val="nil"/>
            </w:tcBorders>
            <w:vAlign w:val="center"/>
          </w:tcPr>
          <w:p w14:paraId="0BA9C276">
            <w:pPr>
              <w:spacing w:line="44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总体思路</w:t>
            </w:r>
          </w:p>
        </w:tc>
        <w:tc>
          <w:tcPr>
            <w:tcW w:w="840" w:type="dxa"/>
            <w:tcBorders>
              <w:tl2br w:val="nil"/>
              <w:tr2bl w:val="nil"/>
            </w:tcBorders>
            <w:vAlign w:val="center"/>
          </w:tcPr>
          <w:p w14:paraId="24247D66">
            <w:pPr>
              <w:spacing w:line="44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4951" w:type="dxa"/>
            <w:tcBorders>
              <w:tl2br w:val="nil"/>
              <w:tr2bl w:val="nil"/>
            </w:tcBorders>
            <w:vAlign w:val="center"/>
          </w:tcPr>
          <w:p w14:paraId="0A809845">
            <w:pPr>
              <w:numPr>
                <w:ilvl w:val="0"/>
                <w:numId w:val="0"/>
              </w:num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en-US"/>
              </w:rPr>
              <w:t>投标人对项目背景、建设规模、必要性、可行性、建设方案和规划符合性的理解（2分）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合理得1.8-2.0分，较合理得1.5-1.8分，一般得1.2-1.5分；</w:t>
            </w:r>
          </w:p>
          <w:p w14:paraId="5781D62A">
            <w:pPr>
              <w:numPr>
                <w:ilvl w:val="0"/>
                <w:numId w:val="0"/>
              </w:num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bidi="zh-CN"/>
              </w:rPr>
              <w:t>（2）</w:t>
            </w:r>
            <w:r>
              <w:rPr>
                <w:rFonts w:hint="eastAsia" w:ascii="宋体" w:hAnsi="宋体" w:eastAsia="宋体" w:cs="宋体"/>
                <w:color w:val="auto"/>
                <w:sz w:val="24"/>
                <w:szCs w:val="24"/>
                <w:highlight w:val="none"/>
                <w:lang w:val="en-US"/>
              </w:rPr>
              <w:t>投标人对各项专题论证工作的总体思路（</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分），合理得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.0分，较合理得2.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一般得</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US"/>
              </w:rPr>
              <w:t>分；</w:t>
            </w:r>
          </w:p>
          <w:p w14:paraId="4CDE0A82">
            <w:pPr>
              <w:numPr>
                <w:ilvl w:val="0"/>
                <w:numId w:val="0"/>
              </w:num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（3）投标人对各项勘察设计工作的总体思路（</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合理得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.0分，较合理得2.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分，一般得</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tc>
      </w:tr>
      <w:tr w14:paraId="647C31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1134" w:type="dxa"/>
            <w:vMerge w:val="continue"/>
            <w:tcBorders>
              <w:tl2br w:val="nil"/>
              <w:tr2bl w:val="nil"/>
            </w:tcBorders>
            <w:vAlign w:val="center"/>
          </w:tcPr>
          <w:p w14:paraId="256B9310">
            <w:pPr>
              <w:spacing w:line="440" w:lineRule="exact"/>
              <w:jc w:val="center"/>
              <w:rPr>
                <w:rFonts w:hint="eastAsia" w:ascii="宋体" w:hAnsi="宋体" w:eastAsia="宋体" w:cs="宋体"/>
                <w:color w:val="auto"/>
                <w:sz w:val="24"/>
                <w:szCs w:val="24"/>
                <w:highlight w:val="none"/>
              </w:rPr>
            </w:pPr>
          </w:p>
        </w:tc>
        <w:tc>
          <w:tcPr>
            <w:tcW w:w="1079" w:type="dxa"/>
            <w:vMerge w:val="continue"/>
            <w:tcBorders>
              <w:tl2br w:val="nil"/>
              <w:tr2bl w:val="nil"/>
            </w:tcBorders>
            <w:vAlign w:val="center"/>
          </w:tcPr>
          <w:p w14:paraId="0009AA3B">
            <w:pPr>
              <w:spacing w:line="440" w:lineRule="exact"/>
              <w:jc w:val="center"/>
              <w:rPr>
                <w:rFonts w:hint="eastAsia" w:ascii="宋体" w:hAnsi="宋体" w:eastAsia="宋体" w:cs="宋体"/>
                <w:color w:val="auto"/>
                <w:sz w:val="24"/>
                <w:szCs w:val="24"/>
                <w:highlight w:val="none"/>
              </w:rPr>
            </w:pPr>
          </w:p>
        </w:tc>
        <w:tc>
          <w:tcPr>
            <w:tcW w:w="784" w:type="dxa"/>
            <w:vMerge w:val="continue"/>
            <w:tcBorders>
              <w:tl2br w:val="nil"/>
              <w:tr2bl w:val="nil"/>
            </w:tcBorders>
            <w:vAlign w:val="center"/>
          </w:tcPr>
          <w:p w14:paraId="09079667">
            <w:pPr>
              <w:spacing w:line="440" w:lineRule="exact"/>
              <w:jc w:val="center"/>
              <w:rPr>
                <w:rFonts w:hint="eastAsia" w:ascii="宋体" w:hAnsi="宋体" w:eastAsia="宋体" w:cs="宋体"/>
                <w:color w:val="auto"/>
                <w:sz w:val="24"/>
                <w:szCs w:val="24"/>
                <w:highlight w:val="none"/>
              </w:rPr>
            </w:pPr>
          </w:p>
        </w:tc>
        <w:tc>
          <w:tcPr>
            <w:tcW w:w="1551" w:type="dxa"/>
            <w:tcBorders>
              <w:tl2br w:val="nil"/>
              <w:tr2bl w:val="nil"/>
            </w:tcBorders>
            <w:vAlign w:val="center"/>
          </w:tcPr>
          <w:p w14:paraId="113EA37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招标项目勘察设计的特点、关键技术问题的认识及其对策措施</w:t>
            </w:r>
          </w:p>
        </w:tc>
        <w:tc>
          <w:tcPr>
            <w:tcW w:w="840" w:type="dxa"/>
            <w:tcBorders>
              <w:tl2br w:val="nil"/>
              <w:tr2bl w:val="nil"/>
            </w:tcBorders>
            <w:vAlign w:val="center"/>
          </w:tcPr>
          <w:p w14:paraId="05C00DB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4951" w:type="dxa"/>
            <w:tcBorders>
              <w:tl2br w:val="nil"/>
              <w:tr2bl w:val="nil"/>
            </w:tcBorders>
            <w:vAlign w:val="center"/>
          </w:tcPr>
          <w:p w14:paraId="5D0CA504">
            <w:pPr>
              <w:spacing w:line="440" w:lineRule="exact"/>
              <w:ind w:right="-97" w:rightChars="-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投标人对招标项目的勘察特点、关键技术问题的认识及其对策措施等方面进行阐述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.0分，较合理得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.0分</w:t>
            </w:r>
            <w:r>
              <w:rPr>
                <w:rFonts w:hint="eastAsia" w:ascii="宋体" w:hAnsi="宋体" w:eastAsia="宋体" w:cs="宋体"/>
                <w:color w:val="auto"/>
                <w:sz w:val="24"/>
                <w:szCs w:val="24"/>
                <w:highlight w:val="none"/>
              </w:rPr>
              <w:t>；</w:t>
            </w:r>
          </w:p>
          <w:p w14:paraId="3D759075">
            <w:pPr>
              <w:spacing w:line="440" w:lineRule="exact"/>
              <w:ind w:right="-97" w:rightChars="-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投标人对招标项目的</w:t>
            </w:r>
            <w:r>
              <w:rPr>
                <w:rFonts w:hint="eastAsia" w:ascii="宋体" w:hAnsi="宋体" w:eastAsia="宋体" w:cs="宋体"/>
                <w:color w:val="auto"/>
                <w:sz w:val="24"/>
                <w:szCs w:val="24"/>
                <w:highlight w:val="none"/>
                <w:lang w:val="en-US"/>
              </w:rPr>
              <w:t>专题论证</w:t>
            </w:r>
            <w:r>
              <w:rPr>
                <w:rFonts w:hint="eastAsia" w:ascii="宋体" w:hAnsi="宋体" w:eastAsia="宋体" w:cs="宋体"/>
                <w:color w:val="auto"/>
                <w:sz w:val="24"/>
                <w:szCs w:val="24"/>
                <w:highlight w:val="none"/>
              </w:rPr>
              <w:t>特点、关键技术问题的认识及其对策措施等方面进行阐述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.0分，较合理得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.0分</w:t>
            </w:r>
            <w:r>
              <w:rPr>
                <w:rFonts w:hint="eastAsia" w:ascii="宋体" w:hAnsi="宋体" w:eastAsia="宋体" w:cs="宋体"/>
                <w:color w:val="auto"/>
                <w:sz w:val="24"/>
                <w:szCs w:val="24"/>
                <w:highlight w:val="none"/>
              </w:rPr>
              <w:t>；</w:t>
            </w:r>
          </w:p>
          <w:p w14:paraId="44CEB2E5">
            <w:pPr>
              <w:spacing w:line="440" w:lineRule="exact"/>
              <w:ind w:right="-97" w:rightChars="-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投标人对招标项目的</w:t>
            </w:r>
            <w:r>
              <w:rPr>
                <w:rFonts w:hint="eastAsia" w:ascii="宋体" w:hAnsi="宋体" w:eastAsia="宋体" w:cs="宋体"/>
                <w:color w:val="auto"/>
                <w:sz w:val="24"/>
                <w:szCs w:val="24"/>
                <w:highlight w:val="none"/>
                <w:lang w:val="en-US"/>
              </w:rPr>
              <w:t>设计</w:t>
            </w:r>
            <w:r>
              <w:rPr>
                <w:rFonts w:hint="eastAsia" w:ascii="宋体" w:hAnsi="宋体" w:eastAsia="宋体" w:cs="宋体"/>
                <w:color w:val="auto"/>
                <w:sz w:val="24"/>
                <w:szCs w:val="24"/>
                <w:highlight w:val="none"/>
              </w:rPr>
              <w:t>特点、关键技术问题的认识及其对策措施等方面进行阐述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.0分，较合理得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.0分。</w:t>
            </w:r>
          </w:p>
        </w:tc>
      </w:tr>
      <w:tr w14:paraId="1A95BA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4" w:type="dxa"/>
            <w:vMerge w:val="continue"/>
            <w:tcBorders>
              <w:tl2br w:val="nil"/>
              <w:tr2bl w:val="nil"/>
            </w:tcBorders>
            <w:vAlign w:val="center"/>
          </w:tcPr>
          <w:p w14:paraId="516A7FCB">
            <w:pPr>
              <w:spacing w:line="440" w:lineRule="exact"/>
              <w:jc w:val="center"/>
              <w:rPr>
                <w:rFonts w:hint="eastAsia" w:ascii="宋体" w:hAnsi="宋体" w:eastAsia="宋体" w:cs="宋体"/>
                <w:color w:val="auto"/>
                <w:sz w:val="24"/>
                <w:szCs w:val="24"/>
                <w:highlight w:val="none"/>
                <w:lang w:val="en-US"/>
              </w:rPr>
            </w:pPr>
          </w:p>
        </w:tc>
        <w:tc>
          <w:tcPr>
            <w:tcW w:w="1079" w:type="dxa"/>
            <w:vMerge w:val="continue"/>
            <w:tcBorders>
              <w:tl2br w:val="nil"/>
              <w:tr2bl w:val="nil"/>
            </w:tcBorders>
            <w:vAlign w:val="center"/>
          </w:tcPr>
          <w:p w14:paraId="6DEC525D">
            <w:pPr>
              <w:spacing w:line="440" w:lineRule="exact"/>
              <w:jc w:val="center"/>
              <w:rPr>
                <w:rFonts w:hint="eastAsia" w:ascii="宋体" w:hAnsi="宋体" w:eastAsia="宋体" w:cs="宋体"/>
                <w:color w:val="auto"/>
                <w:sz w:val="24"/>
                <w:szCs w:val="24"/>
                <w:highlight w:val="none"/>
                <w:lang w:val="en-US"/>
              </w:rPr>
            </w:pPr>
          </w:p>
        </w:tc>
        <w:tc>
          <w:tcPr>
            <w:tcW w:w="784" w:type="dxa"/>
            <w:vMerge w:val="continue"/>
            <w:tcBorders>
              <w:tl2br w:val="nil"/>
              <w:tr2bl w:val="nil"/>
            </w:tcBorders>
            <w:vAlign w:val="center"/>
          </w:tcPr>
          <w:p w14:paraId="5105B615">
            <w:pPr>
              <w:spacing w:line="440" w:lineRule="exact"/>
              <w:jc w:val="center"/>
              <w:rPr>
                <w:rFonts w:hint="eastAsia" w:ascii="宋体" w:hAnsi="宋体" w:eastAsia="宋体" w:cs="宋体"/>
                <w:color w:val="auto"/>
                <w:sz w:val="24"/>
                <w:szCs w:val="24"/>
                <w:highlight w:val="none"/>
                <w:lang w:val="en-US"/>
              </w:rPr>
            </w:pPr>
          </w:p>
        </w:tc>
        <w:tc>
          <w:tcPr>
            <w:tcW w:w="1551" w:type="dxa"/>
            <w:tcBorders>
              <w:tl2br w:val="nil"/>
              <w:tr2bl w:val="nil"/>
            </w:tcBorders>
            <w:vAlign w:val="center"/>
          </w:tcPr>
          <w:p w14:paraId="1707D411">
            <w:pPr>
              <w:spacing w:line="440" w:lineRule="exact"/>
              <w:jc w:val="center"/>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bidi="ar-SA"/>
              </w:rPr>
              <w:t>勘察设计工作量及计划安排</w:t>
            </w:r>
          </w:p>
        </w:tc>
        <w:tc>
          <w:tcPr>
            <w:tcW w:w="840" w:type="dxa"/>
            <w:tcBorders>
              <w:tl2br w:val="nil"/>
              <w:tr2bl w:val="nil"/>
            </w:tcBorders>
            <w:vAlign w:val="center"/>
          </w:tcPr>
          <w:p w14:paraId="7B9314E4">
            <w:pPr>
              <w:spacing w:line="440" w:lineRule="exact"/>
              <w:jc w:val="center"/>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bidi="ar-SA"/>
              </w:rPr>
              <w:t>分</w:t>
            </w:r>
          </w:p>
        </w:tc>
        <w:tc>
          <w:tcPr>
            <w:tcW w:w="4951" w:type="dxa"/>
            <w:tcBorders>
              <w:tl2br w:val="nil"/>
              <w:tr2bl w:val="nil"/>
            </w:tcBorders>
            <w:vAlign w:val="center"/>
          </w:tcPr>
          <w:p w14:paraId="6B792424">
            <w:pPr>
              <w:numPr>
                <w:ilvl w:val="0"/>
                <w:numId w:val="0"/>
              </w:num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bidi="zh-CN"/>
              </w:rPr>
              <w:t>（1）</w:t>
            </w:r>
            <w:r>
              <w:rPr>
                <w:rFonts w:hint="eastAsia" w:ascii="宋体" w:hAnsi="宋体" w:eastAsia="宋体" w:cs="宋体"/>
                <w:color w:val="auto"/>
                <w:sz w:val="24"/>
                <w:szCs w:val="24"/>
                <w:highlight w:val="none"/>
                <w:lang w:val="en-US"/>
              </w:rPr>
              <w:t>投标人对招标项目的勘察工作量及计划安排等方面进行阐述</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val="en-US"/>
              </w:rPr>
              <w:t>合理得1.8-2.0分，较合理得1.5-1.8分，一般得1.2-1.5分；</w:t>
            </w:r>
          </w:p>
          <w:p w14:paraId="5BC2695B">
            <w:pPr>
              <w:numPr>
                <w:ilvl w:val="0"/>
                <w:numId w:val="0"/>
              </w:num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bidi="zh-CN"/>
              </w:rPr>
              <w:t>（2）</w:t>
            </w:r>
            <w:r>
              <w:rPr>
                <w:rFonts w:hint="eastAsia" w:ascii="宋体" w:hAnsi="宋体" w:eastAsia="宋体" w:cs="宋体"/>
                <w:color w:val="auto"/>
                <w:sz w:val="24"/>
                <w:szCs w:val="24"/>
                <w:highlight w:val="none"/>
                <w:lang w:val="en-US"/>
              </w:rPr>
              <w:t>投标人对招标项目的专题论证工作量及计划安排等方面进行阐述（</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合理得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.0分，较合理得2.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分，一般得</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US"/>
              </w:rPr>
              <w:t>分；</w:t>
            </w:r>
          </w:p>
          <w:p w14:paraId="7D9E5ACB">
            <w:p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投标人对招标项目的设计工作量及计划安排等方面进行阐述（</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合理得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.0分，较合理得2.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分，一般得</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US"/>
              </w:rPr>
              <w:t>分。</w:t>
            </w:r>
          </w:p>
        </w:tc>
      </w:tr>
      <w:tr w14:paraId="47C6D3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4" w:type="dxa"/>
            <w:vMerge w:val="continue"/>
            <w:tcBorders>
              <w:tl2br w:val="nil"/>
              <w:tr2bl w:val="nil"/>
            </w:tcBorders>
            <w:vAlign w:val="center"/>
          </w:tcPr>
          <w:p w14:paraId="447C0653">
            <w:pPr>
              <w:spacing w:line="440" w:lineRule="exact"/>
              <w:jc w:val="center"/>
              <w:rPr>
                <w:rFonts w:hint="eastAsia" w:ascii="宋体" w:hAnsi="宋体" w:eastAsia="宋体" w:cs="宋体"/>
                <w:color w:val="auto"/>
                <w:sz w:val="24"/>
                <w:szCs w:val="24"/>
                <w:highlight w:val="none"/>
                <w:lang w:val="en-US"/>
              </w:rPr>
            </w:pPr>
          </w:p>
        </w:tc>
        <w:tc>
          <w:tcPr>
            <w:tcW w:w="1079" w:type="dxa"/>
            <w:vMerge w:val="continue"/>
            <w:tcBorders>
              <w:tl2br w:val="nil"/>
              <w:tr2bl w:val="nil"/>
            </w:tcBorders>
            <w:vAlign w:val="center"/>
          </w:tcPr>
          <w:p w14:paraId="27983518">
            <w:pPr>
              <w:spacing w:line="440" w:lineRule="exact"/>
              <w:jc w:val="center"/>
              <w:rPr>
                <w:rFonts w:hint="eastAsia" w:ascii="宋体" w:hAnsi="宋体" w:eastAsia="宋体" w:cs="宋体"/>
                <w:color w:val="auto"/>
                <w:sz w:val="24"/>
                <w:szCs w:val="24"/>
                <w:highlight w:val="none"/>
                <w:lang w:val="en-US"/>
              </w:rPr>
            </w:pPr>
          </w:p>
        </w:tc>
        <w:tc>
          <w:tcPr>
            <w:tcW w:w="784" w:type="dxa"/>
            <w:vMerge w:val="continue"/>
            <w:tcBorders>
              <w:tl2br w:val="nil"/>
              <w:tr2bl w:val="nil"/>
            </w:tcBorders>
            <w:vAlign w:val="center"/>
          </w:tcPr>
          <w:p w14:paraId="710B4103">
            <w:pPr>
              <w:spacing w:line="440" w:lineRule="exact"/>
              <w:jc w:val="center"/>
              <w:rPr>
                <w:rFonts w:hint="eastAsia" w:ascii="宋体" w:hAnsi="宋体" w:eastAsia="宋体" w:cs="宋体"/>
                <w:color w:val="auto"/>
                <w:sz w:val="24"/>
                <w:szCs w:val="24"/>
                <w:highlight w:val="none"/>
                <w:lang w:val="en-US"/>
              </w:rPr>
            </w:pPr>
          </w:p>
        </w:tc>
        <w:tc>
          <w:tcPr>
            <w:tcW w:w="1551" w:type="dxa"/>
            <w:tcBorders>
              <w:tl2br w:val="nil"/>
              <w:tr2bl w:val="nil"/>
            </w:tcBorders>
            <w:vAlign w:val="center"/>
          </w:tcPr>
          <w:p w14:paraId="320AC7E9">
            <w:pPr>
              <w:spacing w:line="440" w:lineRule="exact"/>
              <w:jc w:val="center"/>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bidi="ar-SA"/>
              </w:rPr>
              <w:t>勘察设计的质量保证措施进度保证措施、安全保证措施</w:t>
            </w:r>
          </w:p>
        </w:tc>
        <w:tc>
          <w:tcPr>
            <w:tcW w:w="840" w:type="dxa"/>
            <w:tcBorders>
              <w:tl2br w:val="nil"/>
              <w:tr2bl w:val="nil"/>
            </w:tcBorders>
            <w:vAlign w:val="center"/>
          </w:tcPr>
          <w:p w14:paraId="5A9F7700">
            <w:pPr>
              <w:spacing w:line="440" w:lineRule="exact"/>
              <w:jc w:val="center"/>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bidi="ar-SA"/>
              </w:rPr>
              <w:t>分</w:t>
            </w:r>
          </w:p>
        </w:tc>
        <w:tc>
          <w:tcPr>
            <w:tcW w:w="4951" w:type="dxa"/>
            <w:tcBorders>
              <w:tl2br w:val="nil"/>
              <w:tr2bl w:val="nil"/>
            </w:tcBorders>
            <w:vAlign w:val="center"/>
          </w:tcPr>
          <w:p w14:paraId="4019C2A2">
            <w:p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投标人对招标项目的质量保证措施、进度保证措施、安全保证措施等方面进行阐述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.0分，较合理得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.0分</w:t>
            </w:r>
            <w:r>
              <w:rPr>
                <w:rFonts w:hint="eastAsia" w:ascii="宋体" w:hAnsi="宋体" w:eastAsia="宋体" w:cs="宋体"/>
                <w:color w:val="auto"/>
                <w:sz w:val="24"/>
                <w:szCs w:val="24"/>
                <w:highlight w:val="none"/>
                <w:lang w:val="en-US" w:eastAsia="zh-CN"/>
              </w:rPr>
              <w:t>。</w:t>
            </w:r>
          </w:p>
        </w:tc>
      </w:tr>
      <w:tr w14:paraId="4E8F04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4" w:type="dxa"/>
            <w:vMerge w:val="continue"/>
            <w:tcBorders>
              <w:tl2br w:val="nil"/>
              <w:tr2bl w:val="nil"/>
            </w:tcBorders>
            <w:vAlign w:val="center"/>
          </w:tcPr>
          <w:p w14:paraId="22768ADC">
            <w:pPr>
              <w:spacing w:line="440" w:lineRule="exact"/>
              <w:jc w:val="center"/>
              <w:rPr>
                <w:rFonts w:hint="eastAsia" w:ascii="宋体" w:hAnsi="宋体" w:eastAsia="宋体" w:cs="宋体"/>
                <w:color w:val="auto"/>
                <w:sz w:val="24"/>
                <w:szCs w:val="24"/>
                <w:highlight w:val="none"/>
                <w:lang w:val="en-US"/>
              </w:rPr>
            </w:pPr>
          </w:p>
        </w:tc>
        <w:tc>
          <w:tcPr>
            <w:tcW w:w="1079" w:type="dxa"/>
            <w:vMerge w:val="continue"/>
            <w:tcBorders>
              <w:tl2br w:val="nil"/>
              <w:tr2bl w:val="nil"/>
            </w:tcBorders>
            <w:vAlign w:val="center"/>
          </w:tcPr>
          <w:p w14:paraId="7EE1A6B3">
            <w:pPr>
              <w:spacing w:line="440" w:lineRule="exact"/>
              <w:jc w:val="center"/>
              <w:rPr>
                <w:rFonts w:hint="eastAsia" w:ascii="宋体" w:hAnsi="宋体" w:eastAsia="宋体" w:cs="宋体"/>
                <w:color w:val="auto"/>
                <w:sz w:val="24"/>
                <w:szCs w:val="24"/>
                <w:highlight w:val="none"/>
                <w:lang w:val="en-US"/>
              </w:rPr>
            </w:pPr>
          </w:p>
        </w:tc>
        <w:tc>
          <w:tcPr>
            <w:tcW w:w="784" w:type="dxa"/>
            <w:vMerge w:val="continue"/>
            <w:tcBorders>
              <w:tl2br w:val="nil"/>
              <w:tr2bl w:val="nil"/>
            </w:tcBorders>
            <w:vAlign w:val="center"/>
          </w:tcPr>
          <w:p w14:paraId="0998F906">
            <w:pPr>
              <w:spacing w:line="440" w:lineRule="exact"/>
              <w:jc w:val="center"/>
              <w:rPr>
                <w:rFonts w:hint="eastAsia" w:ascii="宋体" w:hAnsi="宋体" w:eastAsia="宋体" w:cs="宋体"/>
                <w:color w:val="auto"/>
                <w:sz w:val="24"/>
                <w:szCs w:val="24"/>
                <w:highlight w:val="none"/>
                <w:lang w:val="en-US"/>
              </w:rPr>
            </w:pPr>
          </w:p>
        </w:tc>
        <w:tc>
          <w:tcPr>
            <w:tcW w:w="1551" w:type="dxa"/>
            <w:tcBorders>
              <w:tl2br w:val="nil"/>
              <w:tr2bl w:val="nil"/>
            </w:tcBorders>
            <w:vAlign w:val="center"/>
          </w:tcPr>
          <w:p w14:paraId="2B2A280D">
            <w:pPr>
              <w:spacing w:line="440" w:lineRule="exact"/>
              <w:jc w:val="center"/>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bidi="ar-SA"/>
              </w:rPr>
              <w:t>后续服务的安排及保证措施和相关承诺</w:t>
            </w:r>
          </w:p>
        </w:tc>
        <w:tc>
          <w:tcPr>
            <w:tcW w:w="840" w:type="dxa"/>
            <w:tcBorders>
              <w:tl2br w:val="nil"/>
              <w:tr2bl w:val="nil"/>
            </w:tcBorders>
            <w:vAlign w:val="center"/>
          </w:tcPr>
          <w:p w14:paraId="0BC62E40">
            <w:pPr>
              <w:spacing w:line="440" w:lineRule="exact"/>
              <w:jc w:val="center"/>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bidi="ar-SA"/>
              </w:rPr>
              <w:t>分</w:t>
            </w:r>
          </w:p>
        </w:tc>
        <w:tc>
          <w:tcPr>
            <w:tcW w:w="4951" w:type="dxa"/>
            <w:tcBorders>
              <w:tl2br w:val="nil"/>
              <w:tr2bl w:val="nil"/>
            </w:tcBorders>
            <w:vAlign w:val="center"/>
          </w:tcPr>
          <w:p w14:paraId="7D052227">
            <w:p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投标人对招标项目的后续服务的安排及保证措施和相关承诺等方面进行阐述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.0分，较合理得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.0分</w:t>
            </w:r>
            <w:r>
              <w:rPr>
                <w:rFonts w:hint="eastAsia" w:ascii="宋体" w:hAnsi="宋体" w:eastAsia="宋体" w:cs="宋体"/>
                <w:color w:val="auto"/>
                <w:sz w:val="24"/>
                <w:szCs w:val="24"/>
                <w:highlight w:val="none"/>
                <w:lang w:val="en-US" w:eastAsia="zh-CN"/>
              </w:rPr>
              <w:t>。</w:t>
            </w:r>
          </w:p>
        </w:tc>
      </w:tr>
      <w:tr w14:paraId="665F4E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4" w:type="dxa"/>
            <w:vMerge w:val="continue"/>
            <w:tcBorders>
              <w:tl2br w:val="nil"/>
              <w:tr2bl w:val="nil"/>
            </w:tcBorders>
            <w:vAlign w:val="center"/>
          </w:tcPr>
          <w:p w14:paraId="77F10F60">
            <w:pPr>
              <w:spacing w:line="440" w:lineRule="exact"/>
              <w:jc w:val="center"/>
              <w:rPr>
                <w:rFonts w:hint="eastAsia" w:ascii="宋体" w:hAnsi="宋体" w:eastAsia="宋体" w:cs="宋体"/>
                <w:color w:val="auto"/>
                <w:sz w:val="24"/>
                <w:szCs w:val="24"/>
                <w:highlight w:val="none"/>
                <w:lang w:val="en-US"/>
              </w:rPr>
            </w:pPr>
          </w:p>
        </w:tc>
        <w:tc>
          <w:tcPr>
            <w:tcW w:w="1079" w:type="dxa"/>
            <w:vMerge w:val="continue"/>
            <w:tcBorders>
              <w:tl2br w:val="nil"/>
              <w:tr2bl w:val="nil"/>
            </w:tcBorders>
            <w:vAlign w:val="center"/>
          </w:tcPr>
          <w:p w14:paraId="0BEEDA28">
            <w:pPr>
              <w:spacing w:line="440" w:lineRule="exact"/>
              <w:jc w:val="center"/>
              <w:rPr>
                <w:rFonts w:hint="eastAsia" w:ascii="宋体" w:hAnsi="宋体" w:eastAsia="宋体" w:cs="宋体"/>
                <w:color w:val="auto"/>
                <w:sz w:val="24"/>
                <w:szCs w:val="24"/>
                <w:highlight w:val="none"/>
                <w:lang w:val="en-US"/>
              </w:rPr>
            </w:pPr>
          </w:p>
        </w:tc>
        <w:tc>
          <w:tcPr>
            <w:tcW w:w="784" w:type="dxa"/>
            <w:vMerge w:val="continue"/>
            <w:tcBorders>
              <w:tl2br w:val="nil"/>
              <w:tr2bl w:val="nil"/>
            </w:tcBorders>
            <w:vAlign w:val="center"/>
          </w:tcPr>
          <w:p w14:paraId="6DB7902C">
            <w:pPr>
              <w:spacing w:line="440" w:lineRule="exact"/>
              <w:jc w:val="center"/>
              <w:rPr>
                <w:rFonts w:hint="eastAsia" w:ascii="宋体" w:hAnsi="宋体" w:eastAsia="宋体" w:cs="宋体"/>
                <w:color w:val="auto"/>
                <w:sz w:val="24"/>
                <w:szCs w:val="24"/>
                <w:highlight w:val="none"/>
                <w:lang w:val="en-US"/>
              </w:rPr>
            </w:pPr>
          </w:p>
        </w:tc>
        <w:tc>
          <w:tcPr>
            <w:tcW w:w="1551" w:type="dxa"/>
            <w:tcBorders>
              <w:tl2br w:val="nil"/>
              <w:tr2bl w:val="nil"/>
            </w:tcBorders>
            <w:vAlign w:val="center"/>
          </w:tcPr>
          <w:p w14:paraId="5B5976DE">
            <w:pPr>
              <w:spacing w:line="440" w:lineRule="exact"/>
              <w:jc w:val="center"/>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本项目的项目特点分析及保障分</w:t>
            </w:r>
            <w:r>
              <w:rPr>
                <w:rFonts w:hint="eastAsia" w:ascii="宋体" w:hAnsi="宋体" w:eastAsia="宋体" w:cs="宋体"/>
                <w:color w:val="auto"/>
                <w:sz w:val="24"/>
                <w:szCs w:val="24"/>
                <w:highlight w:val="none"/>
                <w:lang w:val="en-US" w:bidi="ar-SA"/>
              </w:rPr>
              <w:t>析</w:t>
            </w:r>
          </w:p>
        </w:tc>
        <w:tc>
          <w:tcPr>
            <w:tcW w:w="840" w:type="dxa"/>
            <w:tcBorders>
              <w:tl2br w:val="nil"/>
              <w:tr2bl w:val="nil"/>
            </w:tcBorders>
            <w:vAlign w:val="center"/>
          </w:tcPr>
          <w:p w14:paraId="07891985">
            <w:pPr>
              <w:spacing w:line="440" w:lineRule="exact"/>
              <w:jc w:val="center"/>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bidi="ar-SA"/>
              </w:rPr>
              <w:t>分</w:t>
            </w:r>
          </w:p>
        </w:tc>
        <w:tc>
          <w:tcPr>
            <w:tcW w:w="4951" w:type="dxa"/>
            <w:tcBorders>
              <w:tl2br w:val="nil"/>
              <w:tr2bl w:val="nil"/>
            </w:tcBorders>
            <w:vAlign w:val="center"/>
          </w:tcPr>
          <w:p w14:paraId="29CB5B7D">
            <w:p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投标人对招标项目的</w:t>
            </w:r>
            <w:r>
              <w:rPr>
                <w:rFonts w:hint="eastAsia" w:ascii="宋体" w:hAnsi="宋体" w:eastAsia="宋体" w:cs="宋体"/>
                <w:color w:val="auto"/>
                <w:sz w:val="24"/>
                <w:szCs w:val="24"/>
                <w:highlight w:val="none"/>
                <w:lang w:val="en-US" w:eastAsia="zh-CN"/>
              </w:rPr>
              <w:t>项目特点进行阐述，并给出保障要素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.0分，较合理得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.5分，一般得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.0分</w:t>
            </w:r>
            <w:r>
              <w:rPr>
                <w:rFonts w:hint="eastAsia" w:ascii="宋体" w:hAnsi="宋体" w:eastAsia="宋体" w:cs="宋体"/>
                <w:color w:val="auto"/>
                <w:sz w:val="24"/>
                <w:szCs w:val="24"/>
                <w:highlight w:val="none"/>
                <w:lang w:val="en-US" w:eastAsia="zh-CN"/>
              </w:rPr>
              <w:t>。</w:t>
            </w:r>
          </w:p>
        </w:tc>
      </w:tr>
      <w:tr w14:paraId="765225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37" w:hRule="atLeast"/>
          <w:jc w:val="center"/>
        </w:trPr>
        <w:tc>
          <w:tcPr>
            <w:tcW w:w="1134" w:type="dxa"/>
            <w:vMerge w:val="restart"/>
            <w:tcBorders>
              <w:tl2br w:val="nil"/>
              <w:tr2bl w:val="nil"/>
            </w:tcBorders>
            <w:vAlign w:val="center"/>
          </w:tcPr>
          <w:p w14:paraId="7FAFAD4F">
            <w:pPr>
              <w:spacing w:line="44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w:t>
            </w:r>
          </w:p>
        </w:tc>
        <w:tc>
          <w:tcPr>
            <w:tcW w:w="1079" w:type="dxa"/>
            <w:vMerge w:val="restart"/>
            <w:tcBorders>
              <w:tl2br w:val="nil"/>
              <w:tr2bl w:val="nil"/>
            </w:tcBorders>
            <w:vAlign w:val="center"/>
          </w:tcPr>
          <w:p w14:paraId="2298818D">
            <w:pPr>
              <w:spacing w:line="44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商务</w:t>
            </w:r>
          </w:p>
          <w:p w14:paraId="2571FBBB">
            <w:pPr>
              <w:spacing w:line="44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部分</w:t>
            </w:r>
          </w:p>
        </w:tc>
        <w:tc>
          <w:tcPr>
            <w:tcW w:w="784" w:type="dxa"/>
            <w:vMerge w:val="restart"/>
            <w:tcBorders>
              <w:tl2br w:val="nil"/>
              <w:tr2bl w:val="nil"/>
            </w:tcBorders>
            <w:vAlign w:val="center"/>
          </w:tcPr>
          <w:p w14:paraId="0F079C0C">
            <w:pPr>
              <w:spacing w:line="44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0分</w:t>
            </w:r>
          </w:p>
        </w:tc>
        <w:tc>
          <w:tcPr>
            <w:tcW w:w="1551" w:type="dxa"/>
            <w:tcBorders>
              <w:tl2br w:val="nil"/>
              <w:tr2bl w:val="nil"/>
            </w:tcBorders>
            <w:vAlign w:val="center"/>
          </w:tcPr>
          <w:p w14:paraId="6137E1A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w:t>
            </w:r>
          </w:p>
        </w:tc>
        <w:tc>
          <w:tcPr>
            <w:tcW w:w="840" w:type="dxa"/>
            <w:tcBorders>
              <w:tl2br w:val="nil"/>
              <w:tr2bl w:val="nil"/>
            </w:tcBorders>
            <w:vAlign w:val="center"/>
          </w:tcPr>
          <w:p w14:paraId="7B1542E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4951" w:type="dxa"/>
            <w:tcBorders>
              <w:tl2br w:val="nil"/>
              <w:tr2bl w:val="nil"/>
            </w:tcBorders>
            <w:vAlign w:val="center"/>
          </w:tcPr>
          <w:p w14:paraId="13F2DAFD">
            <w:p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1、投标人满足资格审查业绩要求的，得</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en-US"/>
              </w:rPr>
              <w:t>分；</w:t>
            </w:r>
          </w:p>
          <w:p w14:paraId="757B0444">
            <w:p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2、除资格审查业绩外：</w:t>
            </w:r>
          </w:p>
          <w:p w14:paraId="79A33745">
            <w:p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val="en-US" w:eastAsia="zh-CN"/>
              </w:rPr>
              <w:t>近五年</w:t>
            </w:r>
            <w:r>
              <w:rPr>
                <w:rFonts w:hint="eastAsia" w:ascii="宋体" w:hAnsi="宋体" w:eastAsia="宋体" w:cs="宋体"/>
                <w:color w:val="auto"/>
                <w:sz w:val="24"/>
                <w:szCs w:val="24"/>
                <w:highlight w:val="none"/>
                <w:lang w:val="en-US"/>
              </w:rPr>
              <w:t>每增加</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rPr>
              <w:t>1个</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000吨级及以上的</w:t>
            </w:r>
            <w:r>
              <w:rPr>
                <w:rFonts w:hint="eastAsia" w:ascii="宋体" w:hAnsi="宋体" w:eastAsia="宋体" w:cs="宋体"/>
                <w:color w:val="auto"/>
                <w:sz w:val="24"/>
                <w:szCs w:val="24"/>
                <w:highlight w:val="none"/>
                <w:lang w:val="en-US" w:eastAsia="zh-CN"/>
              </w:rPr>
              <w:t>危化品</w:t>
            </w:r>
            <w:r>
              <w:rPr>
                <w:rFonts w:hint="eastAsia" w:ascii="宋体" w:hAnsi="宋体" w:eastAsia="宋体" w:cs="宋体"/>
                <w:color w:val="auto"/>
                <w:sz w:val="24"/>
                <w:szCs w:val="24"/>
                <w:highlight w:val="none"/>
                <w:lang w:val="en-US"/>
              </w:rPr>
              <w:t>码头设计业绩，</w:t>
            </w:r>
            <w:r>
              <w:rPr>
                <w:rFonts w:hint="eastAsia" w:ascii="宋体" w:hAnsi="宋体" w:eastAsia="宋体" w:cs="宋体"/>
                <w:color w:val="auto"/>
                <w:sz w:val="24"/>
                <w:szCs w:val="24"/>
                <w:highlight w:val="none"/>
                <w:lang w:val="en-US" w:eastAsia="zh-CN"/>
              </w:rPr>
              <w:t>加3</w:t>
            </w:r>
            <w:r>
              <w:rPr>
                <w:rFonts w:hint="eastAsia" w:ascii="宋体" w:hAnsi="宋体" w:eastAsia="宋体" w:cs="宋体"/>
                <w:color w:val="auto"/>
                <w:sz w:val="24"/>
                <w:szCs w:val="24"/>
                <w:highlight w:val="none"/>
                <w:lang w:val="en-US"/>
              </w:rPr>
              <w:t>分，本项最高得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分；</w:t>
            </w:r>
          </w:p>
          <w:p w14:paraId="247ED799">
            <w:p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注：同一项目不同阶段的业绩不得累计加分。</w:t>
            </w:r>
          </w:p>
          <w:p w14:paraId="77B08C2E">
            <w:pPr>
              <w:spacing w:line="440" w:lineRule="exact"/>
              <w:jc w:val="both"/>
              <w:rPr>
                <w:rFonts w:hint="eastAsia" w:ascii="宋体" w:hAnsi="宋体" w:eastAsia="宋体" w:cs="宋体"/>
                <w:color w:val="auto"/>
                <w:highlight w:val="none"/>
                <w:lang w:val="en-US"/>
              </w:rPr>
            </w:pPr>
            <w:r>
              <w:rPr>
                <w:rFonts w:hint="eastAsia" w:ascii="宋体" w:hAnsi="宋体" w:eastAsia="宋体" w:cs="宋体"/>
                <w:b/>
                <w:bCs/>
                <w:color w:val="auto"/>
                <w:sz w:val="24"/>
                <w:szCs w:val="24"/>
                <w:highlight w:val="none"/>
                <w:lang w:val="en-US"/>
              </w:rPr>
              <w:t>评审依据：加盖投标人公章的合同协议书、</w:t>
            </w:r>
            <w:r>
              <w:rPr>
                <w:rFonts w:hint="eastAsia" w:ascii="宋体" w:hAnsi="宋体" w:eastAsia="宋体" w:cs="宋体"/>
                <w:b/>
                <w:bCs/>
                <w:color w:val="auto"/>
                <w:sz w:val="24"/>
                <w:szCs w:val="24"/>
                <w:highlight w:val="none"/>
                <w:lang w:val="en-US" w:eastAsia="zh-CN"/>
              </w:rPr>
              <w:t>初步设计批复或</w:t>
            </w:r>
            <w:r>
              <w:rPr>
                <w:rFonts w:hint="eastAsia" w:ascii="宋体" w:hAnsi="宋体" w:eastAsia="宋体" w:cs="宋体"/>
                <w:b/>
                <w:bCs/>
                <w:color w:val="auto"/>
                <w:sz w:val="24"/>
                <w:szCs w:val="24"/>
                <w:highlight w:val="none"/>
                <w:lang w:val="en-US"/>
              </w:rPr>
              <w:t>施工图批复</w:t>
            </w:r>
            <w:r>
              <w:rPr>
                <w:rFonts w:hint="eastAsia" w:ascii="宋体" w:hAnsi="宋体" w:eastAsia="宋体" w:cs="宋体"/>
                <w:b/>
                <w:bCs/>
                <w:color w:val="auto"/>
                <w:sz w:val="24"/>
                <w:szCs w:val="24"/>
                <w:highlight w:val="none"/>
                <w:lang w:val="en-US" w:eastAsia="zh-CN"/>
              </w:rPr>
              <w:t>（提供初步设计业绩则提供初步设计批复；提供施工图设计业绩则提供施工图批复）</w:t>
            </w:r>
            <w:r>
              <w:rPr>
                <w:rFonts w:hint="eastAsia" w:ascii="宋体" w:hAnsi="宋体" w:eastAsia="宋体" w:cs="宋体"/>
                <w:b/>
                <w:bCs/>
                <w:color w:val="auto"/>
                <w:sz w:val="24"/>
                <w:szCs w:val="24"/>
                <w:highlight w:val="none"/>
                <w:lang w:val="en-US"/>
              </w:rPr>
              <w:t>。</w:t>
            </w:r>
          </w:p>
        </w:tc>
      </w:tr>
      <w:tr w14:paraId="6DE642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tcBorders>
              <w:tl2br w:val="nil"/>
              <w:tr2bl w:val="nil"/>
            </w:tcBorders>
            <w:vAlign w:val="center"/>
          </w:tcPr>
          <w:p w14:paraId="44DEE79A">
            <w:pPr>
              <w:spacing w:line="440" w:lineRule="exact"/>
              <w:jc w:val="center"/>
              <w:rPr>
                <w:rFonts w:hint="eastAsia" w:ascii="宋体" w:hAnsi="宋体" w:eastAsia="宋体" w:cs="宋体"/>
                <w:color w:val="auto"/>
                <w:sz w:val="24"/>
                <w:szCs w:val="24"/>
                <w:highlight w:val="none"/>
                <w:lang w:val="en-US"/>
              </w:rPr>
            </w:pPr>
          </w:p>
        </w:tc>
        <w:tc>
          <w:tcPr>
            <w:tcW w:w="1079" w:type="dxa"/>
            <w:vMerge w:val="continue"/>
            <w:tcBorders>
              <w:tl2br w:val="nil"/>
              <w:tr2bl w:val="nil"/>
            </w:tcBorders>
            <w:vAlign w:val="center"/>
          </w:tcPr>
          <w:p w14:paraId="0C28919B">
            <w:pPr>
              <w:spacing w:line="440" w:lineRule="exact"/>
              <w:jc w:val="center"/>
              <w:rPr>
                <w:rFonts w:hint="eastAsia" w:ascii="宋体" w:hAnsi="宋体" w:eastAsia="宋体" w:cs="宋体"/>
                <w:color w:val="auto"/>
                <w:sz w:val="24"/>
                <w:szCs w:val="24"/>
                <w:highlight w:val="none"/>
              </w:rPr>
            </w:pPr>
          </w:p>
        </w:tc>
        <w:tc>
          <w:tcPr>
            <w:tcW w:w="784" w:type="dxa"/>
            <w:vMerge w:val="continue"/>
            <w:tcBorders>
              <w:tl2br w:val="nil"/>
              <w:tr2bl w:val="nil"/>
            </w:tcBorders>
            <w:vAlign w:val="center"/>
          </w:tcPr>
          <w:p w14:paraId="03AB0F11">
            <w:pPr>
              <w:spacing w:line="440" w:lineRule="exact"/>
              <w:jc w:val="center"/>
              <w:rPr>
                <w:rFonts w:hint="eastAsia" w:ascii="宋体" w:hAnsi="宋体" w:eastAsia="宋体" w:cs="宋体"/>
                <w:color w:val="auto"/>
                <w:sz w:val="24"/>
                <w:szCs w:val="24"/>
                <w:highlight w:val="none"/>
                <w:lang w:val="en-US"/>
              </w:rPr>
            </w:pPr>
          </w:p>
        </w:tc>
        <w:tc>
          <w:tcPr>
            <w:tcW w:w="1551" w:type="dxa"/>
            <w:tcBorders>
              <w:tl2br w:val="nil"/>
              <w:tr2bl w:val="nil"/>
            </w:tcBorders>
            <w:vAlign w:val="center"/>
          </w:tcPr>
          <w:p w14:paraId="6649DB9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w:t>
            </w:r>
          </w:p>
        </w:tc>
        <w:tc>
          <w:tcPr>
            <w:tcW w:w="840" w:type="dxa"/>
            <w:tcBorders>
              <w:tl2br w:val="nil"/>
              <w:tr2bl w:val="nil"/>
            </w:tcBorders>
            <w:vAlign w:val="center"/>
          </w:tcPr>
          <w:p w14:paraId="54409268">
            <w:pPr>
              <w:numPr>
                <w:ilvl w:val="-1"/>
                <w:numId w:val="0"/>
              </w:numPr>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655B0A90">
            <w:pPr>
              <w:spacing w:line="440" w:lineRule="exact"/>
              <w:jc w:val="center"/>
              <w:rPr>
                <w:rFonts w:hint="eastAsia" w:ascii="宋体" w:hAnsi="宋体" w:eastAsia="宋体" w:cs="宋体"/>
                <w:color w:val="auto"/>
                <w:sz w:val="24"/>
                <w:szCs w:val="24"/>
                <w:highlight w:val="none"/>
              </w:rPr>
            </w:pPr>
          </w:p>
        </w:tc>
        <w:tc>
          <w:tcPr>
            <w:tcW w:w="4951" w:type="dxa"/>
            <w:tcBorders>
              <w:tl2br w:val="nil"/>
              <w:tr2bl w:val="nil"/>
            </w:tcBorders>
            <w:vAlign w:val="center"/>
          </w:tcPr>
          <w:p w14:paraId="2803124C">
            <w:pPr>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（1）投标人满足资格审查要求的，得</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val="en-US"/>
              </w:rPr>
              <w:t>分；</w:t>
            </w:r>
          </w:p>
          <w:p w14:paraId="03E1CDE6">
            <w:pPr>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rPr>
              <w:t>满足资格审查的基础上，项目负责人</w:t>
            </w:r>
            <w:r>
              <w:rPr>
                <w:rFonts w:hint="eastAsia" w:ascii="宋体" w:hAnsi="宋体" w:eastAsia="宋体" w:cs="宋体"/>
                <w:color w:val="auto"/>
                <w:sz w:val="24"/>
                <w:szCs w:val="24"/>
                <w:highlight w:val="none"/>
                <w:lang w:val="en-US" w:eastAsia="zh-CN"/>
              </w:rPr>
              <w:t>每增加完成一个</w:t>
            </w:r>
            <w:r>
              <w:rPr>
                <w:rFonts w:hint="eastAsia" w:ascii="宋体" w:hAnsi="宋体" w:eastAsia="宋体" w:cs="宋体"/>
                <w:color w:val="auto"/>
                <w:sz w:val="24"/>
                <w:szCs w:val="24"/>
                <w:highlight w:val="none"/>
                <w:lang w:val="en-US"/>
              </w:rPr>
              <w:t>3000吨级及以上</w:t>
            </w:r>
            <w:r>
              <w:rPr>
                <w:rFonts w:hint="eastAsia" w:ascii="宋体" w:hAnsi="宋体" w:eastAsia="宋体" w:cs="宋体"/>
                <w:color w:val="auto"/>
                <w:sz w:val="24"/>
                <w:szCs w:val="24"/>
                <w:highlight w:val="none"/>
                <w:lang w:val="en-US" w:eastAsia="zh-CN"/>
              </w:rPr>
              <w:t>危化品</w:t>
            </w:r>
            <w:r>
              <w:rPr>
                <w:rFonts w:hint="eastAsia" w:ascii="宋体" w:hAnsi="宋体" w:eastAsia="宋体" w:cs="宋体"/>
                <w:color w:val="auto"/>
                <w:sz w:val="24"/>
                <w:szCs w:val="24"/>
                <w:highlight w:val="none"/>
                <w:lang w:val="en-US"/>
              </w:rPr>
              <w:t>码头设计业绩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加2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rPr>
              <w:t>本项最高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6448A08">
            <w:pPr>
              <w:pStyle w:val="2"/>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注：同一项目不同阶段的业绩不得累计加分。</w:t>
            </w:r>
          </w:p>
          <w:p w14:paraId="3C8E3E58">
            <w:pPr>
              <w:spacing w:line="440" w:lineRule="exact"/>
              <w:jc w:val="both"/>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eastAsia="zh-CN"/>
              </w:rPr>
              <w:t>评审依据：加盖投标人公章的</w:t>
            </w:r>
            <w:r>
              <w:rPr>
                <w:rFonts w:hint="eastAsia" w:ascii="宋体" w:hAnsi="宋体" w:eastAsia="宋体" w:cs="宋体"/>
                <w:b/>
                <w:bCs/>
                <w:color w:val="auto"/>
                <w:sz w:val="24"/>
                <w:szCs w:val="24"/>
                <w:highlight w:val="none"/>
              </w:rPr>
              <w:t>合同协议书彩色扫描件</w:t>
            </w:r>
            <w:r>
              <w:rPr>
                <w:rFonts w:hint="eastAsia" w:ascii="宋体" w:hAnsi="宋体" w:eastAsia="宋体" w:cs="宋体"/>
                <w:b/>
                <w:bCs/>
                <w:color w:val="auto"/>
                <w:sz w:val="24"/>
                <w:szCs w:val="24"/>
                <w:highlight w:val="none"/>
                <w:lang w:val="en-US" w:eastAsia="zh-CN"/>
              </w:rPr>
              <w:t>，以及初步设计批复或</w:t>
            </w:r>
            <w:r>
              <w:rPr>
                <w:rFonts w:hint="eastAsia" w:ascii="宋体" w:hAnsi="宋体" w:eastAsia="宋体" w:cs="宋体"/>
                <w:b/>
                <w:bCs/>
                <w:color w:val="auto"/>
                <w:sz w:val="24"/>
                <w:szCs w:val="24"/>
                <w:highlight w:val="none"/>
                <w:lang w:val="en-US"/>
              </w:rPr>
              <w:t>施工图批复</w:t>
            </w:r>
            <w:r>
              <w:rPr>
                <w:rFonts w:hint="eastAsia" w:ascii="宋体" w:hAnsi="宋体" w:eastAsia="宋体" w:cs="宋体"/>
                <w:b/>
                <w:bCs/>
                <w:color w:val="auto"/>
                <w:sz w:val="24"/>
                <w:szCs w:val="24"/>
                <w:highlight w:val="none"/>
              </w:rPr>
              <w:t>或</w:t>
            </w:r>
            <w:r>
              <w:rPr>
                <w:rFonts w:hint="eastAsia" w:ascii="宋体" w:hAnsi="宋体" w:eastAsia="宋体" w:cs="宋体"/>
                <w:b/>
                <w:bCs/>
                <w:color w:val="auto"/>
                <w:sz w:val="24"/>
                <w:szCs w:val="24"/>
                <w:highlight w:val="none"/>
                <w:lang w:val="en-US" w:eastAsia="zh-CN"/>
              </w:rPr>
              <w:t>发包人（</w:t>
            </w:r>
            <w:r>
              <w:rPr>
                <w:rFonts w:hint="eastAsia" w:ascii="宋体" w:hAnsi="宋体" w:eastAsia="宋体" w:cs="宋体"/>
                <w:b/>
                <w:bCs/>
                <w:color w:val="auto"/>
                <w:sz w:val="24"/>
                <w:szCs w:val="24"/>
                <w:highlight w:val="none"/>
              </w:rPr>
              <w:t>上级审批部门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出具的相关业绩证明材料的彩色扫描件</w:t>
            </w:r>
            <w:r>
              <w:rPr>
                <w:rFonts w:hint="eastAsia" w:ascii="宋体" w:hAnsi="宋体" w:eastAsia="宋体" w:cs="宋体"/>
                <w:b/>
                <w:bCs/>
                <w:color w:val="auto"/>
                <w:sz w:val="24"/>
                <w:szCs w:val="24"/>
                <w:highlight w:val="none"/>
                <w:lang w:val="en-US"/>
              </w:rPr>
              <w:t>。</w:t>
            </w:r>
          </w:p>
        </w:tc>
      </w:tr>
      <w:tr w14:paraId="166D97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1134" w:type="dxa"/>
            <w:tcBorders>
              <w:tl2br w:val="nil"/>
              <w:tr2bl w:val="nil"/>
            </w:tcBorders>
            <w:vAlign w:val="center"/>
          </w:tcPr>
          <w:p w14:paraId="38DE8B23">
            <w:pPr>
              <w:pStyle w:val="12"/>
              <w:spacing w:line="44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2.2.4（3）</w:t>
            </w:r>
          </w:p>
        </w:tc>
        <w:tc>
          <w:tcPr>
            <w:tcW w:w="1079" w:type="dxa"/>
            <w:tcBorders>
              <w:tl2br w:val="nil"/>
              <w:tr2bl w:val="nil"/>
            </w:tcBorders>
            <w:vAlign w:val="center"/>
          </w:tcPr>
          <w:p w14:paraId="77490DCE">
            <w:pPr>
              <w:pStyle w:val="12"/>
              <w:spacing w:line="440" w:lineRule="exact"/>
              <w:ind w:right="-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w:t>
            </w:r>
          </w:p>
        </w:tc>
        <w:tc>
          <w:tcPr>
            <w:tcW w:w="784" w:type="dxa"/>
            <w:tcBorders>
              <w:tl2br w:val="nil"/>
              <w:tr2bl w:val="nil"/>
            </w:tcBorders>
            <w:vAlign w:val="center"/>
          </w:tcPr>
          <w:p w14:paraId="0645F55F">
            <w:pPr>
              <w:pStyle w:val="12"/>
              <w:spacing w:line="44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0分</w:t>
            </w:r>
          </w:p>
        </w:tc>
        <w:tc>
          <w:tcPr>
            <w:tcW w:w="7342" w:type="dxa"/>
            <w:gridSpan w:val="3"/>
            <w:tcBorders>
              <w:tl2br w:val="nil"/>
              <w:tr2bl w:val="nil"/>
            </w:tcBorders>
            <w:vAlign w:val="center"/>
          </w:tcPr>
          <w:p w14:paraId="4A41A136">
            <w:pPr>
              <w:spacing w:line="44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评标价得分计算公式：</w:t>
            </w:r>
          </w:p>
          <w:p w14:paraId="048960DC">
            <w:pPr>
              <w:spacing w:line="44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（1）如果投标人的评标价&gt;评标基准价，则评标价得分＝P－偏差率×100×E1；</w:t>
            </w:r>
          </w:p>
          <w:p w14:paraId="077B2980">
            <w:pPr>
              <w:spacing w:line="44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（2）如果投标人的评标价≤评标基准价，则评标价得分＝P+偏差率×100×E2</w:t>
            </w:r>
          </w:p>
          <w:p w14:paraId="45FDE355">
            <w:pPr>
              <w:spacing w:line="44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注：E1=0.5，E2=0.3，P=10</w:t>
            </w:r>
          </w:p>
          <w:p w14:paraId="46D94847">
            <w:pPr>
              <w:spacing w:line="44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（3）分值结果保留小数点后二位,小数点后第3位“四舍五入”。</w:t>
            </w:r>
          </w:p>
          <w:p w14:paraId="00DD82E2">
            <w:pPr>
              <w:spacing w:line="44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（4）报价得分最低为零分。</w:t>
            </w:r>
          </w:p>
        </w:tc>
      </w:tr>
    </w:tbl>
    <w:p w14:paraId="7D7067BD">
      <w:pPr>
        <w:spacing w:line="440" w:lineRule="exact"/>
        <w:ind w:right="8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注：所有证明材料不得弄虚作假，一经发现查实，没收其投标保证金，记不良记录一次，上报省交通行政主管部门，记录全国水运建设市场信用信息管理系统违规不良行为，列入黑名单。</w:t>
      </w:r>
    </w:p>
    <w:p w14:paraId="43BA3C9B">
      <w:pPr>
        <w:pStyle w:val="4"/>
        <w:ind w:left="0" w:leftChars="0" w:firstLine="0" w:firstLineChars="0"/>
        <w:jc w:val="left"/>
        <w:rPr>
          <w:rFonts w:hint="eastAsia" w:eastAsia="宋体"/>
          <w:b/>
          <w:bCs w:val="0"/>
          <w:color w:val="auto"/>
          <w:sz w:val="24"/>
          <w:szCs w:val="24"/>
          <w:highlight w:val="none"/>
        </w:rPr>
      </w:pPr>
      <w:bookmarkStart w:id="8" w:name="_bookmark12"/>
      <w:bookmarkEnd w:id="8"/>
      <w:bookmarkStart w:id="9" w:name="1._评标方法"/>
      <w:bookmarkEnd w:id="9"/>
      <w:bookmarkStart w:id="10" w:name="_Toc10382"/>
      <w:bookmarkStart w:id="11" w:name="_Toc82338929"/>
      <w:bookmarkStart w:id="12" w:name="_Toc10930"/>
      <w:bookmarkStart w:id="13" w:name="_Toc7432"/>
      <w:bookmarkStart w:id="14" w:name="_Toc492300418"/>
      <w:bookmarkStart w:id="15" w:name="_1.评标方法"/>
    </w:p>
    <w:p w14:paraId="1CAF7356">
      <w:pPr>
        <w:pStyle w:val="4"/>
        <w:ind w:left="0" w:leftChars="0" w:firstLine="0" w:firstLineChars="0"/>
        <w:jc w:val="left"/>
        <w:rPr>
          <w:rFonts w:hint="eastAsia" w:ascii="宋体" w:hAnsi="宋体" w:eastAsia="宋体" w:cs="宋体"/>
          <w:b/>
          <w:color w:val="auto"/>
          <w:sz w:val="24"/>
          <w:szCs w:val="24"/>
          <w:highlight w:val="none"/>
        </w:rPr>
      </w:pPr>
      <w:r>
        <w:rPr>
          <w:rFonts w:hint="eastAsia" w:eastAsia="宋体"/>
          <w:b/>
          <w:bCs w:val="0"/>
          <w:color w:val="auto"/>
          <w:sz w:val="24"/>
          <w:szCs w:val="24"/>
          <w:highlight w:val="none"/>
        </w:rPr>
        <w:t>1.评标方法</w:t>
      </w:r>
      <w:bookmarkEnd w:id="10"/>
      <w:bookmarkEnd w:id="11"/>
      <w:bookmarkEnd w:id="12"/>
      <w:bookmarkEnd w:id="13"/>
      <w:bookmarkEnd w:id="14"/>
    </w:p>
    <w:bookmarkEnd w:id="15"/>
    <w:p w14:paraId="2BF3D3DA">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16" w:name="_Toc152042375"/>
      <w:bookmarkStart w:id="17" w:name="_Toc144974565"/>
      <w:bookmarkStart w:id="18" w:name="_Toc300835008"/>
      <w:bookmarkStart w:id="19" w:name="_Toc247527623"/>
      <w:bookmarkStart w:id="20" w:name="_Toc152045598"/>
      <w:bookmarkStart w:id="21" w:name="_Toc4497"/>
      <w:bookmarkStart w:id="22" w:name="_Toc247514022"/>
      <w:bookmarkStart w:id="23" w:name="_Toc352691533"/>
      <w:bookmarkStart w:id="24" w:name="_Toc384308272"/>
      <w:bookmarkStart w:id="25" w:name="_Toc361508646"/>
      <w:bookmarkStart w:id="26" w:name="_Toc369531577"/>
      <w:r>
        <w:rPr>
          <w:rFonts w:hint="eastAsia" w:ascii="宋体" w:hAnsi="宋体" w:eastAsia="宋体" w:cs="宋体"/>
          <w:color w:val="auto"/>
          <w:sz w:val="24"/>
          <w:szCs w:val="24"/>
          <w:highlight w:val="none"/>
        </w:rPr>
        <w:t>外。</w:t>
      </w:r>
      <w:bookmarkEnd w:id="16"/>
      <w:bookmarkEnd w:id="17"/>
      <w:bookmarkEnd w:id="18"/>
      <w:bookmarkEnd w:id="19"/>
      <w:bookmarkEnd w:id="20"/>
      <w:bookmarkEnd w:id="21"/>
      <w:bookmarkEnd w:id="22"/>
      <w:bookmarkEnd w:id="23"/>
      <w:bookmarkEnd w:id="24"/>
      <w:bookmarkEnd w:id="25"/>
      <w:bookmarkEnd w:id="26"/>
      <w:r>
        <w:rPr>
          <w:rFonts w:hint="eastAsia" w:ascii="宋体" w:hAnsi="宋体" w:eastAsia="宋体" w:cs="宋体"/>
          <w:color w:val="auto"/>
          <w:sz w:val="24"/>
          <w:szCs w:val="24"/>
          <w:highlight w:val="none"/>
        </w:rPr>
        <w:t>综合评分相等时，以投标报价低的优先；投标报价也相等的，以设计方案得分高的优先；如果设计方案得分也相等，按照评标办法前附表的规定确定中标候选人顺序。</w:t>
      </w:r>
    </w:p>
    <w:p w14:paraId="446CEC90">
      <w:pPr>
        <w:pStyle w:val="4"/>
        <w:ind w:left="0" w:leftChars="0" w:firstLine="0" w:firstLineChars="0"/>
        <w:jc w:val="left"/>
        <w:rPr>
          <w:rFonts w:hint="eastAsia" w:ascii="宋体" w:hAnsi="宋体" w:eastAsia="宋体" w:cs="宋体"/>
          <w:b/>
          <w:color w:val="auto"/>
          <w:sz w:val="24"/>
          <w:szCs w:val="24"/>
          <w:highlight w:val="none"/>
        </w:rPr>
      </w:pPr>
      <w:bookmarkStart w:id="27" w:name="_Toc25200"/>
      <w:bookmarkStart w:id="28" w:name="_Toc82338930"/>
      <w:bookmarkStart w:id="29" w:name="_Toc29340"/>
      <w:bookmarkStart w:id="30" w:name="_Toc492300419"/>
      <w:bookmarkStart w:id="31" w:name="_Toc27059"/>
      <w:bookmarkStart w:id="32" w:name="_2.评审标准"/>
      <w:r>
        <w:rPr>
          <w:rFonts w:hint="eastAsia" w:eastAsia="宋体"/>
          <w:b/>
          <w:bCs w:val="0"/>
          <w:color w:val="auto"/>
          <w:sz w:val="24"/>
          <w:szCs w:val="24"/>
          <w:highlight w:val="none"/>
        </w:rPr>
        <w:t>2.</w:t>
      </w:r>
      <w:r>
        <w:rPr>
          <w:rFonts w:hint="default" w:eastAsia="宋体"/>
          <w:b/>
          <w:bCs w:val="0"/>
          <w:color w:val="auto"/>
          <w:sz w:val="24"/>
          <w:szCs w:val="24"/>
          <w:highlight w:val="none"/>
        </w:rPr>
        <w:t>评审标准</w:t>
      </w:r>
      <w:bookmarkEnd w:id="27"/>
      <w:bookmarkEnd w:id="28"/>
      <w:bookmarkEnd w:id="29"/>
      <w:bookmarkEnd w:id="30"/>
      <w:bookmarkEnd w:id="31"/>
    </w:p>
    <w:bookmarkEnd w:id="32"/>
    <w:p w14:paraId="18837295">
      <w:pPr>
        <w:keepNext/>
        <w:keepLines/>
        <w:spacing w:line="440" w:lineRule="exact"/>
        <w:ind w:firstLine="117" w:firstLineChars="49"/>
        <w:jc w:val="left"/>
        <w:outlineLvl w:val="2"/>
        <w:rPr>
          <w:rFonts w:hint="eastAsia" w:ascii="宋体" w:hAnsi="宋体" w:eastAsia="宋体" w:cs="宋体"/>
          <w:color w:val="auto"/>
          <w:sz w:val="24"/>
          <w:szCs w:val="24"/>
          <w:highlight w:val="none"/>
        </w:rPr>
      </w:pPr>
      <w:bookmarkStart w:id="33" w:name="_Toc492300420"/>
      <w:r>
        <w:rPr>
          <w:rFonts w:hint="eastAsia" w:ascii="宋体" w:hAnsi="宋体" w:eastAsia="宋体" w:cs="宋体"/>
          <w:color w:val="auto"/>
          <w:sz w:val="24"/>
          <w:szCs w:val="24"/>
          <w:highlight w:val="none"/>
        </w:rPr>
        <w:t>2.1 初步评审标准</w:t>
      </w:r>
      <w:bookmarkEnd w:id="33"/>
    </w:p>
    <w:p w14:paraId="32E86983">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形式评审标准：见评标办法前附表。</w:t>
      </w:r>
    </w:p>
    <w:p w14:paraId="18A1D073">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资格评审标准：见评标办法前附表。</w:t>
      </w:r>
    </w:p>
    <w:p w14:paraId="1208C2A7">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响应性评审标准：见评标办法前附表。</w:t>
      </w:r>
    </w:p>
    <w:p w14:paraId="18C27307">
      <w:pPr>
        <w:keepNext/>
        <w:keepLines/>
        <w:spacing w:line="440" w:lineRule="exact"/>
        <w:ind w:firstLine="117" w:firstLineChars="49"/>
        <w:jc w:val="left"/>
        <w:outlineLvl w:val="2"/>
        <w:rPr>
          <w:rFonts w:hint="eastAsia" w:ascii="宋体" w:hAnsi="宋体" w:eastAsia="宋体" w:cs="宋体"/>
          <w:color w:val="auto"/>
          <w:sz w:val="24"/>
          <w:szCs w:val="24"/>
          <w:highlight w:val="none"/>
        </w:rPr>
      </w:pPr>
      <w:bookmarkStart w:id="34" w:name="_Toc492300421"/>
      <w:r>
        <w:rPr>
          <w:rFonts w:hint="eastAsia" w:ascii="宋体" w:hAnsi="宋体" w:eastAsia="宋体" w:cs="宋体"/>
          <w:color w:val="auto"/>
          <w:sz w:val="24"/>
          <w:szCs w:val="24"/>
          <w:highlight w:val="none"/>
        </w:rPr>
        <w:t>2.2 分值构成与评分标准</w:t>
      </w:r>
      <w:bookmarkEnd w:id="34"/>
    </w:p>
    <w:p w14:paraId="0EF157BE">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14:paraId="73A06D06">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407BBA83">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（2）设计方案部分：见评标办法前附表；</w:t>
      </w:r>
    </w:p>
    <w:p w14:paraId="19D040D9">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59255667">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（4）其他评分因素：见评标办法前附表。</w:t>
      </w:r>
    </w:p>
    <w:p w14:paraId="79948FEF">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评标基准价计算</w:t>
      </w:r>
    </w:p>
    <w:p w14:paraId="05B2391F">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14:paraId="30EC8CB3">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投标报价的偏差率计算</w:t>
      </w:r>
    </w:p>
    <w:p w14:paraId="00E269BF">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14:paraId="606AE153">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评分标准</w:t>
      </w:r>
    </w:p>
    <w:p w14:paraId="765FD6A8">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7A5B56CE">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（2）设计方案评分标准：见评标办法前附表；</w:t>
      </w:r>
    </w:p>
    <w:p w14:paraId="6CDA4206">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7187E915">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（4）其他因素评分标准：见评标办法前附表。</w:t>
      </w:r>
    </w:p>
    <w:p w14:paraId="3D3F6E40">
      <w:pPr>
        <w:pStyle w:val="4"/>
        <w:ind w:left="0" w:leftChars="0" w:firstLine="0" w:firstLineChars="0"/>
        <w:jc w:val="left"/>
        <w:rPr>
          <w:rFonts w:hint="eastAsia" w:ascii="宋体" w:hAnsi="宋体" w:eastAsia="宋体" w:cs="宋体"/>
          <w:b/>
          <w:color w:val="auto"/>
          <w:sz w:val="24"/>
          <w:szCs w:val="24"/>
          <w:highlight w:val="none"/>
        </w:rPr>
      </w:pPr>
      <w:bookmarkStart w:id="35" w:name="_Toc492300422"/>
      <w:bookmarkStart w:id="36" w:name="_Toc25325"/>
      <w:bookmarkStart w:id="37" w:name="_Toc22033"/>
      <w:bookmarkStart w:id="38" w:name="_Toc2770"/>
      <w:bookmarkStart w:id="39" w:name="_Toc82338931"/>
      <w:bookmarkStart w:id="40" w:name="_3.评标程序"/>
      <w:r>
        <w:rPr>
          <w:rFonts w:hint="eastAsia" w:eastAsia="宋体"/>
          <w:b/>
          <w:bCs w:val="0"/>
          <w:color w:val="auto"/>
          <w:sz w:val="24"/>
          <w:szCs w:val="24"/>
          <w:highlight w:val="none"/>
        </w:rPr>
        <w:t>3.</w:t>
      </w:r>
      <w:r>
        <w:rPr>
          <w:rFonts w:hint="default" w:eastAsia="宋体"/>
          <w:b/>
          <w:bCs w:val="0"/>
          <w:color w:val="auto"/>
          <w:sz w:val="24"/>
          <w:szCs w:val="24"/>
          <w:highlight w:val="none"/>
        </w:rPr>
        <w:t>评标程序</w:t>
      </w:r>
      <w:bookmarkEnd w:id="35"/>
      <w:bookmarkEnd w:id="36"/>
      <w:bookmarkEnd w:id="37"/>
      <w:bookmarkEnd w:id="38"/>
      <w:bookmarkEnd w:id="39"/>
    </w:p>
    <w:bookmarkEnd w:id="40"/>
    <w:p w14:paraId="38E0CBE2">
      <w:pPr>
        <w:keepNext/>
        <w:keepLines/>
        <w:spacing w:line="440" w:lineRule="exact"/>
        <w:ind w:firstLine="117" w:firstLineChars="49"/>
        <w:jc w:val="left"/>
        <w:outlineLvl w:val="2"/>
        <w:rPr>
          <w:rFonts w:hint="eastAsia" w:ascii="宋体" w:hAnsi="宋体" w:eastAsia="宋体" w:cs="宋体"/>
          <w:color w:val="auto"/>
          <w:sz w:val="24"/>
          <w:szCs w:val="24"/>
          <w:highlight w:val="none"/>
        </w:rPr>
      </w:pPr>
      <w:bookmarkStart w:id="41" w:name="_Toc492300423"/>
      <w:r>
        <w:rPr>
          <w:rFonts w:hint="eastAsia" w:ascii="宋体" w:hAnsi="宋体" w:eastAsia="宋体" w:cs="宋体"/>
          <w:color w:val="auto"/>
          <w:sz w:val="24"/>
          <w:szCs w:val="24"/>
          <w:highlight w:val="none"/>
        </w:rPr>
        <w:t>3.1 初步评审</w:t>
      </w:r>
      <w:bookmarkEnd w:id="41"/>
    </w:p>
    <w:p w14:paraId="6FB01343">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3B81A349">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14:paraId="480DA446">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0CC59603">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3FE9AC9C">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投标报价有算术错误及其他错误的，评标委员会按以下原则要求投标人对投标报价进</w:t>
      </w:r>
      <w:bookmarkStart w:id="42" w:name="_Toc352691538"/>
      <w:bookmarkStart w:id="43" w:name="_Toc361508651"/>
      <w:bookmarkStart w:id="44" w:name="_Toc152045603"/>
      <w:bookmarkStart w:id="45" w:name="_Toc300835013"/>
      <w:bookmarkStart w:id="46" w:name="_Toc247514027"/>
      <w:bookmarkStart w:id="47" w:name="_Toc247527628"/>
      <w:bookmarkStart w:id="48" w:name="_Toc152042380"/>
      <w:bookmarkStart w:id="49" w:name="_Toc144974570"/>
      <w:bookmarkStart w:id="50" w:name="_Toc384308277"/>
      <w:bookmarkStart w:id="51" w:name="_Toc369531582"/>
      <w:bookmarkStart w:id="52" w:name="_Toc2907"/>
      <w:r>
        <w:rPr>
          <w:rFonts w:hint="eastAsia" w:ascii="宋体" w:hAnsi="宋体" w:eastAsia="宋体" w:cs="宋体"/>
          <w:color w:val="auto"/>
          <w:sz w:val="24"/>
          <w:szCs w:val="24"/>
          <w:highlight w:val="none"/>
        </w:rPr>
        <w:t>行修正，并要求投标人书面澄清确认。</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color w:val="auto"/>
          <w:sz w:val="24"/>
          <w:szCs w:val="24"/>
          <w:highlight w:val="none"/>
        </w:rPr>
        <w:t>投标人拒不澄清确认的，评标委员会应当否决其投标：</w:t>
      </w:r>
    </w:p>
    <w:p w14:paraId="0D61709A">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14:paraId="369C1156">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（2）总价金额与单价金额不一致的，以单价金额为准，但单价金额小数点有明显错误的除外。</w:t>
      </w:r>
    </w:p>
    <w:p w14:paraId="099E14FB">
      <w:pPr>
        <w:keepNext/>
        <w:keepLines/>
        <w:spacing w:line="440" w:lineRule="exact"/>
        <w:ind w:firstLine="117" w:firstLineChars="49"/>
        <w:jc w:val="left"/>
        <w:outlineLvl w:val="2"/>
        <w:rPr>
          <w:rFonts w:hint="eastAsia" w:ascii="宋体" w:hAnsi="宋体" w:eastAsia="宋体" w:cs="宋体"/>
          <w:color w:val="auto"/>
          <w:sz w:val="24"/>
          <w:szCs w:val="24"/>
          <w:highlight w:val="none"/>
        </w:rPr>
      </w:pPr>
      <w:bookmarkStart w:id="53" w:name="_Toc492300424"/>
      <w:r>
        <w:rPr>
          <w:rFonts w:hint="eastAsia" w:ascii="宋体" w:hAnsi="宋体" w:eastAsia="宋体" w:cs="宋体"/>
          <w:color w:val="auto"/>
          <w:sz w:val="24"/>
          <w:szCs w:val="24"/>
          <w:highlight w:val="none"/>
        </w:rPr>
        <w:t>3.2 详细评审</w:t>
      </w:r>
      <w:bookmarkEnd w:id="53"/>
    </w:p>
    <w:p w14:paraId="51BA30C0">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评标委员会按本章第2.2款规定的量化因素和分值进行打分，并计算出综合评估得分。</w:t>
      </w:r>
    </w:p>
    <w:p w14:paraId="7B8A8248">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（1）按本章第2.2.4（1）目规定的评审因素和分值对资信业绩部分计算出得分A；</w:t>
      </w:r>
    </w:p>
    <w:p w14:paraId="67D3802A">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（2）按本章第2.2.4（2）目规定的评审因素和分值对设计方案部分计算出得分B；</w:t>
      </w:r>
    </w:p>
    <w:p w14:paraId="135356E3">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（3）按本章第2.2.4（3）目规定的评审因素和</w:t>
      </w:r>
      <w:bookmarkStart w:id="54" w:name="_Toc247514028"/>
      <w:bookmarkStart w:id="55" w:name="_Toc24330"/>
      <w:bookmarkStart w:id="56" w:name="_Toc152042381"/>
      <w:bookmarkStart w:id="57" w:name="_Toc152045604"/>
      <w:bookmarkStart w:id="58" w:name="_Toc144974571"/>
      <w:bookmarkStart w:id="59" w:name="_Toc369531583"/>
      <w:bookmarkStart w:id="60" w:name="_Toc384308278"/>
      <w:bookmarkStart w:id="61" w:name="_Toc247527629"/>
      <w:bookmarkStart w:id="62" w:name="_Toc300835014"/>
      <w:bookmarkStart w:id="63" w:name="_Toc352691539"/>
      <w:bookmarkStart w:id="64" w:name="_Toc361508652"/>
      <w:r>
        <w:rPr>
          <w:rFonts w:hint="eastAsia" w:ascii="宋体" w:hAnsi="宋体" w:eastAsia="宋体" w:cs="宋体"/>
          <w:color w:val="auto"/>
          <w:sz w:val="24"/>
          <w:szCs w:val="24"/>
          <w:highlight w:val="none"/>
        </w:rPr>
        <w:t>分值对投标报价</w:t>
      </w:r>
      <w:bookmarkEnd w:id="54"/>
      <w:bookmarkEnd w:id="55"/>
      <w:bookmarkEnd w:id="56"/>
      <w:bookmarkEnd w:id="57"/>
      <w:bookmarkEnd w:id="58"/>
      <w:bookmarkEnd w:id="59"/>
      <w:bookmarkEnd w:id="60"/>
      <w:bookmarkEnd w:id="61"/>
      <w:bookmarkEnd w:id="62"/>
      <w:bookmarkEnd w:id="63"/>
      <w:bookmarkEnd w:id="64"/>
      <w:r>
        <w:rPr>
          <w:rFonts w:hint="eastAsia" w:ascii="宋体" w:hAnsi="宋体" w:eastAsia="宋体" w:cs="宋体"/>
          <w:color w:val="auto"/>
          <w:sz w:val="24"/>
          <w:szCs w:val="24"/>
          <w:highlight w:val="none"/>
        </w:rPr>
        <w:t>计</w:t>
      </w:r>
      <w:bookmarkStart w:id="65" w:name="_Toc144974572"/>
      <w:bookmarkStart w:id="66" w:name="_Toc300835015"/>
      <w:bookmarkStart w:id="67" w:name="_Toc384308279"/>
      <w:bookmarkStart w:id="68" w:name="_Toc369531584"/>
      <w:bookmarkStart w:id="69" w:name="_Toc152042382"/>
      <w:bookmarkStart w:id="70" w:name="_Toc152045605"/>
      <w:bookmarkStart w:id="71" w:name="_Toc361508653"/>
      <w:bookmarkStart w:id="72" w:name="_Toc247527630"/>
      <w:bookmarkStart w:id="73" w:name="_Toc18141"/>
      <w:bookmarkStart w:id="74" w:name="_Toc352691540"/>
      <w:bookmarkStart w:id="75" w:name="_Toc247514029"/>
      <w:r>
        <w:rPr>
          <w:rFonts w:hint="eastAsia" w:ascii="宋体" w:hAnsi="宋体" w:eastAsia="宋体" w:cs="宋体"/>
          <w:color w:val="auto"/>
          <w:sz w:val="24"/>
          <w:szCs w:val="24"/>
          <w:highlight w:val="none"/>
        </w:rPr>
        <w:t>算出得分C；</w:t>
      </w:r>
    </w:p>
    <w:p w14:paraId="6D93022E">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color w:val="auto"/>
          <w:sz w:val="24"/>
          <w:szCs w:val="24"/>
          <w:highlight w:val="none"/>
        </w:rPr>
        <w:t>4）按本章第2.2.4（4）目规定的评审因素和分值对其他部分计算出得分D。</w:t>
      </w:r>
    </w:p>
    <w:p w14:paraId="52A682DC">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评分分值计算保留小数点后两位，小数点后第三位“四舍五入”。</w:t>
      </w:r>
    </w:p>
    <w:p w14:paraId="725FD508">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投标人得分=A+B+C+D。</w:t>
      </w:r>
    </w:p>
    <w:p w14:paraId="38EA05F8">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42108A3">
      <w:pPr>
        <w:keepNext/>
        <w:keepLines/>
        <w:spacing w:line="440" w:lineRule="exact"/>
        <w:ind w:firstLine="117" w:firstLineChars="49"/>
        <w:jc w:val="left"/>
        <w:outlineLvl w:val="2"/>
        <w:rPr>
          <w:rFonts w:hint="eastAsia" w:ascii="宋体" w:hAnsi="宋体" w:eastAsia="宋体" w:cs="宋体"/>
          <w:color w:val="auto"/>
          <w:sz w:val="24"/>
          <w:szCs w:val="24"/>
          <w:highlight w:val="none"/>
        </w:rPr>
      </w:pPr>
      <w:bookmarkStart w:id="76" w:name="_Toc492300425"/>
      <w:r>
        <w:rPr>
          <w:rFonts w:hint="eastAsia" w:ascii="宋体" w:hAnsi="宋体" w:eastAsia="宋体" w:cs="宋体"/>
          <w:color w:val="auto"/>
          <w:sz w:val="24"/>
          <w:szCs w:val="24"/>
          <w:highlight w:val="none"/>
        </w:rPr>
        <w:t>3.3 投标文件的澄清</w:t>
      </w:r>
      <w:bookmarkEnd w:id="76"/>
    </w:p>
    <w:p w14:paraId="0DBCD252">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C371C8C">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澄清、说明或补正不得超出投标文件的范围且不得改变投标文件的实质性内容，并构成投标文件的组成部分。</w:t>
      </w:r>
    </w:p>
    <w:p w14:paraId="3030D8ED">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评标委员会对投标人提交的澄清、说明或补正有疑问的，可以要求投标人进一步澄清、说明或补正，直至满足评标委员会的要求。</w:t>
      </w:r>
    </w:p>
    <w:p w14:paraId="5F2B8633">
      <w:pPr>
        <w:keepNext/>
        <w:keepLines/>
        <w:spacing w:line="440" w:lineRule="exact"/>
        <w:ind w:firstLine="117" w:firstLineChars="49"/>
        <w:jc w:val="left"/>
        <w:outlineLvl w:val="2"/>
        <w:rPr>
          <w:rFonts w:hint="eastAsia" w:ascii="宋体" w:hAnsi="宋体" w:eastAsia="宋体" w:cs="宋体"/>
          <w:color w:val="auto"/>
          <w:sz w:val="24"/>
          <w:szCs w:val="24"/>
          <w:highlight w:val="none"/>
        </w:rPr>
      </w:pPr>
      <w:bookmarkStart w:id="77" w:name="_Toc492300426"/>
      <w:r>
        <w:rPr>
          <w:rFonts w:hint="eastAsia" w:ascii="宋体" w:hAnsi="宋体" w:eastAsia="宋体" w:cs="宋体"/>
          <w:color w:val="auto"/>
          <w:sz w:val="24"/>
          <w:szCs w:val="24"/>
          <w:highlight w:val="none"/>
        </w:rPr>
        <w:t>3.4 评标结果</w:t>
      </w:r>
      <w:bookmarkEnd w:id="77"/>
    </w:p>
    <w:p w14:paraId="70DF9884">
      <w:pPr>
        <w:spacing w:line="44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除第二章“投标人须知”前附表授权直接确定中标人外，评标委员会按照得分由高到低的顺序推荐中标候选人，并标明排序。</w:t>
      </w:r>
    </w:p>
    <w:p w14:paraId="18257E64">
      <w:pPr>
        <w:keepNext w:val="0"/>
        <w:keepLines w:val="0"/>
        <w:pageBreakBefore w:val="0"/>
        <w:kinsoku/>
        <w:wordWrap/>
        <w:overflowPunct/>
        <w:topLinePunct w:val="0"/>
        <w:bidi w:val="0"/>
        <w:adjustRightInd/>
        <w:snapToGrid/>
        <w:spacing w:line="400" w:lineRule="exact"/>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sz w:val="24"/>
          <w:szCs w:val="24"/>
          <w:highlight w:val="none"/>
        </w:rPr>
        <w:t>3.4.2 评标委员会完成评标后，应当向招标人提交书面评标报告和中标候选人名单。</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0AC8C">
    <w:pPr>
      <w:pStyle w:val="2"/>
      <w:spacing w:line="179" w:lineRule="auto"/>
      <w:ind w:left="4603"/>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D3587">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7D3587">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ZGQ5MjIyM2ZjMGYwMzAzNmUxY2I3MDhhMzUzOTQifQ=="/>
  </w:docVars>
  <w:rsids>
    <w:rsidRoot w:val="00000000"/>
    <w:rsid w:val="1C9B01E9"/>
    <w:rsid w:val="21B013E0"/>
    <w:rsid w:val="290E6361"/>
    <w:rsid w:val="3A6F29B0"/>
    <w:rsid w:val="4BFF24EC"/>
    <w:rsid w:val="519C3936"/>
    <w:rsid w:val="54F421D8"/>
    <w:rsid w:val="5D127128"/>
    <w:rsid w:val="5E9A5153"/>
    <w:rsid w:val="61406082"/>
    <w:rsid w:val="67F95C3F"/>
    <w:rsid w:val="69140E8F"/>
    <w:rsid w:val="746F5785"/>
    <w:rsid w:val="7C961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jc w:val="center"/>
      <w:outlineLvl w:val="0"/>
    </w:pPr>
    <w:rPr>
      <w:b/>
      <w:bCs/>
      <w:sz w:val="44"/>
      <w:szCs w:val="44"/>
    </w:rPr>
  </w:style>
  <w:style w:type="paragraph" w:styleId="4">
    <w:name w:val="heading 2"/>
    <w:basedOn w:val="1"/>
    <w:next w:val="1"/>
    <w:qFormat/>
    <w:uiPriority w:val="1"/>
    <w:pPr>
      <w:ind w:left="2549"/>
      <w:jc w:val="center"/>
      <w:outlineLvl w:val="1"/>
    </w:pPr>
    <w:rPr>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widowControl w:val="0"/>
      <w:autoSpaceDE w:val="0"/>
      <w:autoSpaceDN w:val="0"/>
    </w:pPr>
    <w:rPr>
      <w:rFonts w:ascii="宋体" w:hAnsi="宋体" w:cs="宋体"/>
      <w:sz w:val="24"/>
      <w:szCs w:val="24"/>
      <w:lang w:val="zh-CN" w:bidi="zh-CN"/>
    </w:rPr>
  </w:style>
  <w:style w:type="paragraph" w:styleId="5">
    <w:name w:val="Plain Text"/>
    <w:basedOn w:val="1"/>
    <w:autoRedefine/>
    <w:qFormat/>
    <w:uiPriority w:val="99"/>
    <w:rPr>
      <w:rFonts w:ascii="宋体" w:hAnsi="Courier New" w:eastAsia="宋体" w:cs="Times New Roman"/>
      <w:color w:val="000000"/>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toc 6"/>
    <w:basedOn w:val="1"/>
    <w:next w:val="1"/>
    <w:autoRedefine/>
    <w:unhideWhenUsed/>
    <w:qFormat/>
    <w:uiPriority w:val="99"/>
    <w:pPr>
      <w:ind w:left="2100" w:leftChars="1000"/>
    </w:pPr>
  </w:style>
  <w:style w:type="paragraph" w:styleId="8">
    <w:name w:val="Body Text First Indent"/>
    <w:basedOn w:val="2"/>
    <w:next w:val="7"/>
    <w:autoRedefine/>
    <w:qFormat/>
    <w:uiPriority w:val="0"/>
    <w:pPr>
      <w:tabs>
        <w:tab w:val="left" w:pos="6480"/>
      </w:tabs>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autoRedefine/>
    <w:qFormat/>
    <w:uiPriority w:val="1"/>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2419</Words>
  <Characters>2633</Characters>
  <Lines>0</Lines>
  <Paragraphs>0</Paragraphs>
  <TotalTime>12</TotalTime>
  <ScaleCrop>false</ScaleCrop>
  <LinksUpToDate>false</LinksUpToDate>
  <CharactersWithSpaces>2684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2023-10-13T09:07:00Z</dcterms:created>
  <dc:creator>Administrator</dc:creator>
  <cp:lastModifiedBy>WPS_1654765902</cp:lastModifiedBy>
  <dcterms:modified xsi:type="dcterms:W3CDTF">2025-05-29T10:01:03Z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C91A23EC9CE84FFDA0ECD790880A517E_12</vt:lpwstr>
  </property>
  <property fmtid="{D5CDD505-2E9C-101B-9397-08002B2CF9AE}" pid="4" name="KSOTemplateDocerSaveRecord">
    <vt:lpwstr>eyJoZGlkIjoiN2ZiZGI5MzBkNzU0MDg5NDYzZTIxMmIzY2E4NmE2OWYiLCJ1c2VySWQiOiIxMzgyNTIzMTI2In0=</vt:lpwstr>
  </property>
</Properties>
</file>