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28831">
      <w:pPr>
        <w:spacing w:line="440" w:lineRule="exact"/>
        <w:ind w:firstLine="3534" w:firstLineChars="1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采购需求</w:t>
      </w:r>
    </w:p>
    <w:p w14:paraId="1B1188C1"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说明：</w:t>
      </w:r>
    </w:p>
    <w:p w14:paraId="2EFCA46D">
      <w:pPr>
        <w:spacing w:line="360" w:lineRule="auto"/>
        <w:ind w:firstLine="484" w:firstLineChars="202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本采购需求中</w:t>
      </w:r>
      <w:r>
        <w:rPr>
          <w:rFonts w:hint="eastAsia" w:ascii="宋体" w:hAnsi="宋体" w:eastAsia="宋体" w:cs="宋体"/>
          <w:sz w:val="24"/>
          <w:szCs w:val="24"/>
        </w:rPr>
        <w:t>标注“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”号的条款为实质性条款或指标、要求，必须满足（无</w:t>
      </w:r>
      <w:bookmarkStart w:id="1" w:name="_GoBack"/>
      <w:r>
        <w:rPr>
          <w:rFonts w:hint="eastAsia" w:ascii="宋体" w:hAnsi="宋体" w:eastAsia="宋体" w:cs="宋体"/>
          <w:sz w:val="24"/>
          <w:szCs w:val="24"/>
        </w:rPr>
        <w:t>偏离）或优于（正偏离），否则其投标作否决谈判处理。</w:t>
      </w:r>
    </w:p>
    <w:bookmarkEnd w:id="1"/>
    <w:tbl>
      <w:tblPr>
        <w:tblStyle w:val="13"/>
        <w:tblpPr w:leftFromText="180" w:rightFromText="180" w:vertAnchor="text" w:horzAnchor="page" w:tblpX="1289" w:tblpY="506"/>
        <w:tblOverlap w:val="never"/>
        <w:tblW w:w="546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734"/>
        <w:gridCol w:w="7925"/>
      </w:tblGrid>
      <w:tr w14:paraId="45006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000" w:type="pct"/>
            <w:gridSpan w:val="3"/>
          </w:tcPr>
          <w:p w14:paraId="21369B0D">
            <w:pPr>
              <w:pStyle w:val="12"/>
              <w:spacing w:before="128" w:line="228" w:lineRule="auto"/>
              <w:ind w:left="122"/>
              <w:rPr>
                <w:kern w:val="0"/>
                <w:lang w:eastAsia="zh-CN"/>
              </w:rPr>
            </w:pPr>
            <w:r>
              <w:rPr>
                <w:spacing w:val="8"/>
                <w:kern w:val="0"/>
                <w:lang w:eastAsia="zh-CN"/>
              </w:rPr>
              <w:t>▲一、项目内容及要求</w:t>
            </w:r>
          </w:p>
        </w:tc>
      </w:tr>
      <w:tr w14:paraId="2A8D2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3" w:type="pct"/>
          </w:tcPr>
          <w:p w14:paraId="709E0934">
            <w:pPr>
              <w:pStyle w:val="12"/>
              <w:spacing w:before="178" w:line="230" w:lineRule="auto"/>
              <w:ind w:left="143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序号</w:t>
            </w:r>
          </w:p>
        </w:tc>
        <w:tc>
          <w:tcPr>
            <w:tcW w:w="404" w:type="pct"/>
            <w:vAlign w:val="center"/>
          </w:tcPr>
          <w:p w14:paraId="193E99C9">
            <w:pPr>
              <w:pStyle w:val="12"/>
              <w:spacing w:line="228" w:lineRule="auto"/>
              <w:jc w:val="center"/>
              <w:rPr>
                <w:spacing w:val="7"/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标</w:t>
            </w:r>
          </w:p>
          <w:p w14:paraId="0975F0F4">
            <w:pPr>
              <w:pStyle w:val="12"/>
              <w:spacing w:line="228" w:lineRule="auto"/>
              <w:jc w:val="center"/>
              <w:rPr>
                <w:spacing w:val="7"/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的</w:t>
            </w:r>
          </w:p>
          <w:p w14:paraId="5B571A63">
            <w:pPr>
              <w:pStyle w:val="12"/>
              <w:spacing w:line="228" w:lineRule="auto"/>
              <w:jc w:val="center"/>
              <w:rPr>
                <w:spacing w:val="7"/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名</w:t>
            </w:r>
          </w:p>
          <w:p w14:paraId="2CB269E4">
            <w:pPr>
              <w:pStyle w:val="12"/>
              <w:spacing w:line="228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称</w:t>
            </w:r>
          </w:p>
        </w:tc>
        <w:tc>
          <w:tcPr>
            <w:tcW w:w="4363" w:type="pct"/>
            <w:vAlign w:val="center"/>
          </w:tcPr>
          <w:p w14:paraId="777EA416">
            <w:pPr>
              <w:pStyle w:val="12"/>
              <w:spacing w:before="178" w:line="228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技术要求</w:t>
            </w:r>
          </w:p>
        </w:tc>
      </w:tr>
      <w:tr w14:paraId="2CD4E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3" w:type="pct"/>
            <w:vAlign w:val="center"/>
          </w:tcPr>
          <w:p w14:paraId="4E8401B6">
            <w:pPr>
              <w:pStyle w:val="12"/>
              <w:spacing w:before="65" w:line="189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14:paraId="53C8DA61">
            <w:pPr>
              <w:pStyle w:val="12"/>
              <w:spacing w:before="135" w:line="228" w:lineRule="auto"/>
              <w:jc w:val="center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广西壮族自治区江滨医院老年医学中心大楼建设项目实核报告</w:t>
            </w:r>
            <w:r>
              <w:rPr>
                <w:rFonts w:asciiTheme="minorEastAsia" w:hAnsiTheme="minorEastAsia" w:eastAsiaTheme="minorEastAsia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编制服务</w:t>
            </w:r>
          </w:p>
        </w:tc>
        <w:tc>
          <w:tcPr>
            <w:tcW w:w="4363" w:type="pct"/>
          </w:tcPr>
          <w:p w14:paraId="1031B455">
            <w:pPr>
              <w:numPr>
                <w:numId w:val="0"/>
              </w:numPr>
              <w:spacing w:line="500" w:lineRule="exact"/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  <w:lang w:eastAsia="zh-CN"/>
              </w:rPr>
              <w:t>一、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项目概况</w:t>
            </w:r>
          </w:p>
          <w:p w14:paraId="28026A62">
            <w:pPr>
              <w:numPr>
                <w:ilvl w:val="0"/>
                <w:numId w:val="0"/>
              </w:numPr>
              <w:spacing w:line="500" w:lineRule="exact"/>
              <w:rPr>
                <w:rFonts w:hint="eastAsia" w:cs="宋体" w:asciiTheme="minorEastAsia" w:hAnsi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  <w:lang w:eastAsia="zh-CN"/>
              </w:rPr>
              <w:t>项目名称：广西壮族自治区江滨医老年医学中心大楼</w:t>
            </w:r>
          </w:p>
          <w:p w14:paraId="1E166DD2">
            <w:pPr>
              <w:numPr>
                <w:ilvl w:val="0"/>
                <w:numId w:val="0"/>
              </w:numPr>
              <w:spacing w:line="500" w:lineRule="exact"/>
              <w:rPr>
                <w:rFonts w:hint="eastAsia" w:cs="宋体" w:asciiTheme="minorEastAsia" w:hAnsi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  <w:lang w:eastAsia="zh-CN"/>
              </w:rPr>
              <w:t>建设规模：总面积：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  <w:lang w:val="en-US" w:eastAsia="zh-CN"/>
              </w:rPr>
              <w:t>59995.96平方米，地上：51508.66平方米，地下；8487.3平方米。</w:t>
            </w:r>
          </w:p>
          <w:p w14:paraId="4D61C5B6">
            <w:pPr>
              <w:numPr>
                <w:ilvl w:val="0"/>
                <w:numId w:val="0"/>
              </w:numPr>
              <w:spacing w:line="500" w:lineRule="exact"/>
              <w:rPr>
                <w:rFonts w:hint="default" w:cs="宋体" w:asciiTheme="minorEastAsia" w:hAnsi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  <w:lang w:val="en-US" w:eastAsia="zh-CN"/>
              </w:rPr>
              <w:t>层数：地上24层，地下</w:t>
            </w:r>
            <w:bookmarkStart w:id="0" w:name="EBc62941a3f0d242c38ab13ab9e5b01e80"/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  <w:lang w:val="en-US" w:eastAsia="zh-CN"/>
              </w:rPr>
              <w:t>2层。建筑高度：99.96米</w:t>
            </w:r>
          </w:p>
          <w:p w14:paraId="39B11F0C">
            <w:pPr>
              <w:numPr>
                <w:ilvl w:val="0"/>
                <w:numId w:val="0"/>
              </w:numPr>
              <w:spacing w:line="500" w:lineRule="exact"/>
              <w:rPr>
                <w:rFonts w:cs="Times New Roman" w:asciiTheme="minorEastAsia" w:hAnsiTheme="minorEastAsia"/>
                <w:kern w:val="0"/>
                <w:sz w:val="20"/>
                <w:highlight w:val="white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highlight w:val="white"/>
              </w:rPr>
              <w:t>招标范围：</w:t>
            </w:r>
            <w:bookmarkEnd w:id="0"/>
            <w:r>
              <w:rPr>
                <w:rFonts w:hint="eastAsia" w:cs="Times New Roman" w:asciiTheme="minorEastAsia" w:hAnsiTheme="minorEastAsia"/>
                <w:kern w:val="0"/>
                <w:sz w:val="20"/>
                <w:highlight w:val="white"/>
              </w:rPr>
              <w:t>针对</w:t>
            </w:r>
            <w:r>
              <w:rPr>
                <w:rFonts w:hint="eastAsia" w:cs="Times New Roman" w:asciiTheme="minorEastAsia" w:hAnsiTheme="minorEastAsia"/>
                <w:kern w:val="0"/>
                <w:sz w:val="20"/>
              </w:rPr>
              <w:t>广西壮族自治区江滨医院老年医学中心大楼建设项目开展房产测绘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lang w:eastAsia="zh-CN"/>
              </w:rPr>
              <w:t>及</w:t>
            </w:r>
            <w:r>
              <w:rPr>
                <w:rFonts w:hint="eastAsia" w:cs="Times New Roman" w:asciiTheme="minorEastAsia" w:hAnsiTheme="minorEastAsia"/>
                <w:kern w:val="0"/>
                <w:sz w:val="20"/>
              </w:rPr>
              <w:t>规划条件核实测量（初步）工作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highlight w:val="white"/>
              </w:rPr>
              <w:t>。</w:t>
            </w:r>
          </w:p>
          <w:p w14:paraId="2765B53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二、要求</w:t>
            </w:r>
          </w:p>
          <w:p w14:paraId="4C6831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验收</w:t>
            </w:r>
            <w:r>
              <w:rPr>
                <w:rFonts w:cs="宋体" w:asciiTheme="minorEastAsia" w:hAnsiTheme="minorEastAsia"/>
                <w:kern w:val="0"/>
                <w:sz w:val="20"/>
                <w:szCs w:val="21"/>
              </w:rPr>
              <w:t>目标：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实核</w:t>
            </w:r>
            <w:r>
              <w:rPr>
                <w:rFonts w:cs="宋体" w:asciiTheme="minorEastAsia" w:hAnsiTheme="minorEastAsia"/>
                <w:kern w:val="0"/>
                <w:sz w:val="20"/>
                <w:szCs w:val="21"/>
              </w:rPr>
              <w:t>报告达到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相关法律法规及技术导则</w:t>
            </w:r>
            <w:r>
              <w:rPr>
                <w:rFonts w:cs="宋体" w:asciiTheme="minorEastAsia" w:hAnsiTheme="minorEastAsia"/>
                <w:kern w:val="0"/>
                <w:sz w:val="20"/>
                <w:szCs w:val="21"/>
              </w:rPr>
              <w:t>标准，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highlight w:val="white"/>
              </w:rPr>
              <w:t>通过不动产</w:t>
            </w:r>
            <w:r>
              <w:rPr>
                <w:rFonts w:cs="Times New Roman" w:asciiTheme="minorEastAsia" w:hAnsiTheme="minorEastAsia"/>
                <w:kern w:val="0"/>
                <w:sz w:val="20"/>
                <w:highlight w:val="white"/>
              </w:rPr>
              <w:t>登记中心审核，并完成备案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highlight w:val="white"/>
              </w:rPr>
              <w:t>等</w:t>
            </w:r>
            <w:r>
              <w:rPr>
                <w:rFonts w:cs="Times New Roman" w:asciiTheme="minorEastAsia" w:hAnsiTheme="minorEastAsia"/>
                <w:kern w:val="0"/>
                <w:sz w:val="20"/>
                <w:highlight w:val="white"/>
              </w:rPr>
              <w:t>工作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</w:rPr>
              <w:t>。</w:t>
            </w:r>
          </w:p>
          <w:p w14:paraId="0BEAE60D">
            <w:pPr>
              <w:pStyle w:val="12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400" w:firstLineChars="200"/>
              <w:textAlignment w:val="baseline"/>
              <w:rPr>
                <w:spacing w:val="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验收人员的生活用品、交通工具、通讯、办公用品、验收用具、保险等由验收人人自行解决，在投标报价时应考虑此费用。</w:t>
            </w:r>
          </w:p>
        </w:tc>
      </w:tr>
      <w:tr w14:paraId="36300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00" w:type="pct"/>
            <w:gridSpan w:val="3"/>
          </w:tcPr>
          <w:p w14:paraId="2D62EB79">
            <w:pPr>
              <w:pStyle w:val="12"/>
              <w:spacing w:before="138" w:line="228" w:lineRule="auto"/>
              <w:ind w:left="122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▲二、商务要求</w:t>
            </w:r>
          </w:p>
        </w:tc>
      </w:tr>
      <w:tr w14:paraId="3FB69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</w:tcPr>
          <w:p w14:paraId="46F7F5DA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kern w:val="0"/>
                <w:sz w:val="20"/>
                <w:szCs w:val="21"/>
              </w:rPr>
              <w:t>一、合同签订期：自成交通知书发出之日起 30日内</w:t>
            </w:r>
          </w:p>
          <w:p w14:paraId="6E7EA196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kern w:val="0"/>
                <w:sz w:val="20"/>
                <w:szCs w:val="21"/>
              </w:rPr>
              <w:t>二、</w:t>
            </w:r>
            <w:r>
              <w:rPr>
                <w:rFonts w:hint="eastAsia" w:cs="Times New Roman" w:asciiTheme="minorEastAsia" w:hAnsiTheme="minorEastAsia"/>
                <w:bCs/>
                <w:color w:val="FF0000"/>
                <w:kern w:val="0"/>
                <w:sz w:val="20"/>
                <w:szCs w:val="21"/>
              </w:rPr>
              <w:t>提交服务成果时间：</w:t>
            </w:r>
            <w:r>
              <w:rPr>
                <w:rFonts w:hint="eastAsia" w:cs="Times New Roman" w:asciiTheme="minorEastAsia" w:hAnsiTheme="minorEastAsia"/>
                <w:color w:val="FF0000"/>
                <w:kern w:val="0"/>
                <w:sz w:val="20"/>
                <w:szCs w:val="21"/>
              </w:rPr>
              <w:t>自合同签订之日起至项目通过最终验收之日止。</w:t>
            </w:r>
          </w:p>
          <w:p w14:paraId="6B4835A6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</w:rPr>
              <w:t>三、</w:t>
            </w:r>
            <w:r>
              <w:rPr>
                <w:rFonts w:cs="Times New Roman" w:asciiTheme="minorEastAsia" w:hAnsiTheme="minorEastAsia"/>
                <w:kern w:val="0"/>
                <w:sz w:val="20"/>
                <w:highlight w:val="white"/>
              </w:rPr>
              <w:t>质量要求：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实核</w:t>
            </w:r>
            <w:r>
              <w:rPr>
                <w:rFonts w:cs="宋体" w:asciiTheme="minorEastAsia" w:hAnsiTheme="minorEastAsia"/>
                <w:kern w:val="0"/>
                <w:sz w:val="20"/>
                <w:szCs w:val="21"/>
              </w:rPr>
              <w:t>报告达到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相关法律法规及技术导则</w:t>
            </w:r>
            <w:r>
              <w:rPr>
                <w:rFonts w:cs="宋体" w:asciiTheme="minorEastAsia" w:hAnsiTheme="minorEastAsia"/>
                <w:kern w:val="0"/>
                <w:sz w:val="20"/>
                <w:szCs w:val="21"/>
              </w:rPr>
              <w:t>标准，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highlight w:val="white"/>
              </w:rPr>
              <w:t>通过不动产</w:t>
            </w:r>
            <w:r>
              <w:rPr>
                <w:rFonts w:cs="Times New Roman" w:asciiTheme="minorEastAsia" w:hAnsiTheme="minorEastAsia"/>
                <w:kern w:val="0"/>
                <w:sz w:val="20"/>
                <w:highlight w:val="white"/>
              </w:rPr>
              <w:t>登记中心审核，并完成备案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highlight w:val="white"/>
              </w:rPr>
              <w:t>等</w:t>
            </w:r>
            <w:r>
              <w:rPr>
                <w:rFonts w:cs="Times New Roman" w:asciiTheme="minorEastAsia" w:hAnsiTheme="minorEastAsia"/>
                <w:kern w:val="0"/>
                <w:sz w:val="20"/>
                <w:highlight w:val="white"/>
              </w:rPr>
              <w:t>工作</w:t>
            </w:r>
            <w:r>
              <w:rPr>
                <w:rFonts w:hint="eastAsia" w:ascii="Arial" w:hAnsi="Arial" w:eastAsia="宋体" w:cs="Arial"/>
                <w:color w:val="333333"/>
                <w:szCs w:val="21"/>
                <w:shd w:val="clear" w:color="auto" w:fill="FFFFFF"/>
              </w:rPr>
              <w:t>。</w:t>
            </w:r>
            <w:r>
              <w:rPr>
                <w:rFonts w:ascii="Arial" w:hAnsi="Arial" w:eastAsia="Arial" w:cs="Arial"/>
                <w:color w:val="333333"/>
                <w:szCs w:val="21"/>
                <w:shd w:val="clear" w:color="auto" w:fill="FFFFFF"/>
              </w:rPr>
              <w:t>‌</w:t>
            </w:r>
          </w:p>
          <w:p w14:paraId="4317ACA6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/>
                <w:color w:val="FF0000"/>
                <w:kern w:val="0"/>
                <w:sz w:val="2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kern w:val="0"/>
                <w:sz w:val="20"/>
                <w:szCs w:val="21"/>
              </w:rPr>
              <w:t>四、</w:t>
            </w:r>
            <w:r>
              <w:rPr>
                <w:rFonts w:hint="eastAsia" w:cs="Times New Roman" w:asciiTheme="minorEastAsia" w:hAnsiTheme="minorEastAsia"/>
                <w:color w:val="FF0000"/>
                <w:kern w:val="0"/>
                <w:sz w:val="20"/>
                <w:szCs w:val="21"/>
                <w:lang w:eastAsia="zh-CN"/>
              </w:rPr>
              <w:t>公司及</w:t>
            </w:r>
            <w:r>
              <w:rPr>
                <w:rFonts w:cs="Times New Roman" w:asciiTheme="minorEastAsia" w:hAnsiTheme="minorEastAsia"/>
                <w:color w:val="FF0000"/>
                <w:kern w:val="0"/>
                <w:sz w:val="20"/>
                <w:szCs w:val="21"/>
              </w:rPr>
              <w:t>人员要求：供应商必须在“多测合一”名录库</w:t>
            </w:r>
            <w:r>
              <w:rPr>
                <w:rFonts w:hint="eastAsia" w:cs="Times New Roman" w:asciiTheme="minorEastAsia" w:hAnsiTheme="minorEastAsia"/>
                <w:color w:val="FF0000"/>
                <w:kern w:val="0"/>
                <w:sz w:val="20"/>
                <w:szCs w:val="21"/>
                <w:lang w:eastAsia="zh-CN"/>
              </w:rPr>
              <w:t>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cs="Times New Roman" w:asciiTheme="minorEastAsia" w:hAnsiTheme="minorEastAsia"/>
                <w:color w:val="FF0000"/>
                <w:kern w:val="0"/>
                <w:sz w:val="20"/>
                <w:szCs w:val="21"/>
              </w:rPr>
              <w:t>供应商必须具备</w:t>
            </w:r>
            <w:r>
              <w:rPr>
                <w:rFonts w:hint="eastAsia" w:cs="Times New Roman" w:asciiTheme="minorEastAsia" w:hAnsiTheme="minorEastAsia"/>
                <w:color w:val="FF0000"/>
                <w:kern w:val="0"/>
                <w:sz w:val="20"/>
                <w:szCs w:val="21"/>
              </w:rPr>
              <w:t>1名注册测绘工程师职称技术人员，提供社保或劳动合同证明。</w:t>
            </w:r>
          </w:p>
          <w:p w14:paraId="2D117D2E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/>
                <w:color w:val="FF0000"/>
                <w:kern w:val="0"/>
                <w:sz w:val="2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kern w:val="0"/>
                <w:sz w:val="20"/>
                <w:szCs w:val="21"/>
              </w:rPr>
              <w:t>五、业绩要求：供应商必须具备自招标日期三年内不动产实核验收业绩，提供合同证明材料。</w:t>
            </w:r>
          </w:p>
          <w:p w14:paraId="30E82F4F">
            <w:pPr>
              <w:widowControl/>
              <w:shd w:val="clear" w:color="auto" w:fill="FFFFFF"/>
              <w:spacing w:line="500" w:lineRule="exact"/>
              <w:jc w:val="left"/>
              <w:rPr>
                <w:rFonts w:hint="eastAsia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</w:rPr>
              <w:t>六、服务期限：</w:t>
            </w:r>
            <w:r>
              <w:rPr>
                <w:rFonts w:ascii="Arial" w:hAnsi="Arial" w:eastAsia="Arial" w:cs="Arial"/>
                <w:color w:val="333333"/>
                <w:szCs w:val="21"/>
                <w:shd w:val="clear" w:color="auto" w:fill="FFFFFF"/>
              </w:rPr>
              <w:t>合同履约期限从合同生效之日起至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highlight w:val="white"/>
              </w:rPr>
              <w:t>通过不动产</w:t>
            </w:r>
            <w:r>
              <w:rPr>
                <w:rFonts w:cs="Times New Roman" w:asciiTheme="minorEastAsia" w:hAnsiTheme="minorEastAsia"/>
                <w:kern w:val="0"/>
                <w:sz w:val="20"/>
                <w:highlight w:val="white"/>
              </w:rPr>
              <w:t>登记中心审核，并完成备案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highlight w:val="white"/>
              </w:rPr>
              <w:t>等</w:t>
            </w:r>
            <w:r>
              <w:rPr>
                <w:rFonts w:cs="Times New Roman" w:asciiTheme="minorEastAsia" w:hAnsiTheme="minorEastAsia"/>
                <w:kern w:val="0"/>
                <w:sz w:val="20"/>
                <w:highlight w:val="white"/>
              </w:rPr>
              <w:t>工作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</w:rPr>
              <w:t>。</w:t>
            </w:r>
          </w:p>
          <w:p w14:paraId="7CEE34F0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</w:rPr>
              <w:t>七、服务地点：采购人指定地点为准</w:t>
            </w:r>
          </w:p>
          <w:p w14:paraId="369235AE">
            <w:pPr>
              <w:widowControl/>
              <w:shd w:val="clear" w:color="auto" w:fill="FFFFFF"/>
              <w:spacing w:line="500" w:lineRule="exact"/>
              <w:jc w:val="left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</w:rPr>
              <w:t>八、其他要求：</w:t>
            </w:r>
          </w:p>
          <w:p w14:paraId="21C35FF1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Style w:val="8"/>
                <w:rFonts w:hint="eastAsia" w:ascii="Times New Roman" w:hAnsi="Times New Roman" w:eastAsia="宋体"/>
                <w:kern w:val="0"/>
                <w:szCs w:val="20"/>
              </w:rPr>
              <w:t>1、招标控制价或有效报价范围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人民币：玖万捌仟元整（￥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98,000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元）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。</w:t>
            </w:r>
          </w:p>
          <w:p w14:paraId="10C61359">
            <w:pPr>
              <w:spacing w:line="500" w:lineRule="exact"/>
              <w:ind w:firstLine="400" w:firstLineChars="20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  <w:t>此项目为总价包干。</w:t>
            </w:r>
          </w:p>
          <w:p w14:paraId="5E149210">
            <w:pPr>
              <w:spacing w:line="50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报价必须含必要的保险费用和各项税金，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供应商应结合自身因素进行报价，但不得超出有效报价范围，否则报价无效，做否决投标处理。</w:t>
            </w:r>
          </w:p>
          <w:p w14:paraId="09B82183">
            <w:pPr>
              <w:spacing w:line="500" w:lineRule="exact"/>
              <w:ind w:firstLine="400" w:firstLineChars="20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4.本项目不接受联合体及分包。</w:t>
            </w:r>
          </w:p>
          <w:p w14:paraId="344AD0B9">
            <w:pPr>
              <w:spacing w:line="500" w:lineRule="exact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九、付款方式：</w:t>
            </w:r>
            <w:r>
              <w:rPr>
                <w:rFonts w:ascii="微软雅黑" w:hAnsi="微软雅黑" w:eastAsia="微软雅黑" w:cs="微软雅黑"/>
                <w:sz w:val="22"/>
                <w:shd w:val="clear" w:color="auto" w:fill="F2F2F7"/>
              </w:rPr>
              <w:t>项目竣工并通过不动产登记中心验收通过后一次性支付，付款前需提供全额发票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</w:rPr>
              <w:t>。</w:t>
            </w:r>
          </w:p>
        </w:tc>
      </w:tr>
    </w:tbl>
    <w:p w14:paraId="08A37D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6B"/>
    <w:rsid w:val="0004025B"/>
    <w:rsid w:val="00100350"/>
    <w:rsid w:val="00272C61"/>
    <w:rsid w:val="0044219A"/>
    <w:rsid w:val="005419D0"/>
    <w:rsid w:val="005C15D5"/>
    <w:rsid w:val="005E3FE9"/>
    <w:rsid w:val="00611778"/>
    <w:rsid w:val="006B4D76"/>
    <w:rsid w:val="006F3B00"/>
    <w:rsid w:val="00726709"/>
    <w:rsid w:val="007D636B"/>
    <w:rsid w:val="008B03AA"/>
    <w:rsid w:val="008B5F42"/>
    <w:rsid w:val="00AA28F9"/>
    <w:rsid w:val="00AB56F5"/>
    <w:rsid w:val="00AC1B53"/>
    <w:rsid w:val="00BD41AF"/>
    <w:rsid w:val="00BD7515"/>
    <w:rsid w:val="00BE7D87"/>
    <w:rsid w:val="00C80E40"/>
    <w:rsid w:val="00D428EB"/>
    <w:rsid w:val="00DB1D0B"/>
    <w:rsid w:val="00E666C8"/>
    <w:rsid w:val="00FB5497"/>
    <w:rsid w:val="184D2705"/>
    <w:rsid w:val="220473C9"/>
    <w:rsid w:val="262C4FB7"/>
    <w:rsid w:val="26765007"/>
    <w:rsid w:val="37443783"/>
    <w:rsid w:val="3C5D50C8"/>
    <w:rsid w:val="3EC260CE"/>
    <w:rsid w:val="70F92AF4"/>
    <w:rsid w:val="7C0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qFormat/>
    <w:uiPriority w:val="0"/>
    <w:rPr>
      <w:rFonts w:cs="Times New Roman"/>
      <w:sz w:val="21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13">
    <w:name w:val="Table Normal"/>
    <w:basedOn w:val="5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文字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791</Words>
  <Characters>823</Characters>
  <Lines>5</Lines>
  <Paragraphs>1</Paragraphs>
  <TotalTime>5</TotalTime>
  <ScaleCrop>false</ScaleCrop>
  <LinksUpToDate>false</LinksUpToDate>
  <CharactersWithSpaces>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2024-11-15T02:38:00Z</dcterms:created>
  <dc:creator>user</dc:creator>
  <cp:lastModifiedBy>趙</cp:lastModifiedBy>
  <dcterms:modified xsi:type="dcterms:W3CDTF">2025-05-06T09:05:40Z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eyJoZGlkIjoiNmE4YWQ2NzRhMjljNWQ2MGNmYTJmNTZjMjkwZDE4NzkiLCJ1c2VySWQiOiI0MTExNTM1NTAifQ==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03AF31B2CCB44A699C3519B75EED3DB4_12</vt:lpwstr>
  </property>
</Properties>
</file>