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A9" w:rsidRPr="002146A9" w:rsidRDefault="002146A9" w:rsidP="002146A9">
      <w:pPr>
        <w:jc w:val="center"/>
        <w:rPr>
          <w:rFonts w:ascii="黑体" w:eastAsia="黑体" w:hAnsi="黑体"/>
          <w:sz w:val="30"/>
          <w:szCs w:val="30"/>
        </w:rPr>
      </w:pPr>
      <w:r w:rsidRPr="002146A9">
        <w:rPr>
          <w:rFonts w:ascii="黑体" w:eastAsia="黑体" w:hAnsi="黑体" w:hint="eastAsia"/>
          <w:sz w:val="30"/>
          <w:szCs w:val="30"/>
        </w:rPr>
        <w:t>20250116院感系统升级功能需求</w:t>
      </w:r>
      <w:r w:rsidR="004301F3">
        <w:rPr>
          <w:rFonts w:ascii="黑体" w:eastAsia="黑体" w:hAnsi="黑体" w:hint="eastAsia"/>
          <w:sz w:val="30"/>
          <w:szCs w:val="30"/>
        </w:rPr>
        <w:t>预算方案</w:t>
      </w:r>
    </w:p>
    <w:tbl>
      <w:tblPr>
        <w:tblStyle w:val="a4"/>
        <w:tblW w:w="5000" w:type="pct"/>
        <w:jc w:val="center"/>
        <w:tblLook w:val="04A0"/>
      </w:tblPr>
      <w:tblGrid>
        <w:gridCol w:w="1487"/>
        <w:gridCol w:w="5336"/>
        <w:gridCol w:w="1699"/>
      </w:tblGrid>
      <w:tr w:rsidR="001F74FC" w:rsidTr="00F73ABA">
        <w:trPr>
          <w:jc w:val="center"/>
        </w:trPr>
        <w:tc>
          <w:tcPr>
            <w:tcW w:w="872" w:type="pct"/>
          </w:tcPr>
          <w:p w:rsidR="001F74FC" w:rsidRDefault="001F74FC" w:rsidP="00B60E93">
            <w:pPr>
              <w:spacing w:line="360" w:lineRule="auto"/>
              <w:rPr>
                <w:rFonts w:ascii="宋体" w:hAnsi="宋体" w:cs="宋体"/>
                <w:szCs w:val="21"/>
              </w:rPr>
            </w:pPr>
            <w:r>
              <w:rPr>
                <w:rFonts w:ascii="宋体" w:hAnsi="宋体" w:cs="宋体" w:hint="eastAsia"/>
                <w:szCs w:val="21"/>
              </w:rPr>
              <w:t>功能名称</w:t>
            </w:r>
          </w:p>
        </w:tc>
        <w:tc>
          <w:tcPr>
            <w:tcW w:w="3131" w:type="pct"/>
          </w:tcPr>
          <w:p w:rsidR="001F74FC" w:rsidRDefault="001F74FC" w:rsidP="00B60E93">
            <w:pPr>
              <w:spacing w:line="360" w:lineRule="auto"/>
              <w:rPr>
                <w:rFonts w:ascii="宋体" w:hAnsi="宋体" w:cs="宋体"/>
                <w:szCs w:val="21"/>
              </w:rPr>
            </w:pPr>
            <w:r>
              <w:rPr>
                <w:rFonts w:ascii="宋体" w:hAnsi="宋体" w:cs="宋体" w:hint="eastAsia"/>
                <w:szCs w:val="21"/>
              </w:rPr>
              <w:t>详细功能</w:t>
            </w:r>
          </w:p>
        </w:tc>
        <w:tc>
          <w:tcPr>
            <w:tcW w:w="997" w:type="pct"/>
          </w:tcPr>
          <w:p w:rsidR="001F74FC" w:rsidRDefault="001F74FC" w:rsidP="00B60E93">
            <w:pPr>
              <w:spacing w:line="360" w:lineRule="auto"/>
              <w:rPr>
                <w:rFonts w:ascii="宋体" w:hAnsi="宋体" w:cs="宋体"/>
                <w:szCs w:val="21"/>
              </w:rPr>
            </w:pPr>
            <w:r>
              <w:rPr>
                <w:rFonts w:ascii="宋体" w:hAnsi="宋体" w:cs="宋体" w:hint="eastAsia"/>
                <w:szCs w:val="21"/>
              </w:rPr>
              <w:t>报价(单位：元)</w:t>
            </w:r>
          </w:p>
        </w:tc>
      </w:tr>
      <w:tr w:rsidR="001F74FC" w:rsidTr="00F73ABA">
        <w:trPr>
          <w:trHeight w:val="1497"/>
          <w:jc w:val="center"/>
        </w:trPr>
        <w:tc>
          <w:tcPr>
            <w:tcW w:w="872" w:type="pct"/>
            <w:vAlign w:val="center"/>
          </w:tcPr>
          <w:p w:rsidR="001F74FC" w:rsidRDefault="001F74FC" w:rsidP="00B60E93">
            <w:pPr>
              <w:jc w:val="left"/>
              <w:rPr>
                <w:rFonts w:ascii="宋体" w:hAnsi="宋体" w:cs="宋体"/>
                <w:szCs w:val="21"/>
              </w:rPr>
            </w:pPr>
            <w:r>
              <w:rPr>
                <w:rFonts w:ascii="宋体" w:hAnsi="宋体" w:cs="宋体" w:hint="eastAsia"/>
                <w:color w:val="000000"/>
                <w:szCs w:val="21"/>
              </w:rPr>
              <w:t>血透监测</w:t>
            </w:r>
          </w:p>
        </w:tc>
        <w:tc>
          <w:tcPr>
            <w:tcW w:w="3131" w:type="pct"/>
            <w:vAlign w:val="center"/>
          </w:tcPr>
          <w:p w:rsidR="001F74FC" w:rsidRDefault="001F74FC" w:rsidP="00B60E93">
            <w:pPr>
              <w:rPr>
                <w:rFonts w:ascii="宋体" w:hAnsi="宋体" w:cs="宋体"/>
                <w:szCs w:val="21"/>
              </w:rPr>
            </w:pPr>
            <w:r>
              <w:rPr>
                <w:rFonts w:ascii="宋体" w:hAnsi="宋体" w:cs="宋体" w:hint="eastAsia"/>
                <w:szCs w:val="21"/>
                <w:lang/>
              </w:rPr>
              <w:t>满足《医院感染监测标准WST312-2023》中门诊血液透析感染监测需求：</w:t>
            </w:r>
          </w:p>
          <w:p w:rsidR="001F74FC" w:rsidRDefault="001F74FC" w:rsidP="00B60E93">
            <w:pPr>
              <w:pStyle w:val="msolistparagraph0"/>
              <w:widowControl/>
              <w:numPr>
                <w:ilvl w:val="0"/>
                <w:numId w:val="1"/>
              </w:numPr>
              <w:ind w:firstLineChars="0"/>
              <w:rPr>
                <w:rFonts w:ascii="宋体" w:hAnsi="宋体" w:cs="宋体"/>
                <w:szCs w:val="21"/>
              </w:rPr>
            </w:pPr>
            <w:r>
              <w:rPr>
                <w:rFonts w:ascii="宋体" w:hAnsi="宋体" w:cs="宋体" w:hint="eastAsia"/>
                <w:szCs w:val="21"/>
              </w:rPr>
              <w:t>门诊血透感染事件监测</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▲门诊透析患者月报表</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▲门诊血透析感染事件监测表</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▲血液透析感染事件发生率</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▲血管通路感染发生率</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▲血管通路相关性血流感染发生率</w:t>
            </w:r>
          </w:p>
          <w:p w:rsidR="001F74FC" w:rsidRDefault="001F74FC" w:rsidP="00B60E93">
            <w:pPr>
              <w:pStyle w:val="msolistparagraph0"/>
              <w:widowControl/>
              <w:numPr>
                <w:ilvl w:val="0"/>
                <w:numId w:val="2"/>
              </w:numPr>
              <w:ind w:firstLineChars="0"/>
              <w:rPr>
                <w:rFonts w:ascii="宋体" w:hAnsi="宋体" w:cs="宋体"/>
                <w:szCs w:val="21"/>
              </w:rPr>
            </w:pPr>
            <w:r>
              <w:rPr>
                <w:rFonts w:ascii="宋体" w:hAnsi="宋体" w:cs="宋体" w:hint="eastAsia"/>
                <w:szCs w:val="21"/>
              </w:rPr>
              <w:t>▲血管穿刺部位感染发生率</w:t>
            </w:r>
          </w:p>
          <w:p w:rsidR="001F74FC" w:rsidRDefault="001F74FC" w:rsidP="00B60E93">
            <w:pPr>
              <w:pStyle w:val="msolistparagraph0"/>
              <w:widowControl/>
              <w:numPr>
                <w:ilvl w:val="0"/>
                <w:numId w:val="1"/>
              </w:numPr>
              <w:ind w:firstLineChars="0"/>
              <w:rPr>
                <w:rFonts w:ascii="宋体" w:hAnsi="宋体" w:cs="宋体"/>
                <w:szCs w:val="21"/>
              </w:rPr>
            </w:pPr>
            <w:r>
              <w:rPr>
                <w:rFonts w:ascii="宋体" w:hAnsi="宋体" w:cs="宋体" w:hint="eastAsia"/>
                <w:szCs w:val="21"/>
              </w:rPr>
              <w:t>门诊血透血源性病原体监测</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rPr>
              <w:t>▲门诊血液透析患者血源性病原体监测表</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rPr>
              <w:t>▲新入患者传染病标志物检验完成率</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rPr>
              <w:t>▲长期血液透析患者传染病标志物定时检验完成率</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rPr>
              <w:t>HBV 阳转率</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rPr>
              <w:t>HCV 阳转率</w:t>
            </w:r>
          </w:p>
          <w:p w:rsidR="001F74FC" w:rsidRDefault="001F74FC" w:rsidP="00B60E93">
            <w:pPr>
              <w:pStyle w:val="msolistparagraph0"/>
              <w:widowControl/>
              <w:numPr>
                <w:ilvl w:val="0"/>
                <w:numId w:val="3"/>
              </w:numPr>
              <w:ind w:firstLineChars="0"/>
              <w:rPr>
                <w:rFonts w:ascii="宋体" w:hAnsi="宋体" w:cs="宋体"/>
                <w:spacing w:val="15"/>
                <w:szCs w:val="21"/>
              </w:rPr>
            </w:pPr>
            <w:r>
              <w:rPr>
                <w:rFonts w:ascii="宋体" w:hAnsi="宋体" w:cs="宋体" w:hint="eastAsia"/>
                <w:szCs w:val="21"/>
              </w:rPr>
              <w:t>HIV 阳转率</w:t>
            </w:r>
          </w:p>
          <w:p w:rsidR="001F74FC" w:rsidRDefault="001F74FC" w:rsidP="00B60E93">
            <w:pPr>
              <w:pStyle w:val="msolistparagraph0"/>
              <w:widowControl/>
              <w:numPr>
                <w:ilvl w:val="0"/>
                <w:numId w:val="3"/>
              </w:numPr>
              <w:ind w:firstLineChars="0"/>
              <w:rPr>
                <w:rFonts w:ascii="宋体" w:hAnsi="宋体" w:cs="宋体"/>
                <w:szCs w:val="21"/>
              </w:rPr>
            </w:pPr>
            <w:r>
              <w:rPr>
                <w:rFonts w:ascii="宋体" w:hAnsi="宋体" w:cs="宋体" w:hint="eastAsia"/>
                <w:szCs w:val="21"/>
                <w:lang/>
              </w:rPr>
              <w:t>梅毒阳转率</w:t>
            </w:r>
          </w:p>
        </w:tc>
        <w:tc>
          <w:tcPr>
            <w:tcW w:w="997" w:type="pct"/>
            <w:vAlign w:val="center"/>
          </w:tcPr>
          <w:p w:rsidR="001F74FC" w:rsidRDefault="001F74FC" w:rsidP="00B60E93">
            <w:pPr>
              <w:pStyle w:val="msolistparagraph0"/>
              <w:widowControl/>
              <w:ind w:firstLineChars="0" w:firstLine="0"/>
              <w:jc w:val="center"/>
              <w:rPr>
                <w:rFonts w:ascii="宋体" w:hAnsi="宋体" w:cs="宋体"/>
                <w:szCs w:val="21"/>
              </w:rPr>
            </w:pPr>
            <w:r>
              <w:rPr>
                <w:rFonts w:ascii="宋体" w:hAnsi="宋体" w:cs="宋体" w:hint="eastAsia"/>
                <w:szCs w:val="21"/>
                <w:lang/>
              </w:rPr>
              <w:t>20000.00</w:t>
            </w:r>
          </w:p>
        </w:tc>
      </w:tr>
      <w:tr w:rsidR="001F74FC" w:rsidTr="00F73ABA">
        <w:trPr>
          <w:trHeight w:val="1497"/>
          <w:jc w:val="center"/>
        </w:trPr>
        <w:tc>
          <w:tcPr>
            <w:tcW w:w="872" w:type="pct"/>
            <w:vAlign w:val="center"/>
          </w:tcPr>
          <w:p w:rsidR="001F74FC" w:rsidRDefault="001F74FC" w:rsidP="00B60E93">
            <w:pPr>
              <w:jc w:val="left"/>
              <w:rPr>
                <w:rFonts w:ascii="宋体" w:hAnsi="宋体" w:cs="宋体"/>
                <w:szCs w:val="21"/>
              </w:rPr>
            </w:pPr>
            <w:r>
              <w:rPr>
                <w:rFonts w:ascii="宋体" w:hAnsi="宋体" w:cs="宋体" w:hint="eastAsia"/>
                <w:szCs w:val="21"/>
              </w:rPr>
              <w:t>“感术”行动指标</w:t>
            </w:r>
          </w:p>
        </w:tc>
        <w:tc>
          <w:tcPr>
            <w:tcW w:w="3131" w:type="pct"/>
            <w:vAlign w:val="center"/>
          </w:tcPr>
          <w:p w:rsidR="001F74FC" w:rsidRDefault="001F74FC" w:rsidP="00B60E93">
            <w:pPr>
              <w:pStyle w:val="a3"/>
              <w:widowControl w:val="0"/>
              <w:wordWrap w:val="0"/>
              <w:spacing w:before="0" w:beforeAutospacing="0" w:after="0" w:afterAutospacing="0"/>
              <w:jc w:val="both"/>
              <w:rPr>
                <w:spacing w:val="15"/>
                <w:kern w:val="2"/>
                <w:sz w:val="21"/>
                <w:szCs w:val="21"/>
              </w:rPr>
            </w:pPr>
            <w:r>
              <w:rPr>
                <w:rFonts w:hint="eastAsia"/>
                <w:spacing w:val="15"/>
                <w:kern w:val="2"/>
                <w:sz w:val="21"/>
                <w:szCs w:val="21"/>
              </w:rPr>
              <w:t>提供“感术”行动相关指标：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术前皮肤准备合格率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手术部位感染率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I类切口手术部位感染率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术后肺炎发生率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预防性使用抗菌药物术前0.5-1小时给药率</w:t>
            </w:r>
          </w:p>
          <w:p w:rsidR="001F74FC" w:rsidRDefault="001F74FC" w:rsidP="00B60E93">
            <w:pPr>
              <w:pStyle w:val="a3"/>
              <w:widowControl w:val="0"/>
              <w:numPr>
                <w:ilvl w:val="0"/>
                <w:numId w:val="4"/>
              </w:numPr>
              <w:wordWrap w:val="0"/>
              <w:spacing w:before="0" w:beforeAutospacing="0" w:after="0" w:afterAutospacing="0"/>
              <w:jc w:val="both"/>
              <w:rPr>
                <w:spacing w:val="15"/>
                <w:kern w:val="2"/>
                <w:sz w:val="21"/>
                <w:szCs w:val="21"/>
              </w:rPr>
            </w:pPr>
            <w:r>
              <w:rPr>
                <w:rFonts w:hint="eastAsia"/>
                <w:spacing w:val="15"/>
                <w:kern w:val="2"/>
                <w:sz w:val="21"/>
                <w:szCs w:val="21"/>
              </w:rPr>
              <w:t>I类切口手术预防性用药24小时内抗菌药物停药率</w:t>
            </w:r>
          </w:p>
        </w:tc>
        <w:tc>
          <w:tcPr>
            <w:tcW w:w="997" w:type="pct"/>
            <w:vAlign w:val="center"/>
          </w:tcPr>
          <w:p w:rsidR="001F74FC" w:rsidRDefault="001F74FC" w:rsidP="00B60E93">
            <w:pPr>
              <w:pStyle w:val="a3"/>
              <w:widowControl w:val="0"/>
              <w:wordWrap w:val="0"/>
              <w:spacing w:before="0" w:beforeAutospacing="0" w:after="0" w:afterAutospacing="0"/>
              <w:jc w:val="center"/>
              <w:rPr>
                <w:spacing w:val="15"/>
                <w:kern w:val="2"/>
                <w:sz w:val="21"/>
                <w:szCs w:val="21"/>
              </w:rPr>
            </w:pPr>
            <w:r>
              <w:rPr>
                <w:rFonts w:hint="eastAsia"/>
                <w:spacing w:val="15"/>
                <w:kern w:val="2"/>
                <w:sz w:val="21"/>
                <w:szCs w:val="21"/>
              </w:rPr>
              <w:t>10000.00</w:t>
            </w:r>
          </w:p>
        </w:tc>
      </w:tr>
      <w:tr w:rsidR="001F74FC" w:rsidTr="00F73ABA">
        <w:trPr>
          <w:trHeight w:val="497"/>
          <w:jc w:val="center"/>
        </w:trPr>
        <w:tc>
          <w:tcPr>
            <w:tcW w:w="872" w:type="pct"/>
            <w:vAlign w:val="center"/>
          </w:tcPr>
          <w:p w:rsidR="001F74FC" w:rsidRDefault="001F74FC" w:rsidP="00B60E93">
            <w:pPr>
              <w:jc w:val="left"/>
              <w:rPr>
                <w:rFonts w:ascii="宋体" w:hAnsi="宋体" w:cs="宋体"/>
                <w:szCs w:val="21"/>
              </w:rPr>
            </w:pPr>
            <w:r>
              <w:rPr>
                <w:rFonts w:ascii="宋体" w:hAnsi="宋体" w:cs="宋体" w:hint="eastAsia"/>
                <w:szCs w:val="21"/>
              </w:rPr>
              <w:t>质控12项指标</w:t>
            </w:r>
          </w:p>
        </w:tc>
        <w:tc>
          <w:tcPr>
            <w:tcW w:w="3131" w:type="pct"/>
            <w:vAlign w:val="center"/>
          </w:tcPr>
          <w:p w:rsidR="001F74FC" w:rsidRDefault="001F74FC" w:rsidP="00B60E93">
            <w:pPr>
              <w:pStyle w:val="a3"/>
              <w:widowControl w:val="0"/>
              <w:wordWrap w:val="0"/>
              <w:spacing w:before="0" w:beforeAutospacing="0" w:after="0" w:afterAutospacing="0"/>
              <w:jc w:val="both"/>
              <w:rPr>
                <w:spacing w:val="15"/>
                <w:kern w:val="2"/>
                <w:sz w:val="21"/>
                <w:szCs w:val="21"/>
              </w:rPr>
            </w:pPr>
            <w:r>
              <w:rPr>
                <w:rFonts w:hint="eastAsia"/>
                <w:sz w:val="21"/>
                <w:szCs w:val="21"/>
              </w:rPr>
              <w:t>系统支持提供根据《医院感染管理医疗质量控制指标（2024版）》要求统计以下指标：</w:t>
            </w:r>
            <w:r>
              <w:rPr>
                <w:rFonts w:hint="eastAsia"/>
                <w:sz w:val="21"/>
                <w:szCs w:val="21"/>
              </w:rPr>
              <w:br/>
              <w:t>1)感控专职人员床位比；</w:t>
            </w:r>
            <w:r>
              <w:rPr>
                <w:rFonts w:hint="eastAsia"/>
                <w:sz w:val="21"/>
                <w:szCs w:val="21"/>
              </w:rPr>
              <w:br/>
              <w:t>2)任意时段全院及各病区的医疗机构工作人员手卫生依从率；</w:t>
            </w:r>
            <w:r>
              <w:rPr>
                <w:rFonts w:hint="eastAsia"/>
                <w:sz w:val="21"/>
                <w:szCs w:val="21"/>
              </w:rPr>
              <w:br/>
              <w:t>3)任意时段全院及各病区的千日医院感染例次发病率；</w:t>
            </w:r>
            <w:r>
              <w:rPr>
                <w:rFonts w:hint="eastAsia"/>
                <w:sz w:val="21"/>
                <w:szCs w:val="21"/>
              </w:rPr>
              <w:br/>
              <w:t>4)任意时段全院及各病区的新生儿千日医院感染例次发病率；</w:t>
            </w:r>
            <w:r>
              <w:rPr>
                <w:rFonts w:hint="eastAsia"/>
                <w:sz w:val="21"/>
                <w:szCs w:val="21"/>
              </w:rPr>
              <w:br/>
              <w:t>5)任意时段全院及各病区的千日特定多重耐药菌医院感染例次发病率；</w:t>
            </w:r>
            <w:r>
              <w:rPr>
                <w:rFonts w:hint="eastAsia"/>
                <w:sz w:val="21"/>
                <w:szCs w:val="21"/>
              </w:rPr>
              <w:br/>
              <w:t>6)任意时段全院及各病区的住院患者联合使用重点抗菌药物治疗前病原学送检率；</w:t>
            </w:r>
            <w:r>
              <w:rPr>
                <w:rFonts w:hint="eastAsia"/>
                <w:sz w:val="21"/>
                <w:szCs w:val="21"/>
              </w:rPr>
              <w:br/>
              <w:t>7)任意时段全院及各病区的住院患者Ⅰ类切口抗菌药物预防使用率；</w:t>
            </w:r>
            <w:r>
              <w:rPr>
                <w:rFonts w:hint="eastAsia"/>
                <w:sz w:val="21"/>
                <w:szCs w:val="21"/>
              </w:rPr>
              <w:br/>
              <w:t>8)任意时段全院及各病区的住院患者Ⅰ类切口手术部位</w:t>
            </w:r>
            <w:r>
              <w:rPr>
                <w:rFonts w:hint="eastAsia"/>
                <w:sz w:val="21"/>
                <w:szCs w:val="21"/>
              </w:rPr>
              <w:lastRenderedPageBreak/>
              <w:t>感染率；</w:t>
            </w:r>
            <w:r>
              <w:rPr>
                <w:rFonts w:hint="eastAsia"/>
                <w:sz w:val="21"/>
                <w:szCs w:val="21"/>
              </w:rPr>
              <w:br/>
              <w:t>9)任意时段全院及各病区的血管导管相关血流感染发病率；</w:t>
            </w:r>
            <w:r>
              <w:rPr>
                <w:rFonts w:hint="eastAsia"/>
                <w:sz w:val="21"/>
                <w:szCs w:val="21"/>
              </w:rPr>
              <w:br/>
              <w:t>10)任意时段全院及各病区的呼吸机相关肺炎发病率；</w:t>
            </w:r>
            <w:r>
              <w:rPr>
                <w:rFonts w:hint="eastAsia"/>
                <w:sz w:val="21"/>
                <w:szCs w:val="21"/>
              </w:rPr>
              <w:br/>
              <w:t>11)任意时段全院及各病区的导尿管相关尿路感染发病率；</w:t>
            </w:r>
            <w:r>
              <w:rPr>
                <w:rFonts w:hint="eastAsia"/>
                <w:sz w:val="21"/>
                <w:szCs w:val="21"/>
              </w:rPr>
              <w:br/>
              <w:t>12)任意时段全院及各病区的血液透析相关感染发病率。</w:t>
            </w:r>
          </w:p>
        </w:tc>
        <w:tc>
          <w:tcPr>
            <w:tcW w:w="997" w:type="pct"/>
            <w:vAlign w:val="center"/>
          </w:tcPr>
          <w:p w:rsidR="001F74FC" w:rsidRDefault="001F74FC" w:rsidP="00B60E93">
            <w:pPr>
              <w:pStyle w:val="a3"/>
              <w:widowControl w:val="0"/>
              <w:wordWrap w:val="0"/>
              <w:spacing w:before="0" w:beforeAutospacing="0" w:after="0" w:afterAutospacing="0"/>
              <w:jc w:val="center"/>
              <w:rPr>
                <w:sz w:val="21"/>
                <w:szCs w:val="21"/>
              </w:rPr>
            </w:pPr>
            <w:r>
              <w:rPr>
                <w:rFonts w:hint="eastAsia"/>
                <w:sz w:val="21"/>
                <w:szCs w:val="21"/>
              </w:rPr>
              <w:lastRenderedPageBreak/>
              <w:t>10000.00</w:t>
            </w:r>
          </w:p>
        </w:tc>
      </w:tr>
      <w:tr w:rsidR="001F74FC" w:rsidTr="00F73ABA">
        <w:trPr>
          <w:trHeight w:val="497"/>
          <w:jc w:val="center"/>
        </w:trPr>
        <w:tc>
          <w:tcPr>
            <w:tcW w:w="872" w:type="pct"/>
            <w:vAlign w:val="center"/>
          </w:tcPr>
          <w:p w:rsidR="001F74FC" w:rsidRDefault="001F74FC" w:rsidP="00B60E93">
            <w:pPr>
              <w:jc w:val="left"/>
              <w:rPr>
                <w:rFonts w:ascii="宋体" w:hAnsi="宋体" w:cs="宋体"/>
                <w:szCs w:val="21"/>
              </w:rPr>
            </w:pPr>
            <w:r>
              <w:rPr>
                <w:rFonts w:ascii="宋体" w:hAnsi="宋体" w:cs="宋体" w:hint="eastAsia"/>
                <w:szCs w:val="21"/>
              </w:rPr>
              <w:lastRenderedPageBreak/>
              <w:t>数据直报</w:t>
            </w:r>
          </w:p>
        </w:tc>
        <w:tc>
          <w:tcPr>
            <w:tcW w:w="3131" w:type="pct"/>
            <w:vAlign w:val="center"/>
          </w:tcPr>
          <w:p w:rsidR="001F74FC" w:rsidRDefault="001F74FC" w:rsidP="00B60E93">
            <w:pPr>
              <w:pStyle w:val="a3"/>
              <w:widowControl w:val="0"/>
              <w:wordWrap w:val="0"/>
              <w:spacing w:before="0" w:beforeAutospacing="0" w:after="0" w:afterAutospacing="0"/>
              <w:jc w:val="both"/>
              <w:rPr>
                <w:sz w:val="21"/>
                <w:szCs w:val="21"/>
              </w:rPr>
            </w:pPr>
            <w:r>
              <w:rPr>
                <w:rFonts w:hint="eastAsia"/>
                <w:sz w:val="21"/>
                <w:szCs w:val="21"/>
              </w:rPr>
              <w:t>支持按广西院感监测平台数据上报要求一键导出数据包功能</w:t>
            </w:r>
          </w:p>
        </w:tc>
        <w:tc>
          <w:tcPr>
            <w:tcW w:w="997" w:type="pct"/>
            <w:vAlign w:val="center"/>
          </w:tcPr>
          <w:p w:rsidR="001F74FC" w:rsidRDefault="001F74FC" w:rsidP="00B60E93">
            <w:pPr>
              <w:pStyle w:val="a3"/>
              <w:widowControl w:val="0"/>
              <w:wordWrap w:val="0"/>
              <w:spacing w:before="0" w:beforeAutospacing="0" w:after="0" w:afterAutospacing="0"/>
              <w:jc w:val="center"/>
              <w:rPr>
                <w:sz w:val="21"/>
                <w:szCs w:val="21"/>
              </w:rPr>
            </w:pPr>
            <w:r>
              <w:rPr>
                <w:rFonts w:hint="eastAsia"/>
                <w:sz w:val="21"/>
                <w:szCs w:val="21"/>
              </w:rPr>
              <w:t>10000.00</w:t>
            </w:r>
          </w:p>
        </w:tc>
      </w:tr>
      <w:tr w:rsidR="009F2213" w:rsidTr="00F73ABA">
        <w:trPr>
          <w:trHeight w:val="497"/>
          <w:jc w:val="center"/>
        </w:trPr>
        <w:tc>
          <w:tcPr>
            <w:tcW w:w="4003" w:type="pct"/>
            <w:gridSpan w:val="2"/>
            <w:vAlign w:val="center"/>
          </w:tcPr>
          <w:p w:rsidR="009F2213" w:rsidRPr="009F2213" w:rsidRDefault="009F2213" w:rsidP="009F2213">
            <w:pPr>
              <w:pStyle w:val="a3"/>
              <w:widowControl w:val="0"/>
              <w:wordWrap w:val="0"/>
              <w:spacing w:before="0" w:beforeAutospacing="0" w:after="0" w:afterAutospacing="0"/>
              <w:jc w:val="right"/>
              <w:rPr>
                <w:rFonts w:hint="eastAsia"/>
                <w:sz w:val="21"/>
                <w:szCs w:val="21"/>
              </w:rPr>
            </w:pPr>
            <w:r w:rsidRPr="009F2213">
              <w:rPr>
                <w:rFonts w:hint="eastAsia"/>
                <w:sz w:val="21"/>
                <w:szCs w:val="21"/>
              </w:rPr>
              <w:t>合计（元）</w:t>
            </w:r>
            <w:r>
              <w:rPr>
                <w:rFonts w:hint="eastAsia"/>
                <w:sz w:val="21"/>
                <w:szCs w:val="21"/>
              </w:rPr>
              <w:t>：</w:t>
            </w:r>
          </w:p>
        </w:tc>
        <w:tc>
          <w:tcPr>
            <w:tcW w:w="997" w:type="pct"/>
            <w:vAlign w:val="center"/>
          </w:tcPr>
          <w:p w:rsidR="009F2213" w:rsidRDefault="009F2213" w:rsidP="00B60E93">
            <w:pPr>
              <w:pStyle w:val="a3"/>
              <w:widowControl w:val="0"/>
              <w:wordWrap w:val="0"/>
              <w:spacing w:before="0" w:beforeAutospacing="0" w:after="0" w:afterAutospacing="0"/>
              <w:jc w:val="center"/>
              <w:rPr>
                <w:rFonts w:hint="eastAsia"/>
                <w:sz w:val="21"/>
                <w:szCs w:val="21"/>
              </w:rPr>
            </w:pPr>
            <w:r>
              <w:rPr>
                <w:rFonts w:hint="eastAsia"/>
                <w:sz w:val="21"/>
                <w:szCs w:val="21"/>
              </w:rPr>
              <w:t>50000.00</w:t>
            </w:r>
          </w:p>
        </w:tc>
      </w:tr>
    </w:tbl>
    <w:p w:rsidR="0066366B" w:rsidRPr="004301F3" w:rsidRDefault="0066366B" w:rsidP="002146A9">
      <w:pPr>
        <w:wordWrap w:val="0"/>
        <w:spacing w:line="360" w:lineRule="auto"/>
        <w:rPr>
          <w:rFonts w:ascii="宋体" w:hAnsi="宋体" w:cs="宋体"/>
          <w:spacing w:val="15"/>
          <w:szCs w:val="21"/>
        </w:rPr>
      </w:pPr>
    </w:p>
    <w:sectPr w:rsidR="0066366B" w:rsidRPr="004301F3" w:rsidSect="006636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8A" w:rsidRDefault="00FE348A" w:rsidP="00AB7B6D">
      <w:r>
        <w:separator/>
      </w:r>
    </w:p>
  </w:endnote>
  <w:endnote w:type="continuationSeparator" w:id="1">
    <w:p w:rsidR="00FE348A" w:rsidRDefault="00FE348A" w:rsidP="00AB7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8A" w:rsidRDefault="00FE348A" w:rsidP="00AB7B6D">
      <w:r>
        <w:separator/>
      </w:r>
    </w:p>
  </w:footnote>
  <w:footnote w:type="continuationSeparator" w:id="1">
    <w:p w:rsidR="00FE348A" w:rsidRDefault="00FE348A" w:rsidP="00AB7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9C5DE"/>
    <w:multiLevelType w:val="singleLevel"/>
    <w:tmpl w:val="97D9C5DE"/>
    <w:lvl w:ilvl="0">
      <w:start w:val="1"/>
      <w:numFmt w:val="decimal"/>
      <w:lvlText w:val="%1)"/>
      <w:lvlJc w:val="left"/>
      <w:pPr>
        <w:tabs>
          <w:tab w:val="left" w:pos="312"/>
        </w:tabs>
      </w:pPr>
    </w:lvl>
  </w:abstractNum>
  <w:abstractNum w:abstractNumId="1">
    <w:nsid w:val="09288554"/>
    <w:multiLevelType w:val="multilevel"/>
    <w:tmpl w:val="0928855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nsid w:val="47153037"/>
    <w:multiLevelType w:val="multilevel"/>
    <w:tmpl w:val="47153037"/>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nsid w:val="777E1ED1"/>
    <w:multiLevelType w:val="multilevel"/>
    <w:tmpl w:val="777E1ED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66B"/>
    <w:rsid w:val="001F74FC"/>
    <w:rsid w:val="002146A9"/>
    <w:rsid w:val="004301F3"/>
    <w:rsid w:val="0066366B"/>
    <w:rsid w:val="00681A32"/>
    <w:rsid w:val="009F2213"/>
    <w:rsid w:val="00AB7B6D"/>
    <w:rsid w:val="00E9698B"/>
    <w:rsid w:val="00F73ABA"/>
    <w:rsid w:val="00FE348A"/>
    <w:rsid w:val="5DBC6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66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6366B"/>
    <w:pPr>
      <w:widowControl/>
      <w:spacing w:before="100" w:beforeAutospacing="1" w:after="100" w:afterAutospacing="1"/>
      <w:jc w:val="left"/>
    </w:pPr>
    <w:rPr>
      <w:rFonts w:ascii="宋体" w:hAnsi="宋体" w:cs="宋体"/>
      <w:kern w:val="0"/>
      <w:sz w:val="24"/>
    </w:rPr>
  </w:style>
  <w:style w:type="table" w:styleId="a4">
    <w:name w:val="Table Grid"/>
    <w:basedOn w:val="a1"/>
    <w:qFormat/>
    <w:rsid w:val="0066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qFormat/>
    <w:rsid w:val="0066366B"/>
    <w:pPr>
      <w:ind w:firstLineChars="200" w:firstLine="420"/>
    </w:pPr>
    <w:rPr>
      <w:rFonts w:ascii="Calibri" w:hAnsi="Calibri"/>
    </w:rPr>
  </w:style>
  <w:style w:type="paragraph" w:styleId="a5">
    <w:name w:val="header"/>
    <w:basedOn w:val="a"/>
    <w:link w:val="Char"/>
    <w:rsid w:val="00AB7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B7B6D"/>
    <w:rPr>
      <w:rFonts w:ascii="Times New Roman" w:eastAsia="宋体" w:hAnsi="Times New Roman" w:cs="Times New Roman"/>
      <w:kern w:val="2"/>
      <w:sz w:val="18"/>
      <w:szCs w:val="18"/>
    </w:rPr>
  </w:style>
  <w:style w:type="paragraph" w:styleId="a6">
    <w:name w:val="footer"/>
    <w:basedOn w:val="a"/>
    <w:link w:val="Char0"/>
    <w:rsid w:val="00AB7B6D"/>
    <w:pPr>
      <w:tabs>
        <w:tab w:val="center" w:pos="4153"/>
        <w:tab w:val="right" w:pos="8306"/>
      </w:tabs>
      <w:snapToGrid w:val="0"/>
      <w:jc w:val="left"/>
    </w:pPr>
    <w:rPr>
      <w:sz w:val="18"/>
      <w:szCs w:val="18"/>
    </w:rPr>
  </w:style>
  <w:style w:type="character" w:customStyle="1" w:styleId="Char0">
    <w:name w:val="页脚 Char"/>
    <w:basedOn w:val="a0"/>
    <w:link w:val="a6"/>
    <w:rsid w:val="00AB7B6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128</Words>
  <Characters>734</Characters>
  <Application>Microsoft Office Word</Application>
  <DocSecurity>0</DocSecurity>
  <Lines>6</Lines>
  <Paragraphs>1</Paragraphs>
  <ScaleCrop>false</ScaleCrop>
  <Company>Microsoft</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吴嘉雯</cp:lastModifiedBy>
  <cp:revision>5</cp:revision>
  <dcterms:created xsi:type="dcterms:W3CDTF">2025-01-16T16:22:00Z</dcterms:created>
  <dcterms:modified xsi:type="dcterms:W3CDTF">2025-01-16T16:30:00Z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eyJoZGlkIjoiZTA4NzIyN2MxYTlmMzQ1NGE2MjU5NWRkMjhlOGMxYTAiLCJ1c2VySWQiOiIyNjUzNjQyNDAifQ==</vt:lpwstr>
  </property>
  <property fmtid="{D5CDD505-2E9C-101B-9397-08002B2CF9AE}" pid="4" name="ICV">
    <vt:lpwstr>23C1A51D36BC4944B3C9B4C7EB19B24D_12</vt:lpwstr>
  </property>
</Properties>
</file>