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CBAA1">
      <w:pPr>
        <w:rPr>
          <w:rFonts w:hint="eastAsia" w:eastAsiaTheme="minorEastAsia"/>
          <w:b/>
          <w:color w:val="auto"/>
          <w:highlight w:val="none"/>
          <w:lang w:val="en-US" w:eastAsia="zh-CN"/>
        </w:rPr>
      </w:pPr>
      <w:r>
        <w:rPr>
          <w:rFonts w:hint="eastAsia"/>
          <w:b/>
          <w:color w:val="auto"/>
          <w:highlight w:val="none"/>
          <w:lang w:val="en-US" w:eastAsia="zh-CN"/>
        </w:rPr>
        <w:t xml:space="preserve"> </w:t>
      </w:r>
    </w:p>
    <w:p w14:paraId="2301C141">
      <w:pPr>
        <w:rPr>
          <w:b/>
          <w:color w:val="auto"/>
          <w:highlight w:val="none"/>
        </w:rPr>
      </w:pPr>
    </w:p>
    <w:p w14:paraId="7050E9F0">
      <w:pPr>
        <w:rPr>
          <w:b/>
          <w:color w:val="auto"/>
          <w:highlight w:val="none"/>
        </w:rPr>
      </w:pPr>
    </w:p>
    <w:p w14:paraId="3B1B7C68">
      <w:pPr>
        <w:rPr>
          <w:b/>
          <w:color w:val="auto"/>
          <w:highlight w:val="none"/>
        </w:rPr>
      </w:pPr>
    </w:p>
    <w:p w14:paraId="685727D7">
      <w:pPr>
        <w:rPr>
          <w:b/>
          <w:color w:val="auto"/>
          <w:highlight w:val="none"/>
        </w:rPr>
      </w:pPr>
    </w:p>
    <w:p w14:paraId="7A56D0DB">
      <w:pPr>
        <w:rPr>
          <w:b/>
          <w:color w:val="auto"/>
          <w:highlight w:val="none"/>
        </w:rPr>
      </w:pPr>
    </w:p>
    <w:p w14:paraId="717E2CB3">
      <w:pPr>
        <w:jc w:val="center"/>
        <w:rPr>
          <w:rFonts w:asciiTheme="minorEastAsia" w:hAnsiTheme="minorEastAsia"/>
          <w:b/>
          <w:color w:val="auto"/>
          <w:sz w:val="72"/>
          <w:szCs w:val="72"/>
          <w:highlight w:val="none"/>
        </w:rPr>
      </w:pPr>
      <w:r>
        <w:rPr>
          <w:rFonts w:hint="eastAsia" w:asciiTheme="minorEastAsia" w:hAnsiTheme="minorEastAsia"/>
          <w:b/>
          <w:color w:val="auto"/>
          <w:sz w:val="72"/>
          <w:szCs w:val="72"/>
          <w:highlight w:val="none"/>
        </w:rPr>
        <w:t>院 内 采 购 文 件</w:t>
      </w:r>
    </w:p>
    <w:p w14:paraId="147629EA">
      <w:pPr>
        <w:rPr>
          <w:b/>
          <w:color w:val="auto"/>
          <w:highlight w:val="none"/>
        </w:rPr>
      </w:pPr>
    </w:p>
    <w:p w14:paraId="2423ADE0">
      <w:pPr>
        <w:rPr>
          <w:b/>
          <w:color w:val="auto"/>
          <w:highlight w:val="none"/>
        </w:rPr>
      </w:pPr>
    </w:p>
    <w:p w14:paraId="58319347">
      <w:pPr>
        <w:rPr>
          <w:b/>
          <w:color w:val="auto"/>
          <w:highlight w:val="none"/>
        </w:rPr>
      </w:pPr>
    </w:p>
    <w:p w14:paraId="6783C762">
      <w:pPr>
        <w:rPr>
          <w:b/>
          <w:color w:val="auto"/>
          <w:highlight w:val="none"/>
        </w:rPr>
      </w:pPr>
    </w:p>
    <w:p w14:paraId="17C1D32A">
      <w:pPr>
        <w:rPr>
          <w:b/>
          <w:color w:val="auto"/>
          <w:highlight w:val="none"/>
        </w:rPr>
      </w:pPr>
    </w:p>
    <w:p w14:paraId="7D530260">
      <w:pPr>
        <w:rPr>
          <w:b/>
          <w:color w:val="auto"/>
          <w:highlight w:val="none"/>
        </w:rPr>
      </w:pPr>
    </w:p>
    <w:p w14:paraId="53C6D27D">
      <w:pPr>
        <w:rPr>
          <w:b/>
          <w:color w:val="auto"/>
          <w:highlight w:val="none"/>
        </w:rPr>
      </w:pPr>
    </w:p>
    <w:p w14:paraId="123B68DA">
      <w:pPr>
        <w:rPr>
          <w:b/>
          <w:color w:val="auto"/>
          <w:highlight w:val="none"/>
        </w:rPr>
      </w:pPr>
    </w:p>
    <w:p w14:paraId="496A2756">
      <w:pPr>
        <w:rPr>
          <w:b/>
          <w:color w:val="auto"/>
          <w:highlight w:val="none"/>
        </w:rPr>
      </w:pPr>
    </w:p>
    <w:p w14:paraId="68EE0047">
      <w:pPr>
        <w:rPr>
          <w:b/>
          <w:color w:val="auto"/>
          <w:highlight w:val="none"/>
        </w:rPr>
      </w:pPr>
    </w:p>
    <w:p w14:paraId="1D96F5A7">
      <w:pPr>
        <w:rPr>
          <w:b/>
          <w:color w:val="auto"/>
          <w:highlight w:val="none"/>
        </w:rPr>
      </w:pPr>
    </w:p>
    <w:p w14:paraId="34A11082">
      <w:pPr>
        <w:rPr>
          <w:b/>
          <w:color w:val="auto"/>
          <w:highlight w:val="none"/>
        </w:rPr>
      </w:pPr>
    </w:p>
    <w:p w14:paraId="06F65CEB">
      <w:pPr>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b/>
          <w:color w:val="auto"/>
          <w:sz w:val="32"/>
          <w:szCs w:val="32"/>
          <w:highlight w:val="none"/>
          <w:lang w:val="en-US" w:eastAsia="zh-CN"/>
        </w:rPr>
        <w:t xml:space="preserve"> </w:t>
      </w:r>
    </w:p>
    <w:p w14:paraId="0ADD391C">
      <w:pPr>
        <w:ind w:firstLine="2880" w:firstLineChars="900"/>
        <w:jc w:val="both"/>
        <w:rPr>
          <w:rFonts w:hint="default" w:asciiTheme="minorEastAsia" w:hAnsiTheme="minorEastAsia" w:eastAsiaTheme="minorEastAsia"/>
          <w:color w:val="auto"/>
          <w:sz w:val="32"/>
          <w:szCs w:val="32"/>
          <w:highlight w:val="none"/>
          <w:lang w:val="en-US" w:eastAsia="zh-CN"/>
        </w:rPr>
      </w:pPr>
      <w:r>
        <w:rPr>
          <w:rFonts w:hint="eastAsia" w:asciiTheme="minorEastAsia" w:hAnsiTheme="minorEastAsia"/>
          <w:color w:val="auto"/>
          <w:sz w:val="32"/>
          <w:szCs w:val="32"/>
          <w:highlight w:val="none"/>
        </w:rPr>
        <w:t>项目名称：</w:t>
      </w:r>
      <w:r>
        <w:rPr>
          <w:rFonts w:hint="eastAsia" w:asciiTheme="minorEastAsia" w:hAnsiTheme="minorEastAsia"/>
          <w:color w:val="auto"/>
          <w:sz w:val="32"/>
          <w:szCs w:val="32"/>
          <w:highlight w:val="none"/>
          <w:lang w:val="en-US" w:eastAsia="zh-CN"/>
        </w:rPr>
        <w:t>监护仪采购</w:t>
      </w:r>
    </w:p>
    <w:p w14:paraId="3EC62274">
      <w:pPr>
        <w:ind w:firstLine="2880" w:firstLineChars="900"/>
        <w:rPr>
          <w:rFonts w:hint="default" w:asciiTheme="minorEastAsia" w:hAnsiTheme="minorEastAsia" w:eastAsiaTheme="minorEastAsia"/>
          <w:color w:val="auto"/>
          <w:sz w:val="32"/>
          <w:szCs w:val="32"/>
          <w:highlight w:val="none"/>
          <w:u w:val="single"/>
          <w:lang w:val="en-US" w:eastAsia="zh-CN"/>
        </w:rPr>
      </w:pPr>
      <w:r>
        <w:rPr>
          <w:rFonts w:hint="eastAsia" w:asciiTheme="minorEastAsia" w:hAnsiTheme="minorEastAsia"/>
          <w:color w:val="auto"/>
          <w:sz w:val="32"/>
          <w:szCs w:val="32"/>
          <w:highlight w:val="none"/>
        </w:rPr>
        <w:t>项目编号：</w:t>
      </w:r>
      <w:r>
        <w:rPr>
          <w:rFonts w:hint="eastAsia" w:asciiTheme="minorEastAsia" w:hAnsiTheme="minorEastAsia"/>
          <w:color w:val="auto"/>
          <w:sz w:val="32"/>
          <w:szCs w:val="32"/>
          <w:highlight w:val="none"/>
          <w:lang w:val="en-US" w:eastAsia="zh-CN"/>
        </w:rPr>
        <w:t>Z20250101</w:t>
      </w:r>
    </w:p>
    <w:p w14:paraId="27BF7BF6">
      <w:pPr>
        <w:jc w:val="center"/>
        <w:rPr>
          <w:color w:val="auto"/>
          <w:highlight w:val="none"/>
        </w:rPr>
      </w:pPr>
    </w:p>
    <w:p w14:paraId="0EAE3C33">
      <w:pPr>
        <w:jc w:val="center"/>
        <w:rPr>
          <w:b/>
          <w:color w:val="auto"/>
          <w:highlight w:val="none"/>
        </w:rPr>
      </w:pPr>
    </w:p>
    <w:p w14:paraId="5C95A7E0">
      <w:pPr>
        <w:pStyle w:val="2"/>
        <w:rPr>
          <w:color w:val="auto"/>
          <w:highlight w:val="none"/>
        </w:rPr>
      </w:pPr>
    </w:p>
    <w:p w14:paraId="26D1637C">
      <w:pPr>
        <w:jc w:val="center"/>
        <w:rPr>
          <w:b/>
          <w:color w:val="auto"/>
          <w:highlight w:val="none"/>
        </w:rPr>
      </w:pPr>
    </w:p>
    <w:p w14:paraId="01D09D30">
      <w:pPr>
        <w:jc w:val="center"/>
        <w:rPr>
          <w:b/>
          <w:color w:val="auto"/>
          <w:highlight w:val="none"/>
        </w:rPr>
      </w:pPr>
    </w:p>
    <w:p w14:paraId="73D57005">
      <w:pPr>
        <w:jc w:val="center"/>
        <w:rPr>
          <w:b/>
          <w:color w:val="auto"/>
          <w:highlight w:val="none"/>
        </w:rPr>
      </w:pPr>
    </w:p>
    <w:p w14:paraId="47C1892D">
      <w:pPr>
        <w:jc w:val="center"/>
        <w:rPr>
          <w:b/>
          <w:color w:val="auto"/>
          <w:highlight w:val="none"/>
        </w:rPr>
      </w:pPr>
    </w:p>
    <w:p w14:paraId="2215501F">
      <w:pPr>
        <w:jc w:val="center"/>
        <w:rPr>
          <w:b/>
          <w:color w:val="auto"/>
          <w:highlight w:val="none"/>
        </w:rPr>
      </w:pPr>
    </w:p>
    <w:p w14:paraId="48779A62">
      <w:pPr>
        <w:jc w:val="center"/>
        <w:rPr>
          <w:b/>
          <w:color w:val="auto"/>
          <w:highlight w:val="none"/>
        </w:rPr>
      </w:pPr>
    </w:p>
    <w:p w14:paraId="4D1E8EE3">
      <w:pPr>
        <w:jc w:val="center"/>
        <w:rPr>
          <w:b/>
          <w:color w:val="auto"/>
          <w:highlight w:val="none"/>
        </w:rPr>
      </w:pPr>
    </w:p>
    <w:p w14:paraId="545A0874">
      <w:pPr>
        <w:jc w:val="center"/>
        <w:rPr>
          <w:b/>
          <w:color w:val="auto"/>
          <w:highlight w:val="none"/>
        </w:rPr>
      </w:pPr>
    </w:p>
    <w:p w14:paraId="01AEB02A">
      <w:pPr>
        <w:jc w:val="center"/>
        <w:rPr>
          <w:rFonts w:hint="default"/>
          <w:b/>
          <w:color w:val="auto"/>
          <w:highlight w:val="none"/>
          <w:lang w:val="en-US"/>
        </w:rPr>
      </w:pPr>
      <w:r>
        <w:rPr>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57150</wp:posOffset>
                </wp:positionV>
                <wp:extent cx="5337810" cy="16510"/>
                <wp:effectExtent l="0" t="0" r="0" b="0"/>
                <wp:wrapNone/>
                <wp:docPr id="3" name="自选图形 2"/>
                <wp:cNvGraphicFramePr/>
                <a:graphic xmlns:a="http://schemas.openxmlformats.org/drawingml/2006/main">
                  <a:graphicData uri="http://schemas.microsoft.com/office/word/2010/wordprocessingShape">
                    <wps:wsp>
                      <wps:cNvCnPr/>
                      <wps:spPr>
                        <a:xfrm>
                          <a:off x="0" y="0"/>
                          <a:ext cx="5337810" cy="16510"/>
                        </a:xfrm>
                        <a:prstGeom prst="straightConnector1">
                          <a:avLst/>
                        </a:prstGeom>
                        <a:ln w="19050" cap="flat" cmpd="sng">
                          <a:solidFill>
                            <a:srgbClr val="5A5A5A"/>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22.5pt;margin-top:4.5pt;height:1.3pt;width:420.3pt;z-index:251660288;mso-width-relative:page;mso-height-relative:page;" filled="f" stroked="t" coordsize="21600,21600" o:gfxdata="UEsDBAoAAAAAAIdO4kAAAAAAAAAAAAAAAAAEAAAAZHJzL1BLAwQUAAAACACHTuJAQst159gAAAAH&#10;AQAADwAAAGRycy9kb3ducmV2LnhtbE2PzU7DMBCE70i8g7WVuFEnQNOQxukBqUBFD1C4cHPjTWIR&#10;r6PY/YGnZznR02g1o5lvy+XJ9eKAY7CeFKTTBARS7Y2lVsHH++o6BxGiJqN7T6jgGwMsq8uLUhfG&#10;H+kND9vYCi6hUGgFXYxDIWWoO3Q6TP2AxF7jR6cjn2MrzaiPXO56eZMkmXTaEi90esCHDuuv7d4p&#10;WM1fwmb9uZ43T82z/Xm0r/aWedTVJE0WICKe4n8Y/vAZHSpm2vk9mSB6BXczfiUquGdhO89nGYgd&#10;59IMZFXKc/7qF1BLAwQUAAAACACHTuJAHq7wB/kBAADoAwAADgAAAGRycy9lMm9Eb2MueG1srVNL&#10;jhMxEN0jcQfLe9L5KMNMK50RShg2CCIxHKDidndb8k8uTzrZsUOcgR1L7gC3GQluQdkdMjBsskAt&#10;ucuuqlf1nsuL673RbCcDKmcrPhmNOZNWuFrZtuLvb2+eXXKGEWwN2llZ8YNEfr18+mTR+1JOXed0&#10;LQMjEItl7yvexejLokDRSQM4cl5acjYuGIi0DW1RB+gJ3ehiOh5fFL0LtQ9OSEQ6XQ9OfkQM5wC6&#10;plFCrp24M9LGATVIDZEoYac88mXutmmkiG+bBmVkuuLENOaVipC9TWuxXEDZBvCdEscW4JwWHnEy&#10;oCwVPUGtIQK7C+ofKKNEcOiaOBLOFAORrAixmIwfafOuAy8zF5Ia/Ul0/H+w4s1uE5iqKz7jzIKh&#10;C//x8evPD5/uP3+///aFTZNCvceSAld2E4479JuQ6O6bYNKfiLB9VvVwUlXuIxN0OJ/Nnl9OSHBB&#10;vsnFnExCKR6SfcD4SjrDklFxjAFU28WVs5buz4VJVhZ2rzEOib8TUmVtWU+wV+N5qgA0kA0NApnG&#10;Eym0bU5Gp1V9o7ROKRja7UoHtgMaivmL9B07+issVVkDdkNcdqUwKDsJ9Utbs3jwJJelV8JTD0bW&#10;nGlJjypZOTKC0udEkhjakiZJ6EHaZG1dfciK53MagKzacVjThP25z9kPD3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LLdefYAAAABwEAAA8AAAAAAAAAAQAgAAAAIgAAAGRycy9kb3ducmV2Lnht&#10;bFBLAQIUABQAAAAIAIdO4kAervAH+QEAAOgDAAAOAAAAAAAAAAEAIAAAACcBAABkcnMvZTJvRG9j&#10;LnhtbFBLBQYAAAAABgAGAFkBAACSBQAAAAA=&#10;">
                <v:fill on="f" focussize="0,0"/>
                <v:stroke weight="1.5pt" color="#5A5A5A" joinstyle="round"/>
                <v:imagedata o:title=""/>
                <o:lock v:ext="edit" aspectratio="f"/>
              </v:shape>
            </w:pict>
          </mc:Fallback>
        </mc:AlternateContent>
      </w:r>
      <w:r>
        <w:rPr>
          <w:rFonts w:hint="eastAsia"/>
          <w:b/>
          <w:color w:val="auto"/>
          <w:highlight w:val="none"/>
          <w:lang w:val="en-US" w:eastAsia="zh-CN"/>
        </w:rPr>
        <w:t xml:space="preserve">     </w:t>
      </w:r>
    </w:p>
    <w:p w14:paraId="15DF43E3">
      <w:pPr>
        <w:jc w:val="center"/>
        <w:rPr>
          <w:b/>
          <w:color w:val="auto"/>
          <w:highlight w:val="none"/>
        </w:rPr>
      </w:pPr>
      <w:r>
        <w:rPr>
          <w:rFonts w:hint="eastAsia"/>
          <w:b/>
          <w:color w:val="auto"/>
          <w:highlight w:val="none"/>
        </w:rPr>
        <w:t>采购人：广西壮族自治区江滨医院</w:t>
      </w:r>
    </w:p>
    <w:p w14:paraId="16476251">
      <w:pPr>
        <w:jc w:val="center"/>
        <w:rPr>
          <w:b/>
          <w:color w:val="auto"/>
          <w:highlight w:val="none"/>
        </w:rPr>
      </w:pPr>
      <w:r>
        <w:rPr>
          <w:rFonts w:hint="eastAsia"/>
          <w:b/>
          <w:color w:val="auto"/>
          <w:highlight w:val="none"/>
        </w:rPr>
        <w:t>202</w:t>
      </w:r>
      <w:r>
        <w:rPr>
          <w:rFonts w:hint="eastAsia"/>
          <w:b/>
          <w:color w:val="auto"/>
          <w:highlight w:val="none"/>
          <w:lang w:val="en-US" w:eastAsia="zh-CN"/>
        </w:rPr>
        <w:t>5</w:t>
      </w:r>
      <w:r>
        <w:rPr>
          <w:rFonts w:hint="eastAsia"/>
          <w:b/>
          <w:color w:val="auto"/>
          <w:highlight w:val="none"/>
        </w:rPr>
        <w:t>年</w:t>
      </w:r>
      <w:r>
        <w:rPr>
          <w:rFonts w:hint="eastAsia"/>
          <w:b/>
          <w:color w:val="auto"/>
          <w:highlight w:val="none"/>
          <w:lang w:val="en-US" w:eastAsia="zh-CN"/>
        </w:rPr>
        <w:t>2</w:t>
      </w:r>
      <w:r>
        <w:rPr>
          <w:rFonts w:hint="eastAsia"/>
          <w:b/>
          <w:color w:val="auto"/>
          <w:highlight w:val="none"/>
        </w:rPr>
        <w:t>月</w:t>
      </w:r>
    </w:p>
    <w:p w14:paraId="777A2667">
      <w:pPr>
        <w:spacing w:before="240" w:line="360" w:lineRule="auto"/>
        <w:jc w:val="center"/>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院内</w:t>
      </w:r>
      <w:r>
        <w:rPr>
          <w:rFonts w:hint="eastAsia" w:asciiTheme="minorEastAsia" w:hAnsiTheme="minorEastAsia"/>
          <w:b/>
          <w:color w:val="auto"/>
          <w:sz w:val="28"/>
          <w:szCs w:val="28"/>
          <w:highlight w:val="none"/>
          <w:lang w:val="en-US" w:eastAsia="zh-CN"/>
        </w:rPr>
        <w:t>招标</w:t>
      </w:r>
      <w:r>
        <w:rPr>
          <w:rFonts w:hint="eastAsia" w:asciiTheme="minorEastAsia" w:hAnsiTheme="minorEastAsia"/>
          <w:b/>
          <w:color w:val="auto"/>
          <w:sz w:val="28"/>
          <w:szCs w:val="28"/>
          <w:highlight w:val="none"/>
        </w:rPr>
        <w:t>公告</w:t>
      </w:r>
    </w:p>
    <w:p w14:paraId="6887DB3B">
      <w:pPr>
        <w:spacing w:line="360" w:lineRule="auto"/>
        <w:ind w:firstLine="420" w:firstLineChars="200"/>
        <w:rPr>
          <w:rFonts w:ascii="宋体" w:hAnsi="宋体"/>
          <w:color w:val="auto"/>
          <w:highlight w:val="none"/>
        </w:rPr>
      </w:pPr>
      <w:r>
        <w:rPr>
          <w:rFonts w:hint="eastAsia" w:ascii="宋体" w:hAnsi="宋体"/>
          <w:b w:val="0"/>
          <w:bCs/>
          <w:color w:val="auto"/>
          <w:highlight w:val="none"/>
          <w:lang w:val="en-US" w:eastAsia="zh-CN"/>
        </w:rPr>
        <w:t>我院</w:t>
      </w:r>
      <w:r>
        <w:rPr>
          <w:rFonts w:hint="eastAsia" w:ascii="宋体" w:hAnsi="宋体"/>
          <w:b w:val="0"/>
          <w:bCs/>
          <w:color w:val="auto"/>
          <w:highlight w:val="none"/>
        </w:rPr>
        <w:t>拟对</w:t>
      </w:r>
      <w:r>
        <w:rPr>
          <w:rFonts w:hint="eastAsia" w:ascii="宋体" w:hAnsi="宋体"/>
          <w:b w:val="0"/>
          <w:bCs/>
          <w:color w:val="auto"/>
          <w:highlight w:val="none"/>
          <w:lang w:val="en-US" w:eastAsia="zh-CN"/>
        </w:rPr>
        <w:t>监护仪</w:t>
      </w:r>
      <w:r>
        <w:rPr>
          <w:rFonts w:hint="eastAsia" w:ascii="宋体" w:hAnsi="宋体"/>
          <w:b w:val="0"/>
          <w:bCs/>
          <w:color w:val="auto"/>
          <w:highlight w:val="none"/>
        </w:rPr>
        <w:t>进行</w:t>
      </w:r>
      <w:r>
        <w:rPr>
          <w:rFonts w:hint="eastAsia" w:ascii="宋体" w:hAnsi="宋体"/>
          <w:color w:val="auto"/>
          <w:highlight w:val="none"/>
          <w:lang w:eastAsia="zh-CN"/>
        </w:rPr>
        <w:t>院内招标采购</w:t>
      </w:r>
      <w:r>
        <w:rPr>
          <w:rFonts w:hint="eastAsia" w:ascii="宋体" w:hAnsi="宋体"/>
          <w:color w:val="auto"/>
          <w:highlight w:val="none"/>
        </w:rPr>
        <w:t>，现将有关事项公告如下：</w:t>
      </w:r>
    </w:p>
    <w:p w14:paraId="46480335">
      <w:pPr>
        <w:numPr>
          <w:ilvl w:val="0"/>
          <w:numId w:val="0"/>
        </w:numPr>
        <w:spacing w:line="360" w:lineRule="auto"/>
        <w:rPr>
          <w:rFonts w:hint="default" w:ascii="宋体" w:hAnsi="宋体"/>
          <w:b/>
          <w:color w:val="auto"/>
          <w:highlight w:val="none"/>
        </w:rPr>
      </w:pPr>
      <w:r>
        <w:rPr>
          <w:rFonts w:hint="eastAsia" w:ascii="宋体" w:hAnsi="宋体"/>
          <w:b/>
          <w:color w:val="auto"/>
          <w:highlight w:val="none"/>
          <w:lang w:val="en-US" w:eastAsia="zh-CN"/>
        </w:rPr>
        <w:t>一、</w:t>
      </w:r>
      <w:r>
        <w:rPr>
          <w:rFonts w:hint="eastAsia" w:ascii="宋体" w:hAnsi="宋体"/>
          <w:b/>
          <w:color w:val="auto"/>
          <w:highlight w:val="none"/>
        </w:rPr>
        <w:t>项目名称：</w:t>
      </w:r>
      <w:r>
        <w:rPr>
          <w:rFonts w:hint="eastAsia" w:ascii="宋体" w:hAnsi="宋体"/>
          <w:b w:val="0"/>
          <w:bCs/>
          <w:color w:val="auto"/>
          <w:highlight w:val="none"/>
          <w:lang w:val="en-US" w:eastAsia="zh-CN"/>
        </w:rPr>
        <w:t>监护仪采购</w:t>
      </w:r>
    </w:p>
    <w:p w14:paraId="73CD4768">
      <w:pPr>
        <w:numPr>
          <w:ilvl w:val="0"/>
          <w:numId w:val="0"/>
        </w:numPr>
        <w:spacing w:line="360" w:lineRule="auto"/>
        <w:rPr>
          <w:rFonts w:hint="default" w:ascii="宋体" w:hAnsi="宋体" w:eastAsiaTheme="minorEastAsia"/>
          <w:b w:val="0"/>
          <w:bCs/>
          <w:color w:val="auto"/>
          <w:highlight w:val="none"/>
          <w:u w:val="single"/>
          <w:lang w:val="en-US" w:eastAsia="zh-CN"/>
        </w:rPr>
      </w:pPr>
      <w:r>
        <w:rPr>
          <w:rFonts w:hint="eastAsia" w:ascii="宋体" w:hAnsi="宋体"/>
          <w:b/>
          <w:color w:val="auto"/>
          <w:highlight w:val="none"/>
        </w:rPr>
        <w:t>二、项目编号：</w:t>
      </w:r>
      <w:r>
        <w:rPr>
          <w:rFonts w:hint="eastAsia" w:ascii="宋体" w:hAnsi="宋体"/>
          <w:b w:val="0"/>
          <w:bCs/>
          <w:color w:val="auto"/>
          <w:highlight w:val="none"/>
          <w:lang w:val="en-US" w:eastAsia="zh-CN"/>
        </w:rPr>
        <w:t>Z20250101</w:t>
      </w:r>
    </w:p>
    <w:p w14:paraId="45DF3992">
      <w:pPr>
        <w:spacing w:line="360" w:lineRule="auto"/>
        <w:rPr>
          <w:rFonts w:ascii="宋体" w:hAnsi="宋体"/>
          <w:b/>
          <w:color w:val="auto"/>
          <w:highlight w:val="none"/>
        </w:rPr>
      </w:pPr>
      <w:r>
        <w:rPr>
          <w:rFonts w:hint="eastAsia" w:ascii="宋体" w:hAnsi="宋体"/>
          <w:b/>
          <w:color w:val="auto"/>
          <w:highlight w:val="none"/>
        </w:rPr>
        <w:t>三、采购组织类型：</w:t>
      </w:r>
      <w:r>
        <w:rPr>
          <w:rFonts w:hint="eastAsia" w:ascii="宋体" w:hAnsi="宋体"/>
          <w:b/>
          <w:color w:val="auto"/>
          <w:highlight w:val="none"/>
          <w:lang w:val="en-US" w:eastAsia="zh-CN"/>
        </w:rPr>
        <w:t>非</w:t>
      </w:r>
      <w:r>
        <w:rPr>
          <w:rFonts w:hint="eastAsia" w:ascii="宋体" w:hAnsi="宋体"/>
          <w:b/>
          <w:color w:val="auto"/>
          <w:highlight w:val="none"/>
        </w:rPr>
        <w:t>政府采购</w:t>
      </w:r>
    </w:p>
    <w:p w14:paraId="682AB44F">
      <w:pPr>
        <w:spacing w:line="360" w:lineRule="auto"/>
        <w:rPr>
          <w:rFonts w:hint="default" w:ascii="宋体" w:hAnsi="宋体" w:eastAsiaTheme="minorEastAsia"/>
          <w:b/>
          <w:color w:val="auto"/>
          <w:highlight w:val="none"/>
          <w:lang w:val="en-US" w:eastAsia="zh-CN"/>
        </w:rPr>
      </w:pPr>
      <w:r>
        <w:rPr>
          <w:rFonts w:hint="eastAsia" w:ascii="宋体" w:hAnsi="宋体"/>
          <w:b/>
          <w:color w:val="auto"/>
          <w:highlight w:val="none"/>
        </w:rPr>
        <w:t>四、采购方式：</w:t>
      </w:r>
      <w:r>
        <w:rPr>
          <w:rFonts w:hint="eastAsia" w:ascii="宋体" w:hAnsi="宋体"/>
          <w:b/>
          <w:color w:val="auto"/>
          <w:highlight w:val="none"/>
          <w:lang w:val="en-US" w:eastAsia="zh-CN"/>
        </w:rPr>
        <w:t>院内招标采购</w:t>
      </w:r>
    </w:p>
    <w:p w14:paraId="49C5D16D">
      <w:pPr>
        <w:pStyle w:val="8"/>
        <w:spacing w:line="360" w:lineRule="auto"/>
        <w:ind w:left="0" w:leftChars="0" w:firstLine="0" w:firstLineChars="0"/>
        <w:rPr>
          <w:rFonts w:hAnsi="宋体"/>
          <w:b/>
          <w:color w:val="auto"/>
          <w:spacing w:val="0"/>
          <w:sz w:val="21"/>
          <w:szCs w:val="21"/>
          <w:highlight w:val="none"/>
        </w:rPr>
      </w:pPr>
      <w:r>
        <w:rPr>
          <w:rFonts w:hint="eastAsia" w:hAnsi="宋体"/>
          <w:b/>
          <w:color w:val="auto"/>
          <w:spacing w:val="0"/>
          <w:sz w:val="21"/>
          <w:szCs w:val="21"/>
          <w:highlight w:val="none"/>
        </w:rPr>
        <w:t>五、采购货物名称、数量、简要规格描述或项目基本概况及预算金额：</w:t>
      </w:r>
    </w:p>
    <w:tbl>
      <w:tblPr>
        <w:tblStyle w:val="18"/>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893"/>
        <w:gridCol w:w="1157"/>
        <w:gridCol w:w="1603"/>
        <w:gridCol w:w="1603"/>
        <w:gridCol w:w="2280"/>
      </w:tblGrid>
      <w:tr w14:paraId="1F8B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tcPr>
          <w:p w14:paraId="39CB2452">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893" w:type="dxa"/>
          </w:tcPr>
          <w:p w14:paraId="593E2830">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货物名称</w:t>
            </w:r>
          </w:p>
        </w:tc>
        <w:tc>
          <w:tcPr>
            <w:tcW w:w="1157" w:type="dxa"/>
          </w:tcPr>
          <w:p w14:paraId="7F58EA4A">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数量（套）</w:t>
            </w:r>
          </w:p>
        </w:tc>
        <w:tc>
          <w:tcPr>
            <w:tcW w:w="1603" w:type="dxa"/>
          </w:tcPr>
          <w:p w14:paraId="10FD8CCE">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单价（万元）</w:t>
            </w:r>
          </w:p>
        </w:tc>
        <w:tc>
          <w:tcPr>
            <w:tcW w:w="1603" w:type="dxa"/>
            <w:vAlign w:val="top"/>
          </w:tcPr>
          <w:p w14:paraId="47098ED8">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合计（万元）</w:t>
            </w:r>
          </w:p>
        </w:tc>
        <w:tc>
          <w:tcPr>
            <w:tcW w:w="2280" w:type="dxa"/>
            <w:vAlign w:val="top"/>
          </w:tcPr>
          <w:p w14:paraId="0FDB0E48">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需求基本概述</w:t>
            </w:r>
          </w:p>
        </w:tc>
      </w:tr>
      <w:tr w14:paraId="4054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top"/>
          </w:tcPr>
          <w:p w14:paraId="7C423AF9">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893" w:type="dxa"/>
            <w:vAlign w:val="center"/>
          </w:tcPr>
          <w:p w14:paraId="48E5D34D">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b w:val="0"/>
                <w:bCs/>
                <w:color w:val="auto"/>
                <w:highlight w:val="none"/>
                <w:lang w:val="en-US" w:eastAsia="zh-CN"/>
              </w:rPr>
              <w:t>转运监护仪</w:t>
            </w:r>
          </w:p>
        </w:tc>
        <w:tc>
          <w:tcPr>
            <w:tcW w:w="1157" w:type="dxa"/>
            <w:vAlign w:val="center"/>
          </w:tcPr>
          <w:p w14:paraId="47B5E3FB">
            <w:pPr>
              <w:spacing w:line="36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c>
          <w:tcPr>
            <w:tcW w:w="1603" w:type="dxa"/>
            <w:vAlign w:val="center"/>
          </w:tcPr>
          <w:p w14:paraId="4A22BE71">
            <w:pPr>
              <w:spacing w:line="36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2.5</w:t>
            </w:r>
          </w:p>
        </w:tc>
        <w:tc>
          <w:tcPr>
            <w:tcW w:w="1603" w:type="dxa"/>
            <w:vAlign w:val="center"/>
          </w:tcPr>
          <w:p w14:paraId="7BB80550">
            <w:pPr>
              <w:spacing w:line="360" w:lineRule="exact"/>
              <w:ind w:firstLine="630" w:firstLineChars="300"/>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2.5</w:t>
            </w:r>
          </w:p>
        </w:tc>
        <w:tc>
          <w:tcPr>
            <w:tcW w:w="2280" w:type="dxa"/>
            <w:vAlign w:val="center"/>
          </w:tcPr>
          <w:p w14:paraId="04311F62">
            <w:pPr>
              <w:spacing w:line="36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详见采购文件</w:t>
            </w:r>
          </w:p>
        </w:tc>
      </w:tr>
      <w:tr w14:paraId="3384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Align w:val="top"/>
          </w:tcPr>
          <w:p w14:paraId="7BCB24E4">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893" w:type="dxa"/>
            <w:vAlign w:val="center"/>
          </w:tcPr>
          <w:p w14:paraId="28BCB009">
            <w:pPr>
              <w:spacing w:line="360" w:lineRule="exact"/>
              <w:jc w:val="center"/>
              <w:rPr>
                <w:rFonts w:hint="default" w:ascii="宋体" w:hAnsi="宋体"/>
                <w:b w:val="0"/>
                <w:bCs/>
                <w:color w:val="auto"/>
                <w:highlight w:val="none"/>
                <w:lang w:val="en-US" w:eastAsia="zh-CN"/>
              </w:rPr>
            </w:pPr>
            <w:r>
              <w:rPr>
                <w:rFonts w:hint="eastAsia" w:ascii="宋体" w:hAnsi="宋体"/>
                <w:b w:val="0"/>
                <w:bCs/>
                <w:color w:val="auto"/>
                <w:highlight w:val="none"/>
                <w:lang w:val="en-US" w:eastAsia="zh-CN"/>
              </w:rPr>
              <w:t>病人监护仪</w:t>
            </w:r>
          </w:p>
        </w:tc>
        <w:tc>
          <w:tcPr>
            <w:tcW w:w="1157" w:type="dxa"/>
            <w:vAlign w:val="center"/>
          </w:tcPr>
          <w:p w14:paraId="56A5F270">
            <w:pPr>
              <w:spacing w:line="36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w:t>
            </w:r>
          </w:p>
        </w:tc>
        <w:tc>
          <w:tcPr>
            <w:tcW w:w="1603" w:type="dxa"/>
            <w:vAlign w:val="center"/>
          </w:tcPr>
          <w:p w14:paraId="595157A6">
            <w:pPr>
              <w:spacing w:line="36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2.8</w:t>
            </w:r>
          </w:p>
        </w:tc>
        <w:tc>
          <w:tcPr>
            <w:tcW w:w="1603" w:type="dxa"/>
            <w:vAlign w:val="center"/>
          </w:tcPr>
          <w:p w14:paraId="6D0A9373">
            <w:pPr>
              <w:spacing w:line="360" w:lineRule="exact"/>
              <w:ind w:firstLine="210" w:firstLineChars="10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11.2</w:t>
            </w:r>
          </w:p>
        </w:tc>
        <w:tc>
          <w:tcPr>
            <w:tcW w:w="2280" w:type="dxa"/>
            <w:vAlign w:val="center"/>
          </w:tcPr>
          <w:p w14:paraId="635A2CCC">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详见采购文件</w:t>
            </w:r>
          </w:p>
        </w:tc>
      </w:tr>
      <w:tr w14:paraId="60EE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2" w:type="dxa"/>
            <w:gridSpan w:val="6"/>
            <w:vAlign w:val="top"/>
          </w:tcPr>
          <w:p w14:paraId="7B01FD95">
            <w:pPr>
              <w:spacing w:line="360" w:lineRule="exact"/>
              <w:jc w:val="right"/>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合计总价：13.7万元</w:t>
            </w:r>
          </w:p>
        </w:tc>
      </w:tr>
    </w:tbl>
    <w:p w14:paraId="63FCADA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注：响应报价有效报价范围：供应商响应报价≦采购预算控制价，否则无效。</w:t>
      </w:r>
    </w:p>
    <w:p w14:paraId="4F1BAE4B">
      <w:pPr>
        <w:spacing w:line="360" w:lineRule="auto"/>
        <w:rPr>
          <w:rFonts w:hint="eastAsia" w:hAnsi="宋体"/>
          <w:color w:val="auto"/>
          <w:highlight w:val="none"/>
          <w:lang w:val="en-US" w:eastAsia="zh-CN"/>
        </w:rPr>
      </w:pPr>
      <w:r>
        <w:rPr>
          <w:rFonts w:hint="eastAsia" w:ascii="宋体" w:hAnsi="宋体" w:eastAsia="宋体" w:cs="宋体"/>
          <w:b/>
          <w:bCs/>
          <w:color w:val="auto"/>
          <w:szCs w:val="21"/>
          <w:highlight w:val="none"/>
        </w:rPr>
        <w:t>六、</w:t>
      </w:r>
      <w:r>
        <w:rPr>
          <w:rFonts w:hint="eastAsia" w:hAnsi="宋体"/>
          <w:b/>
          <w:bCs/>
          <w:color w:val="auto"/>
          <w:highlight w:val="none"/>
          <w:lang w:val="en-US" w:eastAsia="zh-CN"/>
        </w:rPr>
        <w:t>供应商资格：</w:t>
      </w:r>
    </w:p>
    <w:p w14:paraId="5C77472E">
      <w:pPr>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①符合《中华人民共和国政府采购法》第二十二条规定的供应商资格条件：第一、具有独立承担民事责任的能力；第二、具有良好的商业信誉和健全的财务会计制度；第三、具有履行合同所必需的设备和专业技术能力；第四、有依法缴纳税收和社会保障资金的良好记录；第五、 参加政府采购活动前三年内，在经营活动中没有重大违法记录；第六、法律、行政法规规定的其他条件。</w:t>
      </w:r>
    </w:p>
    <w:p w14:paraId="5883F740">
      <w:pPr>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②国内注册（指按国家有 关规定要求注册的），具有提供本次招标采购货物及服务能力，具备法人资格的生产厂家或供应商，具备由药品监督管理部门或原食品药品监督管理部门（市场监督管理局)颁发的有效的证件(生产企业：生产第一类医疗器械须提供《第一类医疗器械生产备案凭证》，生产第二、三类医疗器械须提供《医疗器械生产许可证》；经营企业经营第二类医疗器械的须提供《第二类医疗器械经营备案凭证》，经营第三类医疗器械的须提供《医疗器械经营许可证》）。</w:t>
      </w:r>
    </w:p>
    <w:p w14:paraId="70193350">
      <w:pPr>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③单位负责人为同一人或者存在直接控股、管理关系的不同供应商，不得参加同一合同项下的政府采购活动。为本项目提供过整体设计、规范编制或者项目管理、 监理、检测等服务的供应商，不得再参加本项目上述服务以外的其他采购活动。</w:t>
      </w:r>
    </w:p>
    <w:p w14:paraId="4B739238">
      <w:pPr>
        <w:pStyle w:val="33"/>
        <w:tabs>
          <w:tab w:val="left" w:pos="993"/>
          <w:tab w:val="left" w:pos="1134"/>
          <w:tab w:val="left" w:pos="1418"/>
        </w:tabs>
        <w:spacing w:line="360" w:lineRule="auto"/>
        <w:ind w:left="0" w:leftChars="0" w:firstLine="420" w:firstLineChars="200"/>
        <w:rPr>
          <w:rFonts w:hint="eastAsia" w:hAnsi="宋体"/>
          <w:color w:val="auto"/>
          <w:highlight w:val="none"/>
          <w:lang w:val="en-US" w:eastAsia="zh-CN"/>
        </w:rPr>
      </w:pPr>
      <w:r>
        <w:rPr>
          <w:rFonts w:hint="eastAsia" w:hAnsi="宋体"/>
          <w:color w:val="auto"/>
          <w:highlight w:val="none"/>
          <w:lang w:val="en-US" w:eastAsia="zh-CN"/>
        </w:rPr>
        <w:t>④对在“信用中国”网站(www.creditchina.gov.cn) 、中国政府采购网(www.ccgp.gov.cn)被列入失信被执行人、重大税收违法案件当事人名单、政府采购严重违法失信行为记录名单，广西壮族自治区江滨医院失信行为 “ 黑名单 ”及其他不符合《中华人民共和国政府采购法》第二十二条规定条件的供应商，不得参与采购活动。</w:t>
      </w:r>
    </w:p>
    <w:p w14:paraId="3B637359">
      <w:pPr>
        <w:pStyle w:val="33"/>
        <w:tabs>
          <w:tab w:val="left" w:pos="993"/>
          <w:tab w:val="left" w:pos="1134"/>
          <w:tab w:val="left" w:pos="1418"/>
        </w:tabs>
        <w:spacing w:line="36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报名需提交资料</w:t>
      </w:r>
      <w:r>
        <w:rPr>
          <w:rFonts w:hint="eastAsia" w:ascii="宋体" w:hAnsi="宋体" w:eastAsia="宋体" w:cs="宋体"/>
          <w:color w:val="auto"/>
          <w:sz w:val="24"/>
          <w:szCs w:val="24"/>
          <w:highlight w:val="none"/>
        </w:rPr>
        <w:t>：</w:t>
      </w:r>
    </w:p>
    <w:p w14:paraId="35C85E52">
      <w:pPr>
        <w:tabs>
          <w:tab w:val="left" w:pos="993"/>
          <w:tab w:val="left" w:pos="1134"/>
          <w:tab w:val="left" w:pos="1418"/>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1、有效的“法人营业执照”副本内页复印件（要求清晰反映企业经营范围，同时要加盖单位公章，必须提供）；</w:t>
      </w:r>
    </w:p>
    <w:p w14:paraId="4142093B">
      <w:pPr>
        <w:tabs>
          <w:tab w:val="left" w:pos="993"/>
          <w:tab w:val="left" w:pos="1134"/>
          <w:tab w:val="left" w:pos="1418"/>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2、有效的法定代表人身份证复印件（必须提供）；</w:t>
      </w:r>
    </w:p>
    <w:p w14:paraId="5E7C8273">
      <w:pPr>
        <w:tabs>
          <w:tab w:val="left" w:pos="993"/>
          <w:tab w:val="left" w:pos="1134"/>
          <w:tab w:val="left" w:pos="1418"/>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3、法人授权委托书原件和委托代理人身份证复印件（委托代理时必须提供）；</w:t>
      </w:r>
    </w:p>
    <w:p w14:paraId="4C365E05">
      <w:pPr>
        <w:tabs>
          <w:tab w:val="left" w:pos="993"/>
          <w:tab w:val="left" w:pos="1134"/>
          <w:tab w:val="left" w:pos="1418"/>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4、医疗器械经营备案凭证或者经营许可证；</w:t>
      </w:r>
    </w:p>
    <w:p w14:paraId="32321763">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spacing w:line="360" w:lineRule="auto"/>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Cs w:val="21"/>
          <w:highlight w:val="none"/>
          <w:lang w:val="en-US" w:eastAsia="zh-CN"/>
        </w:rPr>
        <w:t>八、</w:t>
      </w:r>
      <w:r>
        <w:rPr>
          <w:rFonts w:hint="eastAsia" w:ascii="宋体" w:hAnsi="宋体" w:eastAsia="宋体" w:cs="宋体"/>
          <w:b/>
          <w:bCs/>
          <w:color w:val="auto"/>
          <w:sz w:val="21"/>
          <w:szCs w:val="21"/>
          <w:lang w:val="en-US" w:eastAsia="zh-CN"/>
        </w:rPr>
        <w:t>报名时间及</w:t>
      </w:r>
      <w:r>
        <w:rPr>
          <w:rFonts w:hint="eastAsia" w:ascii="宋体" w:hAnsi="宋体" w:eastAsia="宋体" w:cs="宋体"/>
          <w:b/>
          <w:bCs/>
          <w:color w:val="auto"/>
          <w:sz w:val="21"/>
          <w:szCs w:val="21"/>
        </w:rPr>
        <w:t>获取</w:t>
      </w:r>
      <w:r>
        <w:rPr>
          <w:rFonts w:hint="eastAsia" w:ascii="宋体" w:hAnsi="宋体" w:eastAsia="宋体" w:cs="宋体"/>
          <w:b/>
          <w:bCs/>
          <w:color w:val="auto"/>
          <w:sz w:val="21"/>
          <w:szCs w:val="21"/>
          <w:lang w:val="en-US" w:eastAsia="zh-CN"/>
        </w:rPr>
        <w:t>采购文件</w:t>
      </w:r>
      <w:r>
        <w:rPr>
          <w:rFonts w:hint="eastAsia" w:ascii="宋体" w:hAnsi="宋体" w:eastAsia="宋体" w:cs="宋体"/>
          <w:b/>
          <w:bCs/>
          <w:color w:val="auto"/>
          <w:sz w:val="21"/>
          <w:szCs w:val="21"/>
        </w:rPr>
        <w:t>：</w:t>
      </w:r>
    </w:p>
    <w:p w14:paraId="537C67A5">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C00000"/>
          <w:sz w:val="21"/>
          <w:szCs w:val="21"/>
        </w:rPr>
      </w:pPr>
      <w:r>
        <w:rPr>
          <w:rFonts w:hint="eastAsia" w:ascii="宋体" w:hAnsi="宋体" w:eastAsia="宋体" w:cs="宋体"/>
          <w:color w:val="auto"/>
          <w:sz w:val="21"/>
          <w:szCs w:val="21"/>
          <w:lang w:val="en-US" w:eastAsia="zh-CN"/>
        </w:rPr>
        <w:t>报名时间：</w:t>
      </w:r>
      <w:r>
        <w:rPr>
          <w:rFonts w:hint="eastAsia" w:ascii="宋体" w:hAnsi="宋体" w:eastAsia="宋体" w:cs="宋体"/>
          <w:color w:val="C00000"/>
          <w:sz w:val="21"/>
          <w:szCs w:val="21"/>
          <w:lang w:eastAsia="zh-CN"/>
        </w:rPr>
        <w:t>精彩纵横线上采购</w:t>
      </w:r>
    </w:p>
    <w:p w14:paraId="52CF300D">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报名及获取采购文件方式：编辑主题“</w:t>
      </w:r>
      <w:r>
        <w:rPr>
          <w:rFonts w:hint="eastAsia" w:ascii="宋体" w:hAnsi="宋体" w:eastAsia="宋体" w:cs="宋体"/>
          <w:b/>
          <w:bCs/>
          <w:strike w:val="0"/>
          <w:dstrike w:val="0"/>
          <w:color w:val="auto"/>
          <w:sz w:val="21"/>
          <w:szCs w:val="21"/>
          <w:u w:val="single"/>
          <w:lang w:val="en-US" w:eastAsia="zh-CN"/>
        </w:rPr>
        <w:t>监护仪采购项目</w:t>
      </w:r>
      <w:r>
        <w:rPr>
          <w:rFonts w:hint="eastAsia" w:ascii="宋体" w:hAnsi="宋体" w:eastAsia="宋体" w:cs="宋体"/>
          <w:b/>
          <w:bCs/>
          <w:color w:val="auto"/>
          <w:sz w:val="21"/>
          <w:szCs w:val="21"/>
          <w:u w:val="single"/>
          <w:lang w:val="en-US" w:eastAsia="zh-CN"/>
        </w:rPr>
        <w:t>+供应商名称+报名</w:t>
      </w:r>
      <w:r>
        <w:rPr>
          <w:rFonts w:hint="eastAsia" w:ascii="宋体" w:hAnsi="宋体" w:eastAsia="宋体" w:cs="宋体"/>
          <w:color w:val="auto"/>
          <w:sz w:val="21"/>
          <w:szCs w:val="21"/>
          <w:lang w:val="en-US" w:eastAsia="zh-CN"/>
        </w:rPr>
        <w:t xml:space="preserve">”将 </w:t>
      </w:r>
      <w:r>
        <w:rPr>
          <w:rFonts w:hint="eastAsia" w:ascii="宋体" w:hAnsi="宋体" w:eastAsia="宋体" w:cs="宋体"/>
          <w:b/>
          <w:bCs/>
          <w:color w:val="auto"/>
          <w:sz w:val="21"/>
          <w:szCs w:val="21"/>
          <w:u w:val="single"/>
          <w:lang w:val="en-US" w:eastAsia="zh-CN"/>
        </w:rPr>
        <w:t xml:space="preserve">附件1报名表 </w:t>
      </w:r>
      <w:r>
        <w:rPr>
          <w:rFonts w:hint="eastAsia" w:ascii="宋体" w:hAnsi="宋体" w:eastAsia="宋体" w:cs="宋体"/>
          <w:color w:val="auto"/>
          <w:sz w:val="21"/>
          <w:szCs w:val="21"/>
          <w:lang w:val="en-US" w:eastAsia="zh-CN"/>
        </w:rPr>
        <w:t>和</w:t>
      </w:r>
      <w:r>
        <w:rPr>
          <w:rFonts w:hint="eastAsia" w:ascii="宋体" w:hAnsi="宋体" w:eastAsia="宋体" w:cs="宋体"/>
          <w:b/>
          <w:bCs/>
          <w:color w:val="auto"/>
          <w:sz w:val="21"/>
          <w:szCs w:val="21"/>
          <w:u w:val="single"/>
          <w:lang w:val="en-US" w:eastAsia="zh-CN"/>
        </w:rPr>
        <w:t>报名材料</w:t>
      </w:r>
      <w:r>
        <w:rPr>
          <w:rFonts w:hint="eastAsia" w:ascii="宋体" w:hAnsi="宋体" w:eastAsia="宋体" w:cs="宋体"/>
          <w:color w:val="auto"/>
          <w:sz w:val="21"/>
          <w:szCs w:val="21"/>
          <w:lang w:val="en-US" w:eastAsia="zh-CN"/>
        </w:rPr>
        <w:t>发送到jbyyzbb@163.com。</w:t>
      </w:r>
    </w:p>
    <w:p w14:paraId="20299225">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spacing w:line="360" w:lineRule="auto"/>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九、开标</w:t>
      </w:r>
      <w:r>
        <w:rPr>
          <w:rFonts w:hint="eastAsia" w:ascii="宋体" w:hAnsi="宋体" w:eastAsia="宋体" w:cs="宋体"/>
          <w:b/>
          <w:bCs/>
          <w:color w:val="auto"/>
          <w:sz w:val="21"/>
          <w:szCs w:val="21"/>
        </w:rPr>
        <w:t>时间和地点：</w:t>
      </w:r>
    </w:p>
    <w:p w14:paraId="0B20BE43">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spacing w:line="360" w:lineRule="auto"/>
        <w:ind w:left="0" w:leftChars="0"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开标</w:t>
      </w:r>
      <w:r>
        <w:rPr>
          <w:rFonts w:hint="eastAsia" w:ascii="宋体" w:hAnsi="宋体" w:eastAsia="宋体" w:cs="宋体"/>
          <w:color w:val="auto"/>
          <w:sz w:val="21"/>
          <w:szCs w:val="21"/>
        </w:rPr>
        <w:t>时间：</w:t>
      </w:r>
      <w:r>
        <w:rPr>
          <w:rFonts w:hint="eastAsia" w:ascii="宋体" w:hAnsi="宋体" w:eastAsia="宋体" w:cs="宋体"/>
          <w:color w:val="C00000"/>
          <w:sz w:val="21"/>
          <w:szCs w:val="21"/>
          <w:lang w:val="en-US" w:eastAsia="zh-CN"/>
        </w:rPr>
        <w:t>精彩纵横线上采购</w:t>
      </w:r>
    </w:p>
    <w:p w14:paraId="6D5FC899">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地点：招标采购部会议室</w:t>
      </w:r>
    </w:p>
    <w:p w14:paraId="065F39FF">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spacing w:line="360" w:lineRule="auto"/>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参加院内招标会的法定代表人或委托代理人必须持证件</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院内招标会开始</w:t>
      </w:r>
      <w:r>
        <w:rPr>
          <w:rFonts w:hint="eastAsia" w:ascii="宋体" w:hAnsi="宋体" w:eastAsia="宋体" w:cs="宋体"/>
          <w:color w:val="auto"/>
          <w:sz w:val="21"/>
          <w:szCs w:val="21"/>
        </w:rPr>
        <w:t>前</w:t>
      </w:r>
      <w:r>
        <w:rPr>
          <w:rFonts w:hint="eastAsia" w:ascii="宋体" w:hAnsi="宋体" w:eastAsia="宋体" w:cs="宋体"/>
          <w:color w:val="auto"/>
          <w:sz w:val="21"/>
          <w:szCs w:val="21"/>
          <w:lang w:val="en-US" w:eastAsia="zh-CN"/>
        </w:rPr>
        <w:t>15分钟</w:t>
      </w:r>
      <w:r>
        <w:rPr>
          <w:rFonts w:hint="eastAsia" w:ascii="宋体" w:hAnsi="宋体" w:eastAsia="宋体" w:cs="宋体"/>
          <w:color w:val="auto"/>
          <w:sz w:val="21"/>
          <w:szCs w:val="21"/>
        </w:rPr>
        <w:t>在广西壮族自治区江滨医院招标采购部会议室</w:t>
      </w:r>
      <w:r>
        <w:rPr>
          <w:rFonts w:hint="eastAsia" w:ascii="宋体" w:hAnsi="宋体" w:eastAsia="宋体" w:cs="宋体"/>
          <w:color w:val="auto"/>
          <w:sz w:val="21"/>
          <w:szCs w:val="21"/>
          <w:lang w:val="en-US" w:eastAsia="zh-CN"/>
        </w:rPr>
        <w:t>签到。</w:t>
      </w:r>
    </w:p>
    <w:p w14:paraId="640F4625">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spacing w:line="360" w:lineRule="auto"/>
        <w:jc w:val="left"/>
        <w:textAlignment w:val="auto"/>
        <w:rPr>
          <w:rFonts w:hint="default" w:eastAsiaTheme="minorEastAsia"/>
          <w:lang w:val="en-US" w:eastAsia="zh-CN"/>
        </w:rPr>
      </w:pPr>
      <w:r>
        <w:rPr>
          <w:rFonts w:hint="eastAsia" w:hAnsi="宋体"/>
          <w:b/>
          <w:bCs/>
          <w:color w:val="auto"/>
          <w:highlight w:val="none"/>
          <w:lang w:val="en-US" w:eastAsia="zh-CN"/>
        </w:rPr>
        <w:t>十</w:t>
      </w:r>
      <w:r>
        <w:rPr>
          <w:rFonts w:hint="eastAsia" w:hAnsi="宋体"/>
          <w:b/>
          <w:bCs/>
          <w:color w:val="auto"/>
          <w:highlight w:val="none"/>
        </w:rPr>
        <w:t>、参加</w:t>
      </w:r>
      <w:r>
        <w:rPr>
          <w:rFonts w:hint="eastAsia" w:hAnsi="宋体"/>
          <w:b/>
          <w:bCs/>
          <w:color w:val="auto"/>
          <w:highlight w:val="none"/>
          <w:lang w:eastAsia="zh-CN"/>
        </w:rPr>
        <w:t>院内招标</w:t>
      </w:r>
      <w:r>
        <w:rPr>
          <w:rFonts w:hint="eastAsia" w:hAnsi="宋体"/>
          <w:b/>
          <w:bCs/>
          <w:color w:val="auto"/>
          <w:highlight w:val="none"/>
        </w:rPr>
        <w:t>人员注意事项</w:t>
      </w:r>
      <w:r>
        <w:rPr>
          <w:rFonts w:hint="eastAsia" w:hAnsi="宋体"/>
          <w:color w:val="auto"/>
          <w:highlight w:val="none"/>
        </w:rPr>
        <w:t>：竞标代表必须熟悉所投标产品性能参数，以便在</w:t>
      </w:r>
      <w:r>
        <w:rPr>
          <w:rFonts w:hint="eastAsia" w:hAnsi="宋体"/>
          <w:color w:val="auto"/>
          <w:highlight w:val="none"/>
          <w:lang w:eastAsia="zh-CN"/>
        </w:rPr>
        <w:t>院内招标</w:t>
      </w:r>
      <w:r>
        <w:rPr>
          <w:rFonts w:hint="eastAsia" w:hAnsi="宋体"/>
          <w:color w:val="auto"/>
          <w:highlight w:val="none"/>
        </w:rPr>
        <w:t>过程中能够解答产品性能参数等相关问题，如竞标代表因不熟悉产品无法答复，将视为不响应需求。</w:t>
      </w:r>
    </w:p>
    <w:p w14:paraId="42725B57">
      <w:pPr>
        <w:tabs>
          <w:tab w:val="left" w:pos="8655"/>
        </w:tabs>
        <w:spacing w:line="360" w:lineRule="auto"/>
        <w:rPr>
          <w:rFonts w:ascii="宋体" w:hAnsi="宋体"/>
          <w:b/>
          <w:color w:val="auto"/>
          <w:highlight w:val="none"/>
        </w:rPr>
      </w:pPr>
      <w:r>
        <w:rPr>
          <w:rFonts w:hint="eastAsia" w:ascii="宋体" w:hAnsi="宋体"/>
          <w:b/>
          <w:color w:val="auto"/>
          <w:highlight w:val="none"/>
        </w:rPr>
        <w:t>十</w:t>
      </w:r>
      <w:r>
        <w:rPr>
          <w:rFonts w:hint="eastAsia" w:ascii="宋体" w:hAnsi="宋体"/>
          <w:b/>
          <w:color w:val="auto"/>
          <w:highlight w:val="none"/>
          <w:lang w:val="en-US" w:eastAsia="zh-CN"/>
        </w:rPr>
        <w:t>一</w:t>
      </w:r>
      <w:r>
        <w:rPr>
          <w:rFonts w:hint="eastAsia" w:ascii="宋体" w:hAnsi="宋体"/>
          <w:b/>
          <w:color w:val="auto"/>
          <w:highlight w:val="none"/>
        </w:rPr>
        <w:t>、联系电话及通讯地址：</w:t>
      </w:r>
      <w:r>
        <w:rPr>
          <w:rFonts w:ascii="宋体" w:hAnsi="宋体"/>
          <w:b/>
          <w:color w:val="auto"/>
          <w:highlight w:val="none"/>
        </w:rPr>
        <w:tab/>
      </w:r>
    </w:p>
    <w:p w14:paraId="25DC2372">
      <w:pPr>
        <w:pStyle w:val="10"/>
        <w:tabs>
          <w:tab w:val="left" w:pos="455"/>
        </w:tabs>
        <w:spacing w:line="360" w:lineRule="auto"/>
        <w:ind w:firstLine="448"/>
        <w:rPr>
          <w:rFonts w:hAnsi="宋体"/>
          <w:color w:val="auto"/>
          <w:szCs w:val="21"/>
          <w:highlight w:val="none"/>
        </w:rPr>
      </w:pPr>
      <w:r>
        <w:rPr>
          <w:rFonts w:hint="eastAsia" w:hAnsi="宋体"/>
          <w:color w:val="auto"/>
          <w:szCs w:val="21"/>
          <w:highlight w:val="none"/>
        </w:rPr>
        <w:t>联系人：</w:t>
      </w:r>
      <w:r>
        <w:rPr>
          <w:rFonts w:hint="eastAsia" w:hAnsi="宋体"/>
          <w:color w:val="auto"/>
          <w:szCs w:val="21"/>
          <w:highlight w:val="none"/>
          <w:lang w:val="en-US" w:eastAsia="zh-CN"/>
        </w:rPr>
        <w:t>马</w:t>
      </w:r>
      <w:r>
        <w:rPr>
          <w:rFonts w:hint="eastAsia" w:hAnsi="宋体"/>
          <w:color w:val="auto"/>
          <w:szCs w:val="21"/>
          <w:highlight w:val="none"/>
        </w:rPr>
        <w:t xml:space="preserve">老师      </w:t>
      </w:r>
    </w:p>
    <w:p w14:paraId="1DE93B28">
      <w:pPr>
        <w:pStyle w:val="10"/>
        <w:tabs>
          <w:tab w:val="left" w:pos="455"/>
        </w:tabs>
        <w:spacing w:line="360" w:lineRule="auto"/>
        <w:ind w:firstLine="448"/>
        <w:rPr>
          <w:rFonts w:hAnsi="宋体"/>
          <w:color w:val="auto"/>
          <w:szCs w:val="21"/>
          <w:highlight w:val="none"/>
        </w:rPr>
      </w:pPr>
      <w:r>
        <w:rPr>
          <w:rFonts w:hint="eastAsia" w:hAnsi="宋体"/>
          <w:color w:val="auto"/>
          <w:szCs w:val="21"/>
          <w:highlight w:val="none"/>
        </w:rPr>
        <w:t xml:space="preserve">联系电话：0771-2080018      </w:t>
      </w:r>
    </w:p>
    <w:p w14:paraId="3FF0E45D">
      <w:pPr>
        <w:pStyle w:val="10"/>
        <w:tabs>
          <w:tab w:val="left" w:pos="455"/>
        </w:tabs>
        <w:spacing w:line="360" w:lineRule="auto"/>
        <w:ind w:firstLine="448"/>
        <w:rPr>
          <w:rFonts w:hAnsi="宋体"/>
          <w:color w:val="auto"/>
          <w:szCs w:val="21"/>
          <w:highlight w:val="none"/>
        </w:rPr>
      </w:pPr>
      <w:r>
        <w:rPr>
          <w:rFonts w:hint="eastAsia" w:hAnsi="宋体"/>
          <w:color w:val="auto"/>
          <w:szCs w:val="21"/>
          <w:highlight w:val="none"/>
        </w:rPr>
        <w:t>地址：广西南宁市青秀区河堤路85号</w:t>
      </w:r>
    </w:p>
    <w:p w14:paraId="17B1AE46">
      <w:pPr>
        <w:pStyle w:val="10"/>
        <w:tabs>
          <w:tab w:val="left" w:pos="455"/>
        </w:tabs>
        <w:spacing w:line="360" w:lineRule="auto"/>
        <w:rPr>
          <w:rFonts w:hAnsi="宋体"/>
          <w:color w:val="auto"/>
          <w:szCs w:val="21"/>
          <w:highlight w:val="none"/>
        </w:rPr>
      </w:pPr>
      <w:r>
        <w:rPr>
          <w:rFonts w:hint="eastAsia" w:hAnsi="宋体"/>
          <w:b/>
          <w:color w:val="auto"/>
          <w:szCs w:val="21"/>
          <w:highlight w:val="none"/>
        </w:rPr>
        <w:t>十</w:t>
      </w:r>
      <w:r>
        <w:rPr>
          <w:rFonts w:hint="eastAsia" w:hAnsi="宋体"/>
          <w:b/>
          <w:color w:val="auto"/>
          <w:szCs w:val="21"/>
          <w:highlight w:val="none"/>
          <w:lang w:val="en-US" w:eastAsia="zh-CN"/>
        </w:rPr>
        <w:t>二</w:t>
      </w:r>
      <w:r>
        <w:rPr>
          <w:rFonts w:hint="eastAsia" w:hAnsi="宋体"/>
          <w:b/>
          <w:color w:val="auto"/>
          <w:szCs w:val="21"/>
          <w:highlight w:val="none"/>
        </w:rPr>
        <w:t>、公告信息查询：</w:t>
      </w:r>
      <w:r>
        <w:rPr>
          <w:rFonts w:hAnsi="宋体"/>
          <w:color w:val="auto"/>
          <w:szCs w:val="21"/>
          <w:highlight w:val="none"/>
        </w:rPr>
        <w:t>广西壮族自治区江滨医院官网</w:t>
      </w:r>
      <w:r>
        <w:rPr>
          <w:color w:val="auto"/>
          <w:highlight w:val="none"/>
        </w:rPr>
        <w:fldChar w:fldCharType="begin"/>
      </w:r>
      <w:r>
        <w:rPr>
          <w:color w:val="auto"/>
          <w:highlight w:val="none"/>
        </w:rPr>
        <w:instrText xml:space="preserve"> HYPERLINK "http://www.gxjbyy.com" </w:instrText>
      </w:r>
      <w:r>
        <w:rPr>
          <w:color w:val="auto"/>
          <w:highlight w:val="none"/>
        </w:rPr>
        <w:fldChar w:fldCharType="separate"/>
      </w:r>
      <w:r>
        <w:rPr>
          <w:rStyle w:val="22"/>
          <w:rFonts w:hAnsi="宋体"/>
          <w:color w:val="auto"/>
          <w:szCs w:val="21"/>
          <w:highlight w:val="none"/>
        </w:rPr>
        <w:t>www.gxjbyy.com</w:t>
      </w:r>
      <w:r>
        <w:rPr>
          <w:rStyle w:val="22"/>
          <w:rFonts w:hAnsi="宋体"/>
          <w:color w:val="auto"/>
          <w:szCs w:val="21"/>
          <w:highlight w:val="none"/>
        </w:rPr>
        <w:fldChar w:fldCharType="end"/>
      </w:r>
    </w:p>
    <w:p w14:paraId="6529B56D">
      <w:pPr>
        <w:pStyle w:val="25"/>
        <w:spacing w:line="360" w:lineRule="auto"/>
        <w:rPr>
          <w:color w:val="auto"/>
          <w:highlight w:val="none"/>
        </w:rPr>
      </w:pPr>
    </w:p>
    <w:p w14:paraId="2104C00E">
      <w:pPr>
        <w:pStyle w:val="25"/>
        <w:spacing w:line="360" w:lineRule="exact"/>
        <w:rPr>
          <w:color w:val="auto"/>
          <w:highlight w:val="none"/>
        </w:rPr>
      </w:pPr>
    </w:p>
    <w:p w14:paraId="6B4F3EE0">
      <w:pPr>
        <w:pStyle w:val="25"/>
        <w:spacing w:line="360" w:lineRule="exact"/>
        <w:rPr>
          <w:color w:val="auto"/>
          <w:highlight w:val="none"/>
        </w:rPr>
      </w:pPr>
    </w:p>
    <w:p w14:paraId="28C2B107">
      <w:pPr>
        <w:spacing w:line="360" w:lineRule="exact"/>
        <w:ind w:right="210"/>
        <w:jc w:val="center"/>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 xml:space="preserve"> 广西壮族自治区江滨医院</w:t>
      </w:r>
    </w:p>
    <w:p w14:paraId="022D0490">
      <w:pPr>
        <w:pStyle w:val="11"/>
        <w:spacing w:line="360" w:lineRule="exact"/>
        <w:ind w:left="5250" w:right="420" w:firstLine="1890" w:firstLineChars="900"/>
        <w:rPr>
          <w:rFonts w:ascii="宋体" w:hAnsi="宋体"/>
          <w:color w:val="C00000"/>
          <w:highlight w:val="none"/>
        </w:rPr>
      </w:pPr>
      <w:r>
        <w:rPr>
          <w:rFonts w:hint="eastAsia" w:ascii="宋体" w:hAnsi="宋体"/>
          <w:color w:val="C00000"/>
          <w:highlight w:val="none"/>
          <w:lang w:eastAsia="zh-CN"/>
        </w:rPr>
        <w:t>2025年</w:t>
      </w:r>
      <w:r>
        <w:rPr>
          <w:rFonts w:hint="eastAsia" w:ascii="宋体" w:hAnsi="宋体"/>
          <w:color w:val="C00000"/>
          <w:highlight w:val="none"/>
          <w:lang w:val="en-US" w:eastAsia="zh-CN"/>
        </w:rPr>
        <w:t>2月18</w:t>
      </w:r>
      <w:r>
        <w:rPr>
          <w:rFonts w:ascii="宋体" w:hAnsi="宋体"/>
          <w:color w:val="C00000"/>
          <w:highlight w:val="none"/>
        </w:rPr>
        <w:t>日</w:t>
      </w:r>
    </w:p>
    <w:p w14:paraId="6E018363">
      <w:pPr>
        <w:rPr>
          <w:rFonts w:hint="eastAsia" w:ascii="宋体" w:hAnsi="宋体" w:eastAsiaTheme="minorEastAsia"/>
          <w:color w:val="auto"/>
          <w:highlight w:val="none"/>
          <w:lang w:eastAsia="zh-CN"/>
        </w:rPr>
      </w:pPr>
    </w:p>
    <w:p w14:paraId="19EBC4C7">
      <w:pPr>
        <w:rPr>
          <w:rFonts w:hint="eastAsia" w:ascii="宋体" w:hAnsi="宋体" w:eastAsiaTheme="minorEastAsia"/>
          <w:color w:val="auto"/>
          <w:highlight w:val="none"/>
          <w:lang w:eastAsia="zh-CN"/>
        </w:rPr>
      </w:pPr>
    </w:p>
    <w:p w14:paraId="642C06F9">
      <w:pPr>
        <w:rPr>
          <w:rFonts w:hint="eastAsia" w:ascii="宋体" w:hAnsi="宋体" w:eastAsiaTheme="minorEastAsia"/>
          <w:color w:val="auto"/>
          <w:highlight w:val="none"/>
          <w:lang w:eastAsia="zh-CN"/>
        </w:rPr>
      </w:pPr>
    </w:p>
    <w:p w14:paraId="184EC924">
      <w:pPr>
        <w:rPr>
          <w:rFonts w:hint="eastAsia" w:ascii="宋体" w:hAnsi="宋体" w:eastAsiaTheme="minorEastAsia"/>
          <w:color w:val="auto"/>
          <w:highlight w:val="none"/>
          <w:lang w:eastAsia="zh-CN"/>
        </w:rPr>
      </w:pPr>
    </w:p>
    <w:p w14:paraId="401EC6D9">
      <w:pPr>
        <w:rPr>
          <w:rFonts w:hint="eastAsia" w:ascii="宋体" w:hAnsi="宋体" w:eastAsiaTheme="minorEastAsia"/>
          <w:color w:val="auto"/>
          <w:highlight w:val="none"/>
          <w:lang w:eastAsia="zh-CN"/>
        </w:rPr>
      </w:pPr>
    </w:p>
    <w:p w14:paraId="62E705E5">
      <w:pPr>
        <w:rPr>
          <w:rFonts w:ascii="宋体" w:hAnsi="宋体"/>
          <w:color w:val="auto"/>
          <w:highlight w:val="none"/>
        </w:rPr>
      </w:pPr>
    </w:p>
    <w:p w14:paraId="550EA2D9">
      <w:pPr>
        <w:rPr>
          <w:color w:val="auto"/>
          <w:highlight w:val="none"/>
        </w:rPr>
      </w:pPr>
    </w:p>
    <w:p w14:paraId="2EB92BB5">
      <w:pPr>
        <w:pStyle w:val="33"/>
        <w:numPr>
          <w:ilvl w:val="0"/>
          <w:numId w:val="1"/>
        </w:numPr>
        <w:spacing w:before="240" w:line="276" w:lineRule="auto"/>
        <w:ind w:left="3546" w:leftChars="1000" w:hanging="1446" w:hangingChars="300"/>
        <w:rPr>
          <w:rFonts w:asciiTheme="minorEastAsia" w:hAnsiTheme="minorEastAsia"/>
          <w:b/>
          <w:color w:val="auto"/>
          <w:sz w:val="48"/>
          <w:szCs w:val="48"/>
          <w:highlight w:val="none"/>
        </w:rPr>
      </w:pPr>
      <w:r>
        <w:rPr>
          <w:rFonts w:hint="eastAsia" w:asciiTheme="minorEastAsia" w:hAnsiTheme="minorEastAsia"/>
          <w:b/>
          <w:color w:val="auto"/>
          <w:sz w:val="48"/>
          <w:szCs w:val="48"/>
          <w:highlight w:val="none"/>
        </w:rPr>
        <w:t>供应商须知</w:t>
      </w:r>
    </w:p>
    <w:p w14:paraId="751F0A05">
      <w:pPr>
        <w:pStyle w:val="10"/>
        <w:spacing w:line="420" w:lineRule="exact"/>
        <w:ind w:left="284" w:right="1890" w:rightChars="900"/>
        <w:jc w:val="center"/>
        <w:rPr>
          <w:rFonts w:hAnsi="宋体"/>
          <w:b/>
          <w:color w:val="auto"/>
          <w:highlight w:val="none"/>
        </w:rPr>
      </w:pPr>
      <w:r>
        <w:rPr>
          <w:rFonts w:hint="eastAsia" w:hAnsi="宋体"/>
          <w:b/>
          <w:color w:val="auto"/>
          <w:highlight w:val="none"/>
        </w:rPr>
        <w:t>一、 响应须知</w:t>
      </w:r>
    </w:p>
    <w:p w14:paraId="3BE56694">
      <w:pPr>
        <w:pStyle w:val="10"/>
        <w:numPr>
          <w:ilvl w:val="0"/>
          <w:numId w:val="2"/>
        </w:numPr>
        <w:spacing w:line="360" w:lineRule="auto"/>
        <w:ind w:left="429" w:leftChars="0" w:hanging="360" w:firstLineChars="0"/>
        <w:rPr>
          <w:rFonts w:hAnsi="宋体"/>
          <w:b/>
          <w:color w:val="auto"/>
          <w:highlight w:val="none"/>
        </w:rPr>
      </w:pPr>
      <w:r>
        <w:rPr>
          <w:rFonts w:hint="eastAsia" w:hAnsi="宋体"/>
          <w:b/>
          <w:color w:val="auto"/>
          <w:highlight w:val="none"/>
        </w:rPr>
        <w:t>项目名称：</w:t>
      </w:r>
      <w:r>
        <w:rPr>
          <w:rFonts w:hint="eastAsia" w:hAnsi="宋体"/>
          <w:b/>
          <w:color w:val="auto"/>
          <w:highlight w:val="none"/>
          <w:lang w:val="en-US" w:eastAsia="zh-CN"/>
        </w:rPr>
        <w:t>监护仪采购</w:t>
      </w:r>
    </w:p>
    <w:p w14:paraId="5055F4D1">
      <w:pPr>
        <w:pStyle w:val="10"/>
        <w:spacing w:line="360" w:lineRule="auto"/>
        <w:ind w:left="283" w:leftChars="135" w:firstLine="211" w:firstLineChars="100"/>
        <w:rPr>
          <w:rFonts w:hint="eastAsia" w:hAnsi="宋体"/>
          <w:b/>
          <w:color w:val="auto"/>
          <w:highlight w:val="none"/>
          <w:lang w:val="en-US" w:eastAsia="zh-CN"/>
        </w:rPr>
      </w:pPr>
      <w:r>
        <w:rPr>
          <w:rFonts w:hint="eastAsia" w:hAnsi="宋体"/>
          <w:b/>
          <w:color w:val="auto"/>
          <w:highlight w:val="none"/>
        </w:rPr>
        <w:t>项目编号：</w:t>
      </w:r>
      <w:r>
        <w:rPr>
          <w:rFonts w:hint="eastAsia" w:hAnsi="宋体"/>
          <w:b/>
          <w:color w:val="auto"/>
          <w:highlight w:val="none"/>
          <w:lang w:val="en-US" w:eastAsia="zh-CN"/>
        </w:rPr>
        <w:t>Z20250101</w:t>
      </w:r>
    </w:p>
    <w:p w14:paraId="4A807EE1">
      <w:pPr>
        <w:pStyle w:val="10"/>
        <w:spacing w:line="360" w:lineRule="auto"/>
        <w:rPr>
          <w:rFonts w:hAnsi="宋体"/>
          <w:b/>
          <w:color w:val="auto"/>
          <w:highlight w:val="none"/>
        </w:rPr>
      </w:pPr>
      <w:r>
        <w:rPr>
          <w:rFonts w:hint="eastAsia" w:hAnsi="宋体"/>
          <w:b/>
          <w:color w:val="auto"/>
          <w:highlight w:val="none"/>
        </w:rPr>
        <w:t>2、供应商资格：</w:t>
      </w:r>
    </w:p>
    <w:p w14:paraId="6E458F62">
      <w:pPr>
        <w:spacing w:line="360" w:lineRule="auto"/>
        <w:ind w:firstLine="420" w:firstLineChars="200"/>
        <w:rPr>
          <w:rFonts w:hint="eastAsia" w:ascii="宋体" w:hAnsi="宋体" w:eastAsiaTheme="minorEastAsia"/>
          <w:color w:val="auto"/>
          <w:highlight w:val="none"/>
          <w:lang w:eastAsia="zh-CN"/>
        </w:rPr>
      </w:pPr>
      <w:r>
        <w:rPr>
          <w:rFonts w:hint="eastAsia" w:ascii="宋体" w:hAnsi="宋体" w:eastAsia="宋体" w:cs="宋体"/>
          <w:color w:val="auto"/>
          <w:highlight w:val="none"/>
        </w:rPr>
        <w:t>①</w:t>
      </w:r>
      <w:r>
        <w:rPr>
          <w:rFonts w:hint="eastAsia" w:ascii="宋体" w:hAnsi="宋体"/>
          <w:color w:val="auto"/>
          <w:highlight w:val="none"/>
        </w:rPr>
        <w:t>符合《中华人民共和国政府采购法》第二十二条规定的供应商资格条件</w:t>
      </w:r>
      <w:r>
        <w:rPr>
          <w:rFonts w:hint="eastAsia" w:ascii="宋体" w:hAnsi="宋体"/>
          <w:color w:val="auto"/>
          <w:highlight w:val="none"/>
          <w:lang w:eastAsia="zh-CN"/>
        </w:rPr>
        <w:t>：</w:t>
      </w:r>
      <w:r>
        <w:rPr>
          <w:rFonts w:hint="eastAsia" w:ascii="宋体" w:hAnsi="宋体"/>
          <w:color w:val="auto"/>
          <w:highlight w:val="none"/>
          <w:lang w:val="en-US" w:eastAsia="zh-CN"/>
        </w:rPr>
        <w:t>第一、具有独立承担民事责任的能力；第二、具有良好的商业信誉和健全的财务会计制度；第三、具有履行合同所必需的设备和专业技术能力；第四、有依法缴纳税收和社会保障资金的良好记录；第五、 参加政府采购活动前三年内，在经营活动中没有重大违法记录；第六、法律、行政法规规定的其他条件。</w:t>
      </w:r>
    </w:p>
    <w:p w14:paraId="7B3A57C4">
      <w:pPr>
        <w:spacing w:line="360" w:lineRule="auto"/>
        <w:ind w:firstLine="420" w:firstLineChars="200"/>
        <w:rPr>
          <w:rFonts w:hint="eastAsia" w:ascii="宋体" w:hAnsi="宋体" w:eastAsiaTheme="minorEastAsia"/>
          <w:color w:val="auto"/>
          <w:highlight w:val="none"/>
          <w:lang w:eastAsia="zh-CN"/>
        </w:rPr>
      </w:pPr>
      <w:r>
        <w:rPr>
          <w:rFonts w:hint="eastAsia" w:ascii="宋体" w:hAnsi="宋体" w:eastAsia="宋体" w:cs="宋体"/>
          <w:color w:val="auto"/>
          <w:highlight w:val="none"/>
        </w:rPr>
        <w:t>②</w:t>
      </w:r>
      <w:r>
        <w:rPr>
          <w:rFonts w:hint="eastAsia" w:ascii="宋体" w:hAnsi="宋体"/>
          <w:color w:val="auto"/>
          <w:highlight w:val="none"/>
        </w:rPr>
        <w:t>国内注册（指按国家有关规定要求注册的），具有提供本次招标采购货物及服务能力，具备法人资格的生产厂家或供应商</w:t>
      </w:r>
      <w:r>
        <w:rPr>
          <w:rFonts w:hint="eastAsia" w:ascii="宋体" w:hAnsi="宋体"/>
          <w:color w:val="auto"/>
          <w:highlight w:val="none"/>
          <w:lang w:eastAsia="zh-CN"/>
        </w:rPr>
        <w:t>，</w:t>
      </w:r>
      <w:r>
        <w:rPr>
          <w:rFonts w:hint="eastAsia" w:hAnsi="宋体"/>
          <w:color w:val="auto"/>
          <w:highlight w:val="none"/>
          <w:lang w:val="en-US" w:eastAsia="zh-CN"/>
        </w:rPr>
        <w:t>具备由药品监督管理部门或原食品药品监督管理部门（市场监督管理局)颁发的有效的证件(生产企业：生产第一类医疗器械须提供《第一类医疗器械生产备案凭证》，生产第二、三类医疗器械须提供《医疗器械生产许可证》；经营企业经营第二类医疗器械的须提供《第二类医疗器械经营备案凭证》，经营第三类医疗器械的须提供《医疗器械经营许可证》）。</w:t>
      </w:r>
    </w:p>
    <w:p w14:paraId="4A9F7322">
      <w:pPr>
        <w:spacing w:line="360" w:lineRule="auto"/>
        <w:ind w:firstLine="420" w:firstLineChars="200"/>
        <w:rPr>
          <w:color w:val="auto"/>
          <w:highlight w:val="none"/>
        </w:rPr>
      </w:pPr>
      <w:r>
        <w:rPr>
          <w:rFonts w:hint="eastAsia" w:ascii="宋体" w:hAnsi="宋体" w:eastAsia="宋体" w:cs="宋体"/>
          <w:color w:val="auto"/>
          <w:highlight w:val="none"/>
        </w:rPr>
        <w:t>③</w:t>
      </w:r>
      <w:r>
        <w:rPr>
          <w:rFonts w:hint="eastAsia" w:ascii="Times New Roman" w:hAnsi="Times New Roman" w:eastAsia="宋体" w:cs="Times New Roman"/>
          <w:color w:val="auto"/>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BB03686">
      <w:pPr>
        <w:spacing w:line="360" w:lineRule="auto"/>
        <w:ind w:firstLine="420" w:firstLineChars="200"/>
        <w:rPr>
          <w:color w:val="auto"/>
          <w:highlight w:val="none"/>
        </w:rPr>
      </w:pPr>
      <w:r>
        <w:rPr>
          <w:rFonts w:hint="eastAsia" w:ascii="宋体" w:hAnsi="宋体" w:eastAsia="宋体" w:cs="宋体"/>
          <w:color w:val="auto"/>
          <w:highlight w:val="none"/>
        </w:rPr>
        <w:t>④</w:t>
      </w:r>
      <w:r>
        <w:rPr>
          <w:color w:val="auto"/>
          <w:highlight w:val="none"/>
        </w:rPr>
        <w:t>对在“信用中国”网站(</w:t>
      </w:r>
      <w:r>
        <w:rPr>
          <w:color w:val="auto"/>
          <w:highlight w:val="none"/>
        </w:rPr>
        <w:fldChar w:fldCharType="begin"/>
      </w:r>
      <w:r>
        <w:rPr>
          <w:color w:val="auto"/>
          <w:highlight w:val="none"/>
        </w:rPr>
        <w:instrText xml:space="preserve"> HYPERLINK "http://www.creditchina.gov.cn" \t "_blank" </w:instrText>
      </w:r>
      <w:r>
        <w:rPr>
          <w:color w:val="auto"/>
          <w:highlight w:val="none"/>
        </w:rPr>
        <w:fldChar w:fldCharType="separate"/>
      </w:r>
      <w:r>
        <w:rPr>
          <w:rStyle w:val="22"/>
          <w:color w:val="auto"/>
          <w:highlight w:val="none"/>
        </w:rPr>
        <w:t>www.creditchina.gov.cn</w:t>
      </w:r>
      <w:r>
        <w:rPr>
          <w:rStyle w:val="22"/>
          <w:color w:val="auto"/>
          <w:highlight w:val="none"/>
        </w:rPr>
        <w:fldChar w:fldCharType="end"/>
      </w:r>
      <w:r>
        <w:rPr>
          <w:color w:val="auto"/>
          <w:highlight w:val="none"/>
        </w:rPr>
        <w:t>) 、中国政府采购网(</w:t>
      </w:r>
      <w:r>
        <w:rPr>
          <w:color w:val="auto"/>
          <w:highlight w:val="none"/>
        </w:rPr>
        <w:fldChar w:fldCharType="begin"/>
      </w:r>
      <w:r>
        <w:rPr>
          <w:color w:val="auto"/>
          <w:highlight w:val="none"/>
        </w:rPr>
        <w:instrText xml:space="preserve"> HYPERLINK "http://www.ccgp.gov.cn)被列入失信被执行人、重大税收违法案件当事人名单、政府采购严重违法失信行为记录名单及其他不符合《中华人民共和国政府采购法》第二十二条规定条件的供应商，不得参与政府采购活动。" \t "_blank" </w:instrText>
      </w:r>
      <w:r>
        <w:rPr>
          <w:color w:val="auto"/>
          <w:highlight w:val="none"/>
        </w:rPr>
        <w:fldChar w:fldCharType="separate"/>
      </w:r>
      <w:r>
        <w:rPr>
          <w:rStyle w:val="22"/>
          <w:color w:val="auto"/>
          <w:highlight w:val="none"/>
        </w:rPr>
        <w:t>www.ccgp.gov.cn)被列入失信被执行人、重大税收违法案件当事人名单、政府采购严重违法失信行为记录名单</w:t>
      </w:r>
      <w:r>
        <w:rPr>
          <w:rStyle w:val="22"/>
          <w:rFonts w:hint="eastAsia"/>
          <w:color w:val="auto"/>
          <w:highlight w:val="none"/>
          <w:lang w:eastAsia="zh-CN"/>
        </w:rPr>
        <w:t>，</w:t>
      </w:r>
      <w:r>
        <w:rPr>
          <w:rStyle w:val="22"/>
          <w:rFonts w:hint="eastAsia"/>
          <w:color w:val="auto"/>
          <w:highlight w:val="none"/>
          <w:lang w:val="en-US" w:eastAsia="zh-CN"/>
        </w:rPr>
        <w:t>广西壮族自治区江滨医院失信行为 “ 黑名单 ”及其他不符合《中华人民共和国政府采购法》第二十二条规定条件的供应商，不得参与采购活动。</w:t>
      </w:r>
      <w:r>
        <w:rPr>
          <w:rStyle w:val="22"/>
          <w:color w:val="auto"/>
          <w:highlight w:val="none"/>
        </w:rPr>
        <w:fldChar w:fldCharType="end"/>
      </w:r>
    </w:p>
    <w:p w14:paraId="1BCEA3D6">
      <w:pPr>
        <w:pStyle w:val="24"/>
        <w:spacing w:line="360" w:lineRule="auto"/>
        <w:ind w:firstLine="520" w:firstLineChars="200"/>
        <w:rPr>
          <w:color w:val="auto"/>
          <w:highlight w:val="none"/>
        </w:rPr>
      </w:pPr>
      <w:r>
        <w:rPr>
          <w:rFonts w:hint="eastAsia" w:ascii="宋体" w:hAnsi="宋体" w:eastAsia="宋体" w:cs="宋体"/>
          <w:color w:val="auto"/>
          <w:highlight w:val="none"/>
        </w:rPr>
        <w:t>⑤</w:t>
      </w:r>
      <w:r>
        <w:rPr>
          <w:rFonts w:hint="eastAsia"/>
          <w:bCs w:val="0"/>
          <w:color w:val="auto"/>
          <w:spacing w:val="0"/>
          <w:kern w:val="2"/>
          <w:sz w:val="21"/>
          <w:highlight w:val="none"/>
        </w:rPr>
        <w:t>本项目不接受联合体。</w:t>
      </w:r>
    </w:p>
    <w:p w14:paraId="7C97C583">
      <w:pPr>
        <w:pStyle w:val="10"/>
        <w:spacing w:line="360" w:lineRule="auto"/>
        <w:ind w:right="8129" w:rightChars="3871"/>
        <w:rPr>
          <w:rFonts w:hAnsi="宋体"/>
          <w:color w:val="auto"/>
          <w:highlight w:val="none"/>
        </w:rPr>
      </w:pPr>
      <w:r>
        <w:rPr>
          <w:rFonts w:hint="eastAsia" w:hAnsi="宋体"/>
          <w:b/>
          <w:color w:val="auto"/>
          <w:highlight w:val="none"/>
        </w:rPr>
        <w:t>3、响应报价：</w:t>
      </w:r>
    </w:p>
    <w:p w14:paraId="7060D247">
      <w:pPr>
        <w:pStyle w:val="10"/>
        <w:spacing w:line="360" w:lineRule="auto"/>
        <w:ind w:firstLine="525" w:firstLineChars="250"/>
        <w:rPr>
          <w:rFonts w:hint="eastAsia" w:asciiTheme="minorEastAsia" w:hAnsiTheme="minorEastAsia" w:eastAsiaTheme="minorEastAsia"/>
          <w:color w:val="auto"/>
          <w:szCs w:val="21"/>
          <w:highlight w:val="none"/>
        </w:rPr>
      </w:pPr>
      <w:r>
        <w:rPr>
          <w:rFonts w:hint="eastAsia" w:hAnsi="宋体"/>
          <w:color w:val="auto"/>
          <w:highlight w:val="none"/>
        </w:rPr>
        <w:t>响应报价指</w:t>
      </w:r>
      <w:r>
        <w:rPr>
          <w:rFonts w:hint="eastAsia" w:asciiTheme="minorEastAsia" w:hAnsiTheme="minorEastAsia" w:eastAsiaTheme="minorEastAsia"/>
          <w:color w:val="auto"/>
          <w:szCs w:val="21"/>
          <w:highlight w:val="none"/>
        </w:rPr>
        <w:t>包括设备采购、运输、劳务、管理、利润、税金、保险、协调、安装、调试、培训、售后服务</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接口费</w:t>
      </w:r>
      <w:r>
        <w:rPr>
          <w:rFonts w:hint="eastAsia" w:asciiTheme="minorEastAsia" w:hAnsiTheme="minorEastAsia" w:eastAsiaTheme="minorEastAsia"/>
          <w:color w:val="auto"/>
          <w:szCs w:val="21"/>
          <w:highlight w:val="none"/>
        </w:rPr>
        <w:t>以及所有的不定因素的风险等所有成本费用的总和。</w:t>
      </w:r>
    </w:p>
    <w:p w14:paraId="58CC2DE6">
      <w:pPr>
        <w:widowControl w:val="0"/>
        <w:spacing w:line="360" w:lineRule="auto"/>
        <w:jc w:val="both"/>
        <w:rPr>
          <w:rFonts w:hint="default" w:cs="Times New Roman" w:asciiTheme="minorEastAsia" w:hAnsiTheme="minorEastAsia" w:eastAsiaTheme="minorEastAsia"/>
          <w:b/>
          <w:bCs/>
          <w:color w:val="auto"/>
          <w:kern w:val="2"/>
          <w:sz w:val="21"/>
          <w:szCs w:val="21"/>
          <w:highlight w:val="none"/>
          <w:lang w:val="en-US" w:eastAsia="zh-CN" w:bidi="ar-SA"/>
        </w:rPr>
      </w:pPr>
      <w:r>
        <w:rPr>
          <w:rFonts w:hint="eastAsia" w:cs="Times New Roman" w:asciiTheme="minorEastAsia" w:hAnsiTheme="minorEastAsia"/>
          <w:b/>
          <w:bCs/>
          <w:color w:val="auto"/>
          <w:kern w:val="2"/>
          <w:sz w:val="21"/>
          <w:szCs w:val="21"/>
          <w:highlight w:val="none"/>
          <w:lang w:val="en-US" w:eastAsia="zh-CN" w:bidi="ar-SA"/>
        </w:rPr>
        <w:t>4、</w:t>
      </w:r>
      <w:r>
        <w:rPr>
          <w:rFonts w:ascii="宋体" w:hAnsi="宋体" w:eastAsia="宋体" w:cs="宋体"/>
          <w:sz w:val="21"/>
          <w:szCs w:val="21"/>
        </w:rPr>
        <w:t>为防止供应商恶意低价进行不正当竞争，在评标过程中，评标委员会认为评标人的报价明显低于其他通过符合性审查投标人的报价，有可能影响产品或服务质量或者不能诚信履约的，应当要求其在评标现场合理的时间内提供书面说明，必要时提交相关证明材料；</w:t>
      </w:r>
      <w:r>
        <w:rPr>
          <w:rFonts w:ascii="宋体" w:hAnsi="宋体" w:eastAsia="宋体" w:cs="宋体"/>
          <w:b/>
          <w:bCs/>
          <w:sz w:val="21"/>
          <w:szCs w:val="21"/>
        </w:rPr>
        <w:t>投标人不能证明其报价合理性的，评标委员会应当将其作为无效投标处理</w:t>
      </w:r>
      <w:r>
        <w:rPr>
          <w:rFonts w:ascii="宋体" w:hAnsi="宋体" w:eastAsia="宋体" w:cs="宋体"/>
          <w:sz w:val="21"/>
          <w:szCs w:val="21"/>
        </w:rPr>
        <w:t>。（请投标人根据自身报价情况开标前提供相关证明材料）。</w:t>
      </w:r>
    </w:p>
    <w:p w14:paraId="5C7661DA">
      <w:pPr>
        <w:widowControl w:val="0"/>
        <w:spacing w:line="360" w:lineRule="auto"/>
        <w:jc w:val="both"/>
        <w:rPr>
          <w:rFonts w:ascii="宋体" w:hAnsi="宋体" w:eastAsia="宋体" w:cs="Times New Roman"/>
          <w:color w:val="auto"/>
          <w:kern w:val="2"/>
          <w:sz w:val="21"/>
          <w:szCs w:val="20"/>
          <w:highlight w:val="none"/>
          <w:lang w:val="en-US" w:eastAsia="zh-CN" w:bidi="ar-SA"/>
        </w:rPr>
      </w:pPr>
      <w:r>
        <w:rPr>
          <w:rFonts w:hint="eastAsia" w:ascii="宋体" w:hAnsi="宋体" w:eastAsia="宋体" w:cs="Times New Roman"/>
          <w:b/>
          <w:color w:val="auto"/>
          <w:kern w:val="2"/>
          <w:sz w:val="21"/>
          <w:szCs w:val="20"/>
          <w:highlight w:val="none"/>
          <w:lang w:val="en-US" w:eastAsia="zh-CN" w:bidi="ar-SA"/>
        </w:rPr>
        <w:t>5、响应文件份数：</w:t>
      </w:r>
      <w:r>
        <w:rPr>
          <w:rFonts w:hint="eastAsia" w:ascii="宋体" w:hAnsi="宋体" w:eastAsia="宋体" w:cs="Times New Roman"/>
          <w:color w:val="C00000"/>
          <w:kern w:val="2"/>
          <w:sz w:val="21"/>
          <w:szCs w:val="20"/>
          <w:highlight w:val="none"/>
          <w:lang w:val="en-US" w:eastAsia="zh-CN" w:bidi="ar-SA"/>
        </w:rPr>
        <w:t>正本一本  副本五本</w:t>
      </w:r>
    </w:p>
    <w:p w14:paraId="3D8E15CE">
      <w:pPr>
        <w:widowControl w:val="0"/>
        <w:spacing w:line="360" w:lineRule="auto"/>
        <w:jc w:val="both"/>
        <w:rPr>
          <w:rFonts w:ascii="宋体" w:hAnsi="宋体" w:eastAsia="宋体" w:cs="Times New Roman"/>
          <w:color w:val="auto"/>
          <w:kern w:val="2"/>
          <w:sz w:val="21"/>
          <w:szCs w:val="20"/>
          <w:highlight w:val="none"/>
          <w:lang w:val="en-US" w:eastAsia="zh-CN" w:bidi="ar-SA"/>
        </w:rPr>
      </w:pPr>
      <w:r>
        <w:rPr>
          <w:rFonts w:hint="eastAsia" w:ascii="宋体" w:hAnsi="宋体" w:eastAsia="宋体" w:cs="Times New Roman"/>
          <w:b/>
          <w:color w:val="auto"/>
          <w:kern w:val="2"/>
          <w:sz w:val="21"/>
          <w:szCs w:val="20"/>
          <w:highlight w:val="none"/>
          <w:lang w:val="en-US" w:eastAsia="zh-CN" w:bidi="ar-SA"/>
        </w:rPr>
        <w:t>6、响应文件递交截止时间：</w:t>
      </w:r>
      <w:r>
        <w:rPr>
          <w:rFonts w:hint="eastAsia" w:ascii="宋体" w:hAnsi="宋体" w:eastAsia="宋体" w:cs="Times New Roman"/>
          <w:color w:val="auto"/>
          <w:kern w:val="2"/>
          <w:sz w:val="21"/>
          <w:szCs w:val="20"/>
          <w:highlight w:val="none"/>
          <w:lang w:val="en-US" w:eastAsia="zh-CN" w:bidi="ar-SA"/>
        </w:rPr>
        <w:t>开标前15分钟</w:t>
      </w:r>
    </w:p>
    <w:p w14:paraId="1C0E99DD">
      <w:pPr>
        <w:spacing w:line="360" w:lineRule="auto"/>
        <w:ind w:firstLine="422" w:firstLineChars="200"/>
        <w:rPr>
          <w:rFonts w:ascii="宋体" w:hAnsi="宋体"/>
          <w:color w:val="auto"/>
          <w:highlight w:val="none"/>
        </w:rPr>
      </w:pPr>
      <w:r>
        <w:rPr>
          <w:rFonts w:hint="eastAsia"/>
          <w:b/>
          <w:bCs/>
          <w:color w:val="auto"/>
          <w:highlight w:val="none"/>
        </w:rPr>
        <w:t>地</w:t>
      </w:r>
      <w:r>
        <w:rPr>
          <w:rFonts w:hint="eastAsia" w:asciiTheme="minorHAnsi" w:eastAsiaTheme="minorEastAsia"/>
          <w:b/>
          <w:bCs/>
          <w:color w:val="auto"/>
          <w:highlight w:val="none"/>
          <w:lang w:val="en-US" w:eastAsia="zh-CN"/>
        </w:rPr>
        <w:t xml:space="preserve"> </w:t>
      </w:r>
      <w:r>
        <w:rPr>
          <w:rFonts w:hint="eastAsia"/>
          <w:b/>
          <w:bCs/>
          <w:color w:val="auto"/>
          <w:highlight w:val="none"/>
        </w:rPr>
        <w:t>址</w:t>
      </w:r>
      <w:r>
        <w:rPr>
          <w:rFonts w:hint="eastAsia"/>
          <w:color w:val="auto"/>
          <w:highlight w:val="none"/>
        </w:rPr>
        <w:t>：</w:t>
      </w:r>
      <w:r>
        <w:rPr>
          <w:rFonts w:hint="eastAsia"/>
          <w:b/>
          <w:color w:val="auto"/>
          <w:highlight w:val="none"/>
        </w:rPr>
        <w:t>广西壮族自治区江滨医院</w:t>
      </w:r>
      <w:r>
        <w:rPr>
          <w:rFonts w:hint="eastAsia" w:asciiTheme="minorHAnsi" w:eastAsiaTheme="minorEastAsia"/>
          <w:b/>
          <w:color w:val="auto"/>
          <w:highlight w:val="none"/>
          <w:lang w:val="en-US" w:eastAsia="zh-CN"/>
        </w:rPr>
        <w:t>招标采购部</w:t>
      </w:r>
      <w:r>
        <w:rPr>
          <w:rFonts w:hint="eastAsia"/>
          <w:b/>
          <w:color w:val="auto"/>
          <w:highlight w:val="none"/>
        </w:rPr>
        <w:t>（广西南宁市河堤路85号）</w:t>
      </w:r>
    </w:p>
    <w:p w14:paraId="21C98936">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spacing w:line="360" w:lineRule="auto"/>
        <w:ind w:left="0" w:leftChars="0" w:firstLine="422" w:firstLineChars="200"/>
        <w:jc w:val="left"/>
        <w:textAlignment w:val="auto"/>
        <w:rPr>
          <w:rFonts w:hint="default" w:hAnsi="宋体" w:eastAsiaTheme="minorEastAsia"/>
          <w:b/>
          <w:color w:val="auto"/>
          <w:szCs w:val="21"/>
          <w:highlight w:val="none"/>
          <w:lang w:val="en-US" w:eastAsia="zh-CN"/>
        </w:rPr>
      </w:pPr>
      <w:r>
        <w:rPr>
          <w:rFonts w:hint="eastAsia" w:ascii="宋体" w:hAnsi="宋体"/>
          <w:b/>
          <w:color w:val="auto"/>
          <w:highlight w:val="none"/>
          <w:lang w:val="en-US" w:eastAsia="zh-CN"/>
          <w14:textFill>
            <w14:gradFill>
              <w14:gsLst>
                <w14:gs w14:pos="0">
                  <w14:srgbClr w14:val="E30000"/>
                </w14:gs>
                <w14:gs w14:pos="100000">
                  <w14:srgbClr w14:val="760303"/>
                </w14:gs>
              </w14:gsLst>
              <w14:lin w14:scaled="0"/>
            </w14:gradFill>
          </w14:textFill>
        </w:rPr>
        <w:t>7</w:t>
      </w:r>
      <w:r>
        <w:rPr>
          <w:rFonts w:hint="eastAsia" w:ascii="宋体" w:hAnsi="宋体"/>
          <w:b/>
          <w:color w:val="auto"/>
          <w:highlight w:val="none"/>
          <w14:textFill>
            <w14:gradFill>
              <w14:gsLst>
                <w14:gs w14:pos="0">
                  <w14:srgbClr w14:val="E30000"/>
                </w14:gs>
                <w14:gs w14:pos="100000">
                  <w14:srgbClr w14:val="760303"/>
                </w14:gs>
              </w14:gsLst>
              <w14:lin w14:scaled="0"/>
            </w14:gradFill>
          </w14:textFill>
        </w:rPr>
        <w:t>、</w:t>
      </w:r>
      <w:r>
        <w:rPr>
          <w:rFonts w:hint="eastAsia" w:hAnsi="宋体"/>
          <w:b/>
          <w:bCs/>
          <w:color w:val="auto"/>
          <w:highlight w:val="none"/>
          <w:lang w:eastAsia="zh-CN"/>
        </w:rPr>
        <w:t>院内招标</w:t>
      </w:r>
      <w:r>
        <w:rPr>
          <w:rFonts w:hint="eastAsia" w:hAnsi="宋体"/>
          <w:b/>
          <w:bCs/>
          <w:color w:val="auto"/>
          <w:highlight w:val="none"/>
        </w:rPr>
        <w:t>地点</w:t>
      </w:r>
      <w:r>
        <w:rPr>
          <w:rFonts w:hint="eastAsia" w:hAnsi="宋体"/>
          <w:color w:val="auto"/>
          <w:highlight w:val="none"/>
        </w:rPr>
        <w:t>：</w:t>
      </w:r>
      <w:r>
        <w:rPr>
          <w:rFonts w:hint="eastAsia" w:ascii="宋体" w:hAnsi="宋体" w:eastAsia="宋体" w:cs="宋体"/>
          <w:color w:val="C00000"/>
          <w:sz w:val="21"/>
          <w:szCs w:val="21"/>
          <w:lang w:val="en-US" w:eastAsia="zh-CN"/>
        </w:rPr>
        <w:t>精彩纵横线上采购</w:t>
      </w:r>
    </w:p>
    <w:p w14:paraId="58F1F320">
      <w:pPr>
        <w:spacing w:line="360" w:lineRule="auto"/>
        <w:rPr>
          <w:rFonts w:ascii="宋体" w:hAnsi="宋体"/>
          <w:color w:val="auto"/>
          <w:highlight w:val="none"/>
        </w:rPr>
      </w:pPr>
      <w:r>
        <w:rPr>
          <w:rFonts w:hint="eastAsia" w:ascii="宋体" w:hAnsi="宋体"/>
          <w:b/>
          <w:color w:val="auto"/>
          <w:highlight w:val="none"/>
          <w:lang w:val="en-US" w:eastAsia="zh-CN"/>
        </w:rPr>
        <w:t>8</w:t>
      </w:r>
      <w:r>
        <w:rPr>
          <w:rFonts w:hint="eastAsia" w:ascii="宋体" w:hAnsi="宋体"/>
          <w:b/>
          <w:color w:val="auto"/>
          <w:highlight w:val="none"/>
        </w:rPr>
        <w:t>、评分方法：</w:t>
      </w:r>
      <w:r>
        <w:rPr>
          <w:rStyle w:val="20"/>
          <w:rFonts w:ascii="Arial" w:hAnsi="Arial" w:eastAsia="宋体" w:cs="Arial"/>
          <w:b/>
          <w:bCs/>
          <w:i w:val="0"/>
          <w:iCs w:val="0"/>
          <w:caps w:val="0"/>
          <w:color w:val="333333"/>
          <w:spacing w:val="0"/>
          <w:sz w:val="21"/>
          <w:szCs w:val="21"/>
          <w:shd w:val="clear" w:fill="FFFFFF"/>
        </w:rPr>
        <w:t>最低评标价法</w:t>
      </w:r>
    </w:p>
    <w:p w14:paraId="4BF230AD">
      <w:pPr>
        <w:spacing w:line="360" w:lineRule="auto"/>
        <w:rPr>
          <w:rFonts w:hAnsi="宋体"/>
          <w:color w:val="auto"/>
          <w:szCs w:val="21"/>
          <w:highlight w:val="none"/>
        </w:rPr>
      </w:pPr>
      <w:r>
        <w:rPr>
          <w:rFonts w:hint="eastAsia" w:hAnsi="宋体"/>
          <w:b/>
          <w:color w:val="auto"/>
          <w:highlight w:val="none"/>
          <w:lang w:val="en-US" w:eastAsia="zh-CN"/>
        </w:rPr>
        <w:t>9</w:t>
      </w:r>
      <w:r>
        <w:rPr>
          <w:rFonts w:hint="eastAsia" w:hAnsi="宋体"/>
          <w:b/>
          <w:color w:val="auto"/>
          <w:highlight w:val="none"/>
        </w:rPr>
        <w:t>、成交公告：</w:t>
      </w:r>
      <w:r>
        <w:rPr>
          <w:rFonts w:hint="eastAsia" w:hAnsi="宋体"/>
          <w:color w:val="auto"/>
          <w:highlight w:val="none"/>
        </w:rPr>
        <w:t>发布于</w:t>
      </w:r>
      <w:r>
        <w:rPr>
          <w:rFonts w:hAnsi="宋体"/>
          <w:color w:val="auto"/>
          <w:szCs w:val="21"/>
          <w:highlight w:val="none"/>
        </w:rPr>
        <w:t>广西壮族自治区江滨医院</w:t>
      </w:r>
      <w:r>
        <w:rPr>
          <w:rFonts w:hint="eastAsia" w:hAnsi="宋体"/>
          <w:color w:val="auto"/>
          <w:szCs w:val="21"/>
          <w:highlight w:val="none"/>
        </w:rPr>
        <w:t>官网</w:t>
      </w:r>
      <w:r>
        <w:rPr>
          <w:color w:val="auto"/>
          <w:highlight w:val="none"/>
        </w:rPr>
        <w:fldChar w:fldCharType="begin"/>
      </w:r>
      <w:r>
        <w:rPr>
          <w:color w:val="auto"/>
          <w:highlight w:val="none"/>
        </w:rPr>
        <w:instrText xml:space="preserve"> HYPERLINK "http://www.gxjbyy.com" </w:instrText>
      </w:r>
      <w:r>
        <w:rPr>
          <w:color w:val="auto"/>
          <w:highlight w:val="none"/>
        </w:rPr>
        <w:fldChar w:fldCharType="separate"/>
      </w:r>
      <w:r>
        <w:rPr>
          <w:rStyle w:val="22"/>
          <w:rFonts w:hAnsi="宋体"/>
          <w:color w:val="auto"/>
          <w:szCs w:val="21"/>
          <w:highlight w:val="none"/>
        </w:rPr>
        <w:t>www.gxjbyy.com</w:t>
      </w:r>
      <w:r>
        <w:rPr>
          <w:rStyle w:val="22"/>
          <w:rFonts w:hAnsi="宋体"/>
          <w:color w:val="auto"/>
          <w:szCs w:val="21"/>
          <w:highlight w:val="none"/>
        </w:rPr>
        <w:fldChar w:fldCharType="end"/>
      </w:r>
    </w:p>
    <w:p w14:paraId="7FEA0879">
      <w:pPr>
        <w:spacing w:line="360" w:lineRule="auto"/>
        <w:rPr>
          <w:rFonts w:hAnsi="宋体"/>
          <w:color w:val="auto"/>
          <w:highlight w:val="none"/>
        </w:rPr>
      </w:pPr>
      <w:r>
        <w:rPr>
          <w:rFonts w:hint="eastAsia" w:hAnsi="宋体"/>
          <w:b/>
          <w:color w:val="auto"/>
          <w:highlight w:val="none"/>
          <w:lang w:val="en-US" w:eastAsia="zh-CN"/>
        </w:rPr>
        <w:t>10</w:t>
      </w:r>
      <w:r>
        <w:rPr>
          <w:rFonts w:hint="eastAsia" w:hAnsi="宋体"/>
          <w:b/>
          <w:color w:val="auto"/>
          <w:highlight w:val="none"/>
        </w:rPr>
        <w:t>、签订合同时间：</w:t>
      </w:r>
      <w:r>
        <w:rPr>
          <w:rFonts w:hint="eastAsia" w:hAnsi="宋体"/>
          <w:color w:val="auto"/>
          <w:highlight w:val="none"/>
        </w:rPr>
        <w:t>成交通知书发出后1</w:t>
      </w:r>
      <w:r>
        <w:rPr>
          <w:rFonts w:hint="eastAsia" w:hAnsi="宋体"/>
          <w:color w:val="auto"/>
          <w:highlight w:val="none"/>
          <w:lang w:val="en-US" w:eastAsia="zh-CN"/>
        </w:rPr>
        <w:t>5</w:t>
      </w:r>
      <w:r>
        <w:rPr>
          <w:rFonts w:hint="eastAsia" w:hAnsi="宋体"/>
          <w:color w:val="auto"/>
          <w:highlight w:val="none"/>
        </w:rPr>
        <w:t>日内。</w:t>
      </w:r>
    </w:p>
    <w:p w14:paraId="77A170EE">
      <w:pPr>
        <w:spacing w:line="360" w:lineRule="auto"/>
        <w:rPr>
          <w:rFonts w:ascii="宋体" w:hAnsi="宋体"/>
          <w:color w:val="auto"/>
          <w:highlight w:val="none"/>
        </w:rPr>
      </w:pPr>
      <w:r>
        <w:rPr>
          <w:rFonts w:hint="eastAsia" w:hAnsi="宋体"/>
          <w:b/>
          <w:color w:val="auto"/>
          <w:highlight w:val="none"/>
        </w:rPr>
        <w:t>1</w:t>
      </w:r>
      <w:r>
        <w:rPr>
          <w:rFonts w:hint="eastAsia" w:hAnsi="宋体"/>
          <w:b/>
          <w:color w:val="auto"/>
          <w:highlight w:val="none"/>
          <w:lang w:val="en-US" w:eastAsia="zh-CN"/>
        </w:rPr>
        <w:t>1</w:t>
      </w:r>
      <w:r>
        <w:rPr>
          <w:rFonts w:hint="eastAsia" w:hAnsi="宋体"/>
          <w:b/>
          <w:color w:val="auto"/>
          <w:highlight w:val="none"/>
        </w:rPr>
        <w:t>、解释：</w:t>
      </w:r>
      <w:r>
        <w:rPr>
          <w:rFonts w:hint="eastAsia" w:hAnsi="宋体"/>
          <w:color w:val="auto"/>
          <w:highlight w:val="none"/>
        </w:rPr>
        <w:t>本采购文件解释权属于招标采购单位。</w:t>
      </w:r>
    </w:p>
    <w:p w14:paraId="69C3BD46">
      <w:pPr>
        <w:spacing w:line="360" w:lineRule="auto"/>
        <w:ind w:firstLine="316" w:firstLineChars="150"/>
        <w:rPr>
          <w:rFonts w:hint="eastAsia" w:hAnsi="宋体"/>
          <w:b/>
          <w:bCs/>
          <w:color w:val="auto"/>
          <w:highlight w:val="none"/>
          <w:lang w:val="en-US" w:eastAsia="zh-CN"/>
        </w:rPr>
      </w:pPr>
    </w:p>
    <w:p w14:paraId="64AB9D3A">
      <w:pPr>
        <w:pStyle w:val="10"/>
        <w:spacing w:line="360" w:lineRule="auto"/>
        <w:ind w:firstLine="422" w:firstLineChars="200"/>
        <w:rPr>
          <w:rFonts w:hAnsi="宋体"/>
          <w:b/>
          <w:color w:val="auto"/>
          <w:highlight w:val="none"/>
        </w:rPr>
      </w:pPr>
      <w:r>
        <w:rPr>
          <w:rFonts w:hint="eastAsia" w:hAnsi="宋体"/>
          <w:b/>
          <w:bCs/>
          <w:color w:val="auto"/>
          <w:highlight w:val="none"/>
        </w:rPr>
        <w:t>特别注意：现场提交响应文件并参加竞标的人员</w:t>
      </w:r>
      <w:r>
        <w:rPr>
          <w:rFonts w:hint="eastAsia" w:hAnsi="宋体"/>
          <w:b/>
          <w:bCs/>
          <w:color w:val="auto"/>
          <w:highlight w:val="none"/>
          <w:lang w:val="en-US" w:eastAsia="zh-CN"/>
        </w:rPr>
        <w:t>需要熟悉业务知识，能够解答专家现场提出的问题</w:t>
      </w:r>
      <w:r>
        <w:rPr>
          <w:rFonts w:hint="eastAsia" w:hAnsi="宋体"/>
          <w:b/>
          <w:bCs/>
          <w:color w:val="auto"/>
          <w:highlight w:val="none"/>
          <w:lang w:eastAsia="zh-CN"/>
        </w:rPr>
        <w:t>，</w:t>
      </w:r>
      <w:r>
        <w:rPr>
          <w:rFonts w:hint="eastAsia" w:hAnsi="宋体"/>
          <w:b/>
          <w:bCs/>
          <w:color w:val="auto"/>
          <w:highlight w:val="none"/>
          <w:lang w:val="en-US" w:eastAsia="zh-CN"/>
        </w:rPr>
        <w:t>请参加竞标人员携带本人身份证件</w:t>
      </w:r>
      <w:r>
        <w:rPr>
          <w:rFonts w:hint="eastAsia" w:hAnsi="宋体"/>
          <w:b/>
          <w:bCs/>
          <w:color w:val="auto"/>
          <w:highlight w:val="none"/>
        </w:rPr>
        <w:t>。</w:t>
      </w:r>
    </w:p>
    <w:p w14:paraId="6E264969">
      <w:pPr>
        <w:pStyle w:val="10"/>
        <w:spacing w:line="420" w:lineRule="exact"/>
        <w:jc w:val="center"/>
        <w:rPr>
          <w:rFonts w:hint="eastAsia" w:hAnsi="宋体"/>
          <w:b/>
          <w:color w:val="auto"/>
          <w:highlight w:val="none"/>
        </w:rPr>
      </w:pPr>
    </w:p>
    <w:p w14:paraId="78801F56">
      <w:pPr>
        <w:pStyle w:val="10"/>
        <w:spacing w:line="420" w:lineRule="exact"/>
        <w:jc w:val="both"/>
        <w:rPr>
          <w:rFonts w:hint="eastAsia" w:hAnsi="宋体"/>
          <w:b/>
          <w:color w:val="auto"/>
          <w:highlight w:val="none"/>
        </w:rPr>
      </w:pPr>
    </w:p>
    <w:p w14:paraId="794284E4">
      <w:pPr>
        <w:pStyle w:val="10"/>
        <w:spacing w:line="420" w:lineRule="exact"/>
        <w:jc w:val="center"/>
        <w:rPr>
          <w:rFonts w:hAnsi="宋体"/>
          <w:b/>
          <w:color w:val="auto"/>
          <w:highlight w:val="none"/>
        </w:rPr>
      </w:pPr>
      <w:r>
        <w:rPr>
          <w:rFonts w:hint="eastAsia" w:hAnsi="宋体"/>
          <w:b/>
          <w:color w:val="auto"/>
          <w:highlight w:val="none"/>
        </w:rPr>
        <w:t>二 、采购文件的编制格式</w:t>
      </w:r>
    </w:p>
    <w:p w14:paraId="58CC8E45">
      <w:pPr>
        <w:pStyle w:val="10"/>
        <w:spacing w:line="420" w:lineRule="exact"/>
        <w:rPr>
          <w:rFonts w:hAnsi="宋体"/>
          <w:b/>
          <w:color w:val="auto"/>
          <w:highlight w:val="none"/>
        </w:rPr>
      </w:pPr>
    </w:p>
    <w:p w14:paraId="2CDCBC83">
      <w:pPr>
        <w:pStyle w:val="10"/>
        <w:spacing w:line="420" w:lineRule="exact"/>
        <w:rPr>
          <w:rFonts w:hAnsi="宋体"/>
          <w:color w:val="auto"/>
          <w:highlight w:val="none"/>
        </w:rPr>
      </w:pPr>
      <w:r>
        <w:rPr>
          <w:rFonts w:hint="eastAsia" w:hAnsi="宋体"/>
          <w:b/>
          <w:color w:val="auto"/>
          <w:highlight w:val="none"/>
        </w:rPr>
        <w:t>11、响应文件编写的注意事项</w:t>
      </w:r>
    </w:p>
    <w:p w14:paraId="2FDBF988">
      <w:pPr>
        <w:pStyle w:val="10"/>
        <w:spacing w:line="420" w:lineRule="exact"/>
        <w:ind w:firstLine="420"/>
        <w:rPr>
          <w:rFonts w:hAnsi="宋体"/>
          <w:color w:val="auto"/>
          <w:highlight w:val="none"/>
        </w:rPr>
      </w:pPr>
      <w:r>
        <w:rPr>
          <w:rFonts w:hint="eastAsia" w:hAnsi="宋体"/>
          <w:color w:val="auto"/>
          <w:highlight w:val="none"/>
        </w:rPr>
        <w:t>11.1供应商应认真阅读采购文件，按照采购文件的要求编制响应文件。如果没有按照采购文件要求提交响应文件，没有对采购文件提出的实质性要求和条件作出响应，该采购将被拒绝。</w:t>
      </w:r>
    </w:p>
    <w:p w14:paraId="75B033A4">
      <w:pPr>
        <w:pStyle w:val="10"/>
        <w:spacing w:line="420" w:lineRule="exact"/>
        <w:ind w:firstLine="420"/>
        <w:rPr>
          <w:rFonts w:hAnsi="宋体"/>
          <w:color w:val="auto"/>
          <w:highlight w:val="none"/>
        </w:rPr>
      </w:pPr>
      <w:r>
        <w:rPr>
          <w:rFonts w:hint="eastAsia" w:hAnsi="宋体"/>
          <w:color w:val="auto"/>
          <w:highlight w:val="none"/>
        </w:rPr>
        <w:t>11.2对采购文件提出的实质性要求和条件作出响应是指供应商必须对采购文件中响应项目的价格、技术参数及性能配置、数量、售后服务及其它要求等内容作出响应。</w:t>
      </w:r>
    </w:p>
    <w:p w14:paraId="443B9EAA">
      <w:pPr>
        <w:pStyle w:val="10"/>
        <w:spacing w:line="420" w:lineRule="exact"/>
        <w:rPr>
          <w:rFonts w:hAnsi="宋体"/>
          <w:b/>
          <w:color w:val="auto"/>
          <w:highlight w:val="none"/>
        </w:rPr>
      </w:pPr>
      <w:r>
        <w:rPr>
          <w:rFonts w:hint="eastAsia" w:hAnsi="宋体"/>
          <w:b/>
          <w:color w:val="auto"/>
          <w:highlight w:val="none"/>
        </w:rPr>
        <w:t>12、响应文件的构成</w:t>
      </w:r>
    </w:p>
    <w:p w14:paraId="4AC88840">
      <w:pPr>
        <w:pStyle w:val="10"/>
        <w:spacing w:line="420" w:lineRule="exact"/>
        <w:ind w:firstLine="420"/>
        <w:rPr>
          <w:rFonts w:hAnsi="宋体"/>
          <w:color w:val="auto"/>
          <w:sz w:val="24"/>
          <w:szCs w:val="24"/>
          <w:highlight w:val="none"/>
        </w:rPr>
      </w:pPr>
      <w:r>
        <w:rPr>
          <w:rFonts w:hint="eastAsia" w:hAnsi="宋体"/>
          <w:color w:val="auto"/>
          <w:highlight w:val="none"/>
        </w:rPr>
        <w:t>12.1供应商编写的响应文件应包括下列内容</w:t>
      </w:r>
      <w:r>
        <w:rPr>
          <w:rFonts w:hint="eastAsia" w:hAnsi="宋体"/>
          <w:color w:val="auto"/>
          <w:sz w:val="24"/>
          <w:szCs w:val="24"/>
          <w:highlight w:val="none"/>
        </w:rPr>
        <w:t>（密封在信封或包装袋中）：</w:t>
      </w:r>
    </w:p>
    <w:p w14:paraId="1DFBF1C4">
      <w:pPr>
        <w:pStyle w:val="10"/>
        <w:spacing w:line="420" w:lineRule="exact"/>
        <w:ind w:firstLine="420"/>
        <w:rPr>
          <w:rFonts w:hAnsi="宋体"/>
          <w:color w:val="auto"/>
          <w:highlight w:val="none"/>
        </w:rPr>
      </w:pPr>
      <w:r>
        <w:rPr>
          <w:rFonts w:hint="eastAsia" w:hAnsi="宋体"/>
          <w:color w:val="auto"/>
          <w:highlight w:val="none"/>
        </w:rPr>
        <w:t>一、商务部分</w:t>
      </w:r>
    </w:p>
    <w:p w14:paraId="02B81DB8">
      <w:pPr>
        <w:pStyle w:val="10"/>
        <w:spacing w:line="420" w:lineRule="exact"/>
        <w:ind w:left="420"/>
        <w:rPr>
          <w:rFonts w:hAnsi="宋体"/>
          <w:color w:val="auto"/>
          <w:highlight w:val="none"/>
        </w:rPr>
      </w:pPr>
      <w:r>
        <w:rPr>
          <w:rFonts w:hint="eastAsia" w:hAnsi="宋体"/>
          <w:color w:val="auto"/>
          <w:highlight w:val="none"/>
        </w:rPr>
        <w:t>（1）响应函；</w:t>
      </w:r>
    </w:p>
    <w:p w14:paraId="0D6BC20B">
      <w:pPr>
        <w:pStyle w:val="10"/>
        <w:spacing w:line="420" w:lineRule="exact"/>
        <w:ind w:firstLine="420" w:firstLineChars="200"/>
        <w:rPr>
          <w:rFonts w:hAnsi="宋体"/>
          <w:color w:val="auto"/>
          <w:highlight w:val="none"/>
        </w:rPr>
      </w:pPr>
      <w:r>
        <w:rPr>
          <w:rFonts w:hint="eastAsia" w:hAnsi="宋体"/>
          <w:color w:val="auto"/>
          <w:highlight w:val="none"/>
        </w:rPr>
        <w:t>（2）响应报价表；</w:t>
      </w:r>
    </w:p>
    <w:p w14:paraId="7D267DF9">
      <w:pPr>
        <w:pStyle w:val="10"/>
        <w:spacing w:line="420" w:lineRule="exact"/>
        <w:ind w:firstLine="420" w:firstLineChars="200"/>
        <w:rPr>
          <w:rFonts w:hAnsi="宋体"/>
          <w:color w:val="auto"/>
          <w:highlight w:val="none"/>
        </w:rPr>
      </w:pPr>
      <w:r>
        <w:rPr>
          <w:rFonts w:hint="eastAsia" w:hAnsi="宋体"/>
          <w:color w:val="auto"/>
          <w:highlight w:val="none"/>
        </w:rPr>
        <w:t xml:space="preserve">（3）供应商资格证明文件； </w:t>
      </w:r>
    </w:p>
    <w:p w14:paraId="6EEBC741">
      <w:pPr>
        <w:pStyle w:val="10"/>
        <w:spacing w:line="420" w:lineRule="exact"/>
        <w:ind w:firstLine="412"/>
        <w:rPr>
          <w:rFonts w:hAnsi="宋体"/>
          <w:color w:val="auto"/>
          <w:highlight w:val="none"/>
        </w:rPr>
      </w:pPr>
      <w:r>
        <w:rPr>
          <w:rFonts w:hint="eastAsia" w:hAnsi="宋体"/>
          <w:color w:val="auto"/>
          <w:highlight w:val="none"/>
        </w:rPr>
        <w:t xml:space="preserve">（4）证明响应货物合格的证明文件。 </w:t>
      </w:r>
    </w:p>
    <w:p w14:paraId="649E8936">
      <w:pPr>
        <w:pStyle w:val="10"/>
        <w:spacing w:line="420" w:lineRule="exact"/>
        <w:ind w:firstLine="420"/>
        <w:rPr>
          <w:rFonts w:hAnsi="宋体"/>
          <w:color w:val="auto"/>
          <w:highlight w:val="none"/>
        </w:rPr>
      </w:pPr>
      <w:r>
        <w:rPr>
          <w:rFonts w:hint="eastAsia" w:hAnsi="宋体"/>
          <w:color w:val="auto"/>
          <w:highlight w:val="none"/>
        </w:rPr>
        <w:t>二、技术部分</w:t>
      </w:r>
    </w:p>
    <w:p w14:paraId="7E000CA9">
      <w:pPr>
        <w:pStyle w:val="10"/>
        <w:spacing w:line="420" w:lineRule="exact"/>
        <w:ind w:firstLine="412"/>
        <w:rPr>
          <w:rFonts w:hAnsi="宋体"/>
          <w:color w:val="auto"/>
          <w:highlight w:val="none"/>
        </w:rPr>
      </w:pPr>
      <w:r>
        <w:rPr>
          <w:rFonts w:hint="eastAsia" w:hAnsi="宋体"/>
          <w:color w:val="auto"/>
          <w:highlight w:val="none"/>
        </w:rPr>
        <w:t>（1）技术规格响应表，</w:t>
      </w:r>
    </w:p>
    <w:p w14:paraId="6CCAF24B">
      <w:pPr>
        <w:pStyle w:val="10"/>
        <w:spacing w:line="420" w:lineRule="exact"/>
        <w:ind w:firstLine="412"/>
        <w:rPr>
          <w:rFonts w:hAnsi="宋体"/>
          <w:color w:val="auto"/>
          <w:highlight w:val="none"/>
        </w:rPr>
      </w:pPr>
      <w:r>
        <w:rPr>
          <w:rFonts w:hint="eastAsia" w:hAnsi="宋体"/>
          <w:color w:val="auto"/>
          <w:highlight w:val="none"/>
        </w:rPr>
        <w:t>（2）商务响应表；</w:t>
      </w:r>
    </w:p>
    <w:p w14:paraId="3BA1D48F">
      <w:pPr>
        <w:pStyle w:val="10"/>
        <w:spacing w:line="420" w:lineRule="exact"/>
        <w:rPr>
          <w:rFonts w:hAnsi="宋体"/>
          <w:b/>
          <w:color w:val="auto"/>
          <w:highlight w:val="none"/>
        </w:rPr>
      </w:pPr>
      <w:r>
        <w:rPr>
          <w:rFonts w:hint="eastAsia" w:hAnsi="宋体"/>
          <w:b/>
          <w:color w:val="auto"/>
          <w:highlight w:val="none"/>
        </w:rPr>
        <w:t>13、响应文件的语言及计量单位</w:t>
      </w:r>
    </w:p>
    <w:p w14:paraId="7C898B8B">
      <w:pPr>
        <w:pStyle w:val="10"/>
        <w:spacing w:line="420" w:lineRule="exact"/>
        <w:ind w:firstLine="420"/>
        <w:rPr>
          <w:rFonts w:hAnsi="宋体"/>
          <w:color w:val="auto"/>
          <w:highlight w:val="none"/>
        </w:rPr>
      </w:pPr>
      <w:r>
        <w:rPr>
          <w:rFonts w:hint="eastAsia" w:hAnsi="宋体"/>
          <w:color w:val="auto"/>
          <w:highlight w:val="none"/>
        </w:rPr>
        <w:t>13.1供应商的响应文件以及供应商与采购人的所有来往的函电统一使用中文（另有规定的除外）。</w:t>
      </w:r>
    </w:p>
    <w:p w14:paraId="60A1B9C2">
      <w:pPr>
        <w:pStyle w:val="10"/>
        <w:spacing w:line="420" w:lineRule="exact"/>
        <w:ind w:firstLine="420"/>
        <w:rPr>
          <w:rFonts w:hAnsi="宋体"/>
          <w:color w:val="auto"/>
          <w:highlight w:val="none"/>
        </w:rPr>
      </w:pPr>
      <w:r>
        <w:rPr>
          <w:rFonts w:hint="eastAsia" w:hAnsi="宋体"/>
          <w:color w:val="auto"/>
          <w:highlight w:val="none"/>
        </w:rPr>
        <w:t>13.2响应文件中使用的计量单位除采购文件中有特殊规定外，一律使用法定计量单位。</w:t>
      </w:r>
    </w:p>
    <w:p w14:paraId="702E6BC6">
      <w:pPr>
        <w:pStyle w:val="10"/>
        <w:spacing w:line="440" w:lineRule="exact"/>
        <w:rPr>
          <w:rFonts w:hAnsi="宋体"/>
          <w:b/>
          <w:color w:val="auto"/>
          <w:highlight w:val="none"/>
        </w:rPr>
      </w:pPr>
      <w:r>
        <w:rPr>
          <w:rFonts w:hint="eastAsia" w:hAnsi="宋体"/>
          <w:b/>
          <w:color w:val="auto"/>
          <w:highlight w:val="none"/>
        </w:rPr>
        <w:t>14、响应函格式</w:t>
      </w:r>
    </w:p>
    <w:p w14:paraId="414EFAEC">
      <w:pPr>
        <w:pStyle w:val="10"/>
        <w:spacing w:line="420" w:lineRule="exact"/>
        <w:ind w:firstLine="420" w:firstLineChars="200"/>
        <w:rPr>
          <w:rFonts w:hAnsi="宋体"/>
          <w:color w:val="auto"/>
          <w:highlight w:val="none"/>
        </w:rPr>
      </w:pPr>
      <w:r>
        <w:rPr>
          <w:rFonts w:hint="eastAsia" w:hAnsi="宋体"/>
          <w:color w:val="auto"/>
          <w:highlight w:val="none"/>
        </w:rPr>
        <w:t>14.1</w:t>
      </w:r>
      <w:r>
        <w:rPr>
          <w:rFonts w:hint="eastAsia" w:hAnsi="宋体"/>
          <w:bCs/>
          <w:color w:val="auto"/>
          <w:highlight w:val="none"/>
        </w:rPr>
        <w:t>供应商</w:t>
      </w:r>
      <w:r>
        <w:rPr>
          <w:rFonts w:hint="eastAsia" w:hAnsi="宋体"/>
          <w:color w:val="auto"/>
          <w:highlight w:val="none"/>
        </w:rPr>
        <w:t>应完整地填写采购文件中的响应函格式和报价表，详细标明所提供的货物及部件名称、型号规格、技术参数、配置、产地、生产厂家、数量及产品所执行的标准及价格。</w:t>
      </w:r>
    </w:p>
    <w:p w14:paraId="588DE420">
      <w:pPr>
        <w:pStyle w:val="10"/>
        <w:spacing w:line="420" w:lineRule="exact"/>
        <w:rPr>
          <w:rFonts w:hAnsi="宋体"/>
          <w:b/>
          <w:color w:val="auto"/>
          <w:highlight w:val="none"/>
        </w:rPr>
      </w:pPr>
      <w:r>
        <w:rPr>
          <w:rFonts w:hint="eastAsia" w:hAnsi="宋体"/>
          <w:b/>
          <w:color w:val="auto"/>
          <w:highlight w:val="none"/>
        </w:rPr>
        <w:t>15、响应报价</w:t>
      </w:r>
    </w:p>
    <w:p w14:paraId="39314ED5">
      <w:pPr>
        <w:pStyle w:val="10"/>
        <w:spacing w:line="420" w:lineRule="exact"/>
        <w:ind w:firstLine="420"/>
        <w:rPr>
          <w:rFonts w:hAnsi="宋体"/>
          <w:color w:val="auto"/>
          <w:highlight w:val="none"/>
        </w:rPr>
      </w:pPr>
      <w:r>
        <w:rPr>
          <w:rFonts w:hint="eastAsia" w:hAnsi="宋体"/>
          <w:color w:val="auto"/>
          <w:highlight w:val="none"/>
        </w:rPr>
        <w:t>15.1</w:t>
      </w:r>
      <w:r>
        <w:rPr>
          <w:rFonts w:hint="eastAsia" w:hAnsi="宋体"/>
          <w:bCs/>
          <w:color w:val="auto"/>
          <w:highlight w:val="none"/>
        </w:rPr>
        <w:t>供应商可就《货物需求一览表》中的某个分标或全部分标的货物和服务内容分别按分标作完整唯一报价。</w:t>
      </w:r>
    </w:p>
    <w:p w14:paraId="35FDC7B0">
      <w:pPr>
        <w:pStyle w:val="10"/>
        <w:spacing w:line="420" w:lineRule="exact"/>
        <w:ind w:firstLine="420"/>
        <w:rPr>
          <w:rFonts w:hAnsi="宋体"/>
          <w:color w:val="auto"/>
          <w:highlight w:val="none"/>
          <w:u w:val="single"/>
        </w:rPr>
      </w:pPr>
      <w:r>
        <w:rPr>
          <w:rFonts w:hint="eastAsia" w:hAnsi="宋体"/>
          <w:color w:val="auto"/>
          <w:highlight w:val="none"/>
        </w:rPr>
        <w:t>15.2供应商应在报价表上标明单价和总价。如单价和总价不符，以单价累计为准。小写与大写不符的，以大写为准。如果因供应商原因引起的报价失误，同时又被</w:t>
      </w:r>
      <w:r>
        <w:rPr>
          <w:rFonts w:hint="eastAsia" w:hAnsi="宋体"/>
          <w:color w:val="auto"/>
          <w:highlight w:val="none"/>
          <w:lang w:eastAsia="zh-CN"/>
        </w:rPr>
        <w:t>院内招标</w:t>
      </w:r>
      <w:r>
        <w:rPr>
          <w:rFonts w:hint="eastAsia" w:hAnsi="宋体"/>
          <w:color w:val="auto"/>
          <w:highlight w:val="none"/>
        </w:rPr>
        <w:t>时所接受，其后果由供应商自负。</w:t>
      </w:r>
    </w:p>
    <w:p w14:paraId="52354B56">
      <w:pPr>
        <w:pStyle w:val="10"/>
        <w:spacing w:line="400" w:lineRule="exact"/>
        <w:ind w:firstLine="420"/>
        <w:rPr>
          <w:rFonts w:hAnsi="宋体"/>
          <w:color w:val="auto"/>
          <w:highlight w:val="none"/>
        </w:rPr>
      </w:pPr>
      <w:r>
        <w:rPr>
          <w:rFonts w:hint="eastAsia" w:hAnsi="宋体"/>
          <w:color w:val="auto"/>
          <w:highlight w:val="none"/>
        </w:rPr>
        <w:t>15.3响应报价指货物、随配附件、备品备件、工具、材料、货物运抵指定交货地点安装、调试的各种费用和售后服务、税金及其它所有成本费用的总和。</w:t>
      </w:r>
    </w:p>
    <w:p w14:paraId="48D3FBAF">
      <w:pPr>
        <w:pStyle w:val="10"/>
        <w:spacing w:line="400" w:lineRule="exact"/>
        <w:rPr>
          <w:rFonts w:hAnsi="宋体"/>
          <w:b/>
          <w:color w:val="auto"/>
          <w:highlight w:val="none"/>
        </w:rPr>
      </w:pPr>
      <w:r>
        <w:rPr>
          <w:rFonts w:hint="eastAsia" w:hAnsi="宋体"/>
          <w:b/>
          <w:color w:val="auto"/>
          <w:highlight w:val="none"/>
        </w:rPr>
        <w:t>16、响应货币</w:t>
      </w:r>
    </w:p>
    <w:p w14:paraId="3CA978FC">
      <w:pPr>
        <w:pStyle w:val="10"/>
        <w:spacing w:line="400" w:lineRule="exact"/>
        <w:ind w:firstLine="420"/>
        <w:rPr>
          <w:rFonts w:hAnsi="宋体"/>
          <w:color w:val="auto"/>
          <w:highlight w:val="none"/>
        </w:rPr>
      </w:pPr>
      <w:r>
        <w:rPr>
          <w:rFonts w:hint="eastAsia" w:hAnsi="宋体"/>
          <w:color w:val="auto"/>
          <w:highlight w:val="none"/>
        </w:rPr>
        <w:t>16.1响应应以人民币报价。</w:t>
      </w:r>
    </w:p>
    <w:p w14:paraId="5A85A30E">
      <w:pPr>
        <w:pStyle w:val="10"/>
        <w:spacing w:line="400" w:lineRule="exact"/>
        <w:rPr>
          <w:rFonts w:hAnsi="宋体"/>
          <w:b/>
          <w:color w:val="auto"/>
          <w:highlight w:val="none"/>
        </w:rPr>
      </w:pPr>
      <w:r>
        <w:rPr>
          <w:rFonts w:hint="eastAsia" w:hAnsi="宋体"/>
          <w:b/>
          <w:color w:val="auto"/>
          <w:highlight w:val="none"/>
        </w:rPr>
        <w:t>17、证明供应商合格和资格的文件</w:t>
      </w:r>
    </w:p>
    <w:p w14:paraId="7E32915F">
      <w:pPr>
        <w:pStyle w:val="10"/>
        <w:spacing w:line="400" w:lineRule="exact"/>
        <w:ind w:firstLine="210" w:firstLineChars="100"/>
        <w:rPr>
          <w:rFonts w:hint="eastAsia" w:hAnsi="宋体"/>
          <w:color w:val="auto"/>
          <w:highlight w:val="none"/>
        </w:rPr>
      </w:pPr>
      <w:r>
        <w:rPr>
          <w:rFonts w:hint="eastAsia" w:hAnsi="宋体"/>
          <w:color w:val="auto"/>
          <w:highlight w:val="none"/>
        </w:rPr>
        <w:t>⑴投标人有效的“法人营业执照”副本复印件；（必须提供，否则投标无效）</w:t>
      </w:r>
    </w:p>
    <w:p w14:paraId="0763B8F0">
      <w:pPr>
        <w:pStyle w:val="10"/>
        <w:spacing w:line="400" w:lineRule="exact"/>
        <w:ind w:firstLine="210" w:firstLineChars="100"/>
        <w:rPr>
          <w:rFonts w:hint="eastAsia" w:hAnsi="宋体"/>
          <w:color w:val="auto"/>
          <w:highlight w:val="none"/>
        </w:rPr>
      </w:pPr>
      <w:r>
        <w:rPr>
          <w:rFonts w:hint="eastAsia" w:hAnsi="宋体"/>
          <w:color w:val="auto"/>
          <w:highlight w:val="none"/>
        </w:rPr>
        <w:t>⑵投标人在“信用中国”（www.creditchina.gov.cn）和“中国政府采购网”（www.ccgp.gov.cn）查询的信用记录结果或界面截图：（必须提供，否则投标无效。）</w:t>
      </w:r>
    </w:p>
    <w:p w14:paraId="4B6EDCD3">
      <w:pPr>
        <w:pStyle w:val="10"/>
        <w:spacing w:line="400" w:lineRule="exact"/>
        <w:ind w:firstLine="210" w:firstLineChars="100"/>
        <w:rPr>
          <w:rFonts w:hint="eastAsia" w:hAnsi="宋体"/>
          <w:color w:val="auto"/>
          <w:highlight w:val="none"/>
        </w:rPr>
      </w:pPr>
      <w:r>
        <w:rPr>
          <w:rFonts w:hint="eastAsia" w:hAnsi="宋体"/>
          <w:color w:val="auto"/>
          <w:highlight w:val="none"/>
        </w:rPr>
        <w:t>⑶近半年来任意连续三个月依法缴纳税收证明[税费凭证复印件，或者依法缴纳税费或依法免缴税费的证明（复印件，原件备查，格式自拟）]；（必须提供，否则投标无效）</w:t>
      </w:r>
    </w:p>
    <w:p w14:paraId="74F61EAB">
      <w:pPr>
        <w:pStyle w:val="10"/>
        <w:spacing w:line="400" w:lineRule="exact"/>
        <w:ind w:firstLine="210" w:firstLineChars="100"/>
        <w:rPr>
          <w:rFonts w:hint="eastAsia" w:hAnsi="宋体"/>
          <w:color w:val="auto"/>
          <w:highlight w:val="none"/>
        </w:rPr>
      </w:pPr>
      <w:r>
        <w:rPr>
          <w:rFonts w:hint="eastAsia" w:hAnsi="宋体"/>
          <w:color w:val="auto"/>
          <w:highlight w:val="none"/>
        </w:rPr>
        <w:t>⑷近半年来任意连续三个月依法为企业员工缴纳社保的证明（缴费凭证复印件，或社保局开具的相关证明）；（必须提供，否则投标无效）</w:t>
      </w:r>
    </w:p>
    <w:p w14:paraId="7A28177E">
      <w:pPr>
        <w:pStyle w:val="10"/>
        <w:spacing w:line="400" w:lineRule="exact"/>
        <w:rPr>
          <w:rFonts w:hint="eastAsia" w:hAnsi="宋体"/>
          <w:color w:val="auto"/>
          <w:highlight w:val="none"/>
        </w:rPr>
      </w:pPr>
      <w:r>
        <w:rPr>
          <w:rFonts w:hint="eastAsia" w:hAnsi="宋体"/>
          <w:color w:val="auto"/>
          <w:highlight w:val="none"/>
        </w:rPr>
        <w:t>（5）法定代表人身份证复印件；（必须提供，否则投标无效）</w:t>
      </w:r>
    </w:p>
    <w:p w14:paraId="281BA736">
      <w:pPr>
        <w:pStyle w:val="10"/>
        <w:spacing w:line="400" w:lineRule="exact"/>
        <w:rPr>
          <w:rFonts w:hint="eastAsia" w:hAnsi="宋体"/>
          <w:color w:val="auto"/>
          <w:highlight w:val="none"/>
        </w:rPr>
      </w:pPr>
      <w:r>
        <w:rPr>
          <w:rFonts w:hint="eastAsia" w:hAnsi="宋体"/>
          <w:color w:val="auto"/>
          <w:highlight w:val="none"/>
        </w:rPr>
        <w:t>（6）法人授权委托书原件和委托代理人身份证复印件；（委托代理时必须提供，否则投标无效）</w:t>
      </w:r>
    </w:p>
    <w:p w14:paraId="090F5511">
      <w:pPr>
        <w:pStyle w:val="10"/>
        <w:spacing w:line="400" w:lineRule="exact"/>
        <w:ind w:firstLine="0" w:firstLineChars="0"/>
        <w:rPr>
          <w:rFonts w:hint="eastAsia" w:hAnsi="宋体"/>
          <w:color w:val="auto"/>
          <w:highlight w:val="none"/>
        </w:rPr>
      </w:pPr>
      <w:r>
        <w:rPr>
          <w:rFonts w:hint="eastAsia" w:hAnsi="宋体"/>
          <w:color w:val="auto"/>
          <w:highlight w:val="none"/>
        </w:rPr>
        <w:t>（7）投标人认为必要提供的声明及文件资料。</w:t>
      </w:r>
    </w:p>
    <w:p w14:paraId="63FB7F8E">
      <w:pPr>
        <w:pStyle w:val="10"/>
        <w:spacing w:line="400" w:lineRule="exact"/>
        <w:rPr>
          <w:rFonts w:hAnsi="宋体"/>
          <w:b/>
          <w:color w:val="auto"/>
          <w:highlight w:val="none"/>
        </w:rPr>
      </w:pPr>
      <w:r>
        <w:rPr>
          <w:rFonts w:hint="eastAsia" w:hAnsi="宋体"/>
          <w:b/>
          <w:color w:val="auto"/>
          <w:highlight w:val="none"/>
        </w:rPr>
        <w:t>18、证明货物的合格性和符合采购文件规定的相关文件</w:t>
      </w:r>
    </w:p>
    <w:p w14:paraId="7D3B4B11">
      <w:pPr>
        <w:pStyle w:val="10"/>
        <w:spacing w:line="400" w:lineRule="exact"/>
        <w:ind w:firstLine="420"/>
        <w:rPr>
          <w:rFonts w:hAnsi="宋体"/>
          <w:color w:val="auto"/>
          <w:highlight w:val="none"/>
        </w:rPr>
      </w:pPr>
      <w:r>
        <w:rPr>
          <w:rFonts w:hint="eastAsia" w:hAnsi="宋体"/>
          <w:color w:val="auto"/>
          <w:highlight w:val="none"/>
        </w:rPr>
        <w:t>18.1按照本章第17条规定，供应商还应提交根据本项目要求提供证明货物和手续合格性的文件及资料。它们可以是：</w:t>
      </w:r>
    </w:p>
    <w:p w14:paraId="3971A1C0">
      <w:pPr>
        <w:pStyle w:val="10"/>
        <w:spacing w:line="400" w:lineRule="exact"/>
        <w:ind w:firstLine="420"/>
        <w:rPr>
          <w:rFonts w:hAnsi="宋体"/>
          <w:color w:val="auto"/>
          <w:highlight w:val="none"/>
        </w:rPr>
      </w:pPr>
      <w:r>
        <w:rPr>
          <w:rFonts w:hint="eastAsia" w:hAnsi="宋体"/>
          <w:color w:val="auto"/>
          <w:highlight w:val="none"/>
        </w:rPr>
        <w:t>⑴ 生产厂家的有关资格和</w:t>
      </w:r>
      <w:r>
        <w:rPr>
          <w:rFonts w:hint="eastAsia" w:hAnsi="宋体"/>
          <w:b w:val="0"/>
          <w:bCs w:val="0"/>
          <w:color w:val="auto"/>
          <w:highlight w:val="none"/>
        </w:rPr>
        <w:t>生产许可证、产品实行强制标准认证的证书、注册证（如有注册登记表的请提供）</w:t>
      </w:r>
      <w:r>
        <w:rPr>
          <w:rFonts w:hint="eastAsia" w:hAnsi="宋体"/>
          <w:color w:val="auto"/>
          <w:highlight w:val="none"/>
        </w:rPr>
        <w:t>、产品质量检验证（由生产厂家提供均为复印件）；</w:t>
      </w:r>
    </w:p>
    <w:p w14:paraId="10E82067">
      <w:pPr>
        <w:pStyle w:val="10"/>
        <w:spacing w:line="400" w:lineRule="exact"/>
        <w:ind w:firstLine="420"/>
        <w:rPr>
          <w:rFonts w:hAnsi="宋体"/>
          <w:color w:val="auto"/>
          <w:highlight w:val="none"/>
        </w:rPr>
      </w:pPr>
      <w:r>
        <w:rPr>
          <w:rFonts w:hint="eastAsia" w:hAnsi="宋体"/>
          <w:color w:val="auto"/>
          <w:highlight w:val="none"/>
        </w:rPr>
        <w:t xml:space="preserve">⑵ </w:t>
      </w:r>
      <w:r>
        <w:rPr>
          <w:rFonts w:hint="eastAsia" w:hAnsi="宋体"/>
          <w:color w:val="auto"/>
          <w:highlight w:val="none"/>
          <w:lang w:val="en-US" w:eastAsia="zh-CN"/>
        </w:rPr>
        <w:t>必须提供</w:t>
      </w:r>
      <w:r>
        <w:rPr>
          <w:rFonts w:hint="eastAsia" w:hAnsi="宋体"/>
          <w:color w:val="auto"/>
          <w:highlight w:val="none"/>
        </w:rPr>
        <w:t>保证供货</w:t>
      </w:r>
      <w:r>
        <w:rPr>
          <w:rFonts w:hint="eastAsia" w:hAnsi="宋体"/>
          <w:color w:val="auto"/>
          <w:highlight w:val="none"/>
          <w:lang w:val="en-US" w:eastAsia="zh-CN"/>
        </w:rPr>
        <w:t>的</w:t>
      </w:r>
      <w:r>
        <w:rPr>
          <w:rFonts w:hint="eastAsia" w:hAnsi="宋体"/>
          <w:color w:val="auto"/>
          <w:highlight w:val="none"/>
        </w:rPr>
        <w:t>有效证明</w:t>
      </w:r>
      <w:r>
        <w:rPr>
          <w:rFonts w:hint="eastAsia" w:hAnsi="宋体"/>
          <w:color w:val="auto"/>
          <w:highlight w:val="none"/>
          <w:lang w:eastAsia="zh-CN"/>
        </w:rPr>
        <w:t>。（</w:t>
      </w:r>
      <w:r>
        <w:rPr>
          <w:rFonts w:hint="eastAsia" w:hAnsi="宋体"/>
          <w:b/>
          <w:bCs/>
          <w:color w:val="auto"/>
          <w:highlight w:val="none"/>
          <w:lang w:val="en-US" w:eastAsia="zh-CN"/>
        </w:rPr>
        <w:t>必须提供，否则响应无效</w:t>
      </w:r>
      <w:r>
        <w:rPr>
          <w:rFonts w:hint="eastAsia" w:hAnsi="宋体"/>
          <w:color w:val="auto"/>
          <w:highlight w:val="none"/>
          <w:lang w:val="en-US" w:eastAsia="zh-CN"/>
        </w:rPr>
        <w:t>）</w:t>
      </w:r>
    </w:p>
    <w:p w14:paraId="489A12D2">
      <w:pPr>
        <w:pStyle w:val="10"/>
        <w:spacing w:line="420" w:lineRule="exact"/>
        <w:rPr>
          <w:rFonts w:hAnsi="宋体"/>
          <w:color w:val="auto"/>
          <w:highlight w:val="none"/>
        </w:rPr>
      </w:pPr>
      <w:r>
        <w:rPr>
          <w:rFonts w:hint="eastAsia" w:hAnsi="宋体"/>
          <w:b/>
          <w:color w:val="auto"/>
          <w:highlight w:val="none"/>
        </w:rPr>
        <w:t>19、响应文件书写及签名、盖章要求</w:t>
      </w:r>
    </w:p>
    <w:p w14:paraId="20555C7E">
      <w:pPr>
        <w:pStyle w:val="10"/>
        <w:spacing w:line="420" w:lineRule="exact"/>
        <w:ind w:firstLine="420"/>
        <w:rPr>
          <w:rFonts w:hAnsi="宋体"/>
          <w:color w:val="auto"/>
          <w:highlight w:val="none"/>
        </w:rPr>
      </w:pPr>
      <w:r>
        <w:rPr>
          <w:rFonts w:hint="eastAsia" w:hAnsi="宋体"/>
          <w:color w:val="auto"/>
          <w:highlight w:val="none"/>
        </w:rPr>
        <w:t>19.1响应文件正本须用不褪色的墨水工整书写或打印，修改处应由法定代表人或委托代理人签名和盖公章，否则其响应无效。</w:t>
      </w:r>
    </w:p>
    <w:p w14:paraId="7852E019">
      <w:pPr>
        <w:pStyle w:val="10"/>
        <w:spacing w:line="420" w:lineRule="exact"/>
        <w:ind w:firstLine="420"/>
        <w:rPr>
          <w:rFonts w:hAnsi="宋体"/>
          <w:color w:val="auto"/>
          <w:highlight w:val="none"/>
        </w:rPr>
      </w:pPr>
      <w:r>
        <w:rPr>
          <w:rFonts w:hint="eastAsia" w:hAnsi="宋体"/>
          <w:color w:val="auto"/>
          <w:highlight w:val="none"/>
        </w:rPr>
        <w:t>19.2字迹潦草、表达不清或未按要求填写的响应文件可能将被认定为无效的响应。</w:t>
      </w:r>
    </w:p>
    <w:p w14:paraId="4CD91CB6">
      <w:pPr>
        <w:pStyle w:val="10"/>
        <w:spacing w:line="420" w:lineRule="exact"/>
        <w:ind w:firstLine="420"/>
        <w:rPr>
          <w:rFonts w:hAnsi="宋体"/>
          <w:color w:val="auto"/>
          <w:highlight w:val="none"/>
        </w:rPr>
      </w:pPr>
      <w:r>
        <w:rPr>
          <w:rFonts w:hint="eastAsia" w:hAnsi="宋体"/>
          <w:color w:val="auto"/>
          <w:highlight w:val="none"/>
        </w:rPr>
        <w:t>19.3响应文件应由法定代表人或委托代理人在凡规定签章处逐一签名和盖公章，否则其响应无效。</w:t>
      </w:r>
    </w:p>
    <w:p w14:paraId="3B601919">
      <w:pPr>
        <w:pStyle w:val="10"/>
        <w:spacing w:line="420" w:lineRule="exact"/>
        <w:ind w:firstLine="420"/>
        <w:rPr>
          <w:rFonts w:hAnsi="宋体"/>
          <w:color w:val="auto"/>
          <w:highlight w:val="none"/>
        </w:rPr>
      </w:pPr>
      <w:r>
        <w:rPr>
          <w:rFonts w:hint="eastAsia" w:hAnsi="宋体"/>
          <w:color w:val="auto"/>
          <w:highlight w:val="none"/>
        </w:rPr>
        <w:t>19.4响应文件的份数：</w:t>
      </w:r>
      <w:r>
        <w:rPr>
          <w:rFonts w:hint="eastAsia" w:hAnsi="宋体"/>
          <w:color w:val="C00000"/>
          <w:highlight w:val="none"/>
        </w:rPr>
        <w:t>正本一份，副本</w:t>
      </w:r>
      <w:r>
        <w:rPr>
          <w:rFonts w:hint="eastAsia" w:hAnsi="宋体"/>
          <w:color w:val="C00000"/>
          <w:highlight w:val="none"/>
          <w:lang w:val="en-US" w:eastAsia="zh-CN"/>
        </w:rPr>
        <w:t>五</w:t>
      </w:r>
      <w:r>
        <w:rPr>
          <w:rFonts w:hint="eastAsia" w:hAnsi="宋体"/>
          <w:color w:val="C00000"/>
          <w:highlight w:val="none"/>
        </w:rPr>
        <w:t>份，共</w:t>
      </w:r>
      <w:r>
        <w:rPr>
          <w:rFonts w:hint="eastAsia" w:hAnsi="宋体"/>
          <w:color w:val="C00000"/>
          <w:highlight w:val="none"/>
          <w:lang w:val="en-US" w:eastAsia="zh-CN"/>
        </w:rPr>
        <w:t>六</w:t>
      </w:r>
      <w:r>
        <w:rPr>
          <w:rFonts w:hint="eastAsia" w:hAnsi="宋体"/>
          <w:color w:val="C00000"/>
          <w:highlight w:val="none"/>
        </w:rPr>
        <w:t>份</w:t>
      </w:r>
      <w:r>
        <w:rPr>
          <w:rFonts w:hint="eastAsia" w:hAnsi="宋体"/>
          <w:color w:val="auto"/>
          <w:highlight w:val="none"/>
        </w:rPr>
        <w:t>。并在每份文件右上角注明“正本”、“副本”字样，一旦正本和副本不符，以正本为准。</w:t>
      </w:r>
    </w:p>
    <w:p w14:paraId="2C801FEA">
      <w:pPr>
        <w:pStyle w:val="10"/>
        <w:spacing w:line="420" w:lineRule="exact"/>
        <w:jc w:val="center"/>
        <w:rPr>
          <w:rFonts w:hAnsi="宋体"/>
          <w:b/>
          <w:color w:val="auto"/>
          <w:highlight w:val="none"/>
        </w:rPr>
      </w:pPr>
      <w:r>
        <w:rPr>
          <w:rFonts w:hint="eastAsia" w:hAnsi="宋体"/>
          <w:b/>
          <w:color w:val="auto"/>
          <w:highlight w:val="none"/>
        </w:rPr>
        <w:t>三 、 响应文件的递交</w:t>
      </w:r>
    </w:p>
    <w:p w14:paraId="326F46DB">
      <w:pPr>
        <w:pStyle w:val="10"/>
        <w:spacing w:line="420" w:lineRule="exact"/>
        <w:rPr>
          <w:rFonts w:hAnsi="宋体"/>
          <w:b/>
          <w:color w:val="auto"/>
          <w:highlight w:val="none"/>
        </w:rPr>
      </w:pPr>
      <w:r>
        <w:rPr>
          <w:rFonts w:hint="eastAsia" w:hAnsi="宋体"/>
          <w:b/>
          <w:color w:val="auto"/>
          <w:highlight w:val="none"/>
        </w:rPr>
        <w:t>20、响应文件的密封与标记</w:t>
      </w:r>
    </w:p>
    <w:p w14:paraId="758D598B">
      <w:pPr>
        <w:pStyle w:val="10"/>
        <w:spacing w:line="420" w:lineRule="exact"/>
        <w:ind w:firstLine="420"/>
        <w:rPr>
          <w:rFonts w:hAnsi="宋体"/>
          <w:color w:val="auto"/>
          <w:highlight w:val="none"/>
        </w:rPr>
      </w:pPr>
      <w:r>
        <w:rPr>
          <w:rFonts w:hint="eastAsia" w:hAnsi="宋体"/>
          <w:color w:val="auto"/>
          <w:highlight w:val="none"/>
        </w:rPr>
        <w:t>20.1</w:t>
      </w:r>
      <w:r>
        <w:rPr>
          <w:rFonts w:hint="eastAsia" w:hAnsi="宋体"/>
          <w:b/>
          <w:bCs/>
          <w:color w:val="auto"/>
          <w:highlight w:val="none"/>
        </w:rPr>
        <w:t>响应应将响应文件正、副本分别装订成册，在每个文本封面上标明“正本”或“副本”，以及项目名称、项目编号、供应商名称等内容</w:t>
      </w:r>
      <w:r>
        <w:rPr>
          <w:rFonts w:hint="eastAsia" w:hAnsi="宋体"/>
          <w:color w:val="auto"/>
          <w:highlight w:val="none"/>
        </w:rPr>
        <w:t>。</w:t>
      </w:r>
    </w:p>
    <w:p w14:paraId="7641DCF2">
      <w:pPr>
        <w:pStyle w:val="10"/>
        <w:spacing w:line="420" w:lineRule="exact"/>
        <w:ind w:firstLine="420"/>
        <w:rPr>
          <w:rFonts w:hAnsi="宋体"/>
          <w:color w:val="auto"/>
          <w:highlight w:val="none"/>
        </w:rPr>
      </w:pPr>
      <w:r>
        <w:rPr>
          <w:rFonts w:hint="eastAsia" w:hAnsi="宋体"/>
          <w:color w:val="auto"/>
          <w:highlight w:val="none"/>
        </w:rPr>
        <w:t>20.2</w:t>
      </w:r>
      <w:r>
        <w:rPr>
          <w:rFonts w:hint="eastAsia" w:hAnsi="宋体"/>
          <w:b/>
          <w:bCs/>
          <w:color w:val="auto"/>
          <w:highlight w:val="none"/>
        </w:rPr>
        <w:t>供应商应将正、副本响应文件（正本一份、副本</w:t>
      </w:r>
      <w:r>
        <w:rPr>
          <w:rFonts w:hint="eastAsia" w:hAnsi="宋体"/>
          <w:b/>
          <w:bCs/>
          <w:color w:val="auto"/>
          <w:highlight w:val="none"/>
          <w:lang w:val="en-US" w:eastAsia="zh-CN"/>
        </w:rPr>
        <w:t>五</w:t>
      </w:r>
      <w:r>
        <w:rPr>
          <w:rFonts w:hint="eastAsia" w:hAnsi="宋体"/>
          <w:b/>
          <w:bCs/>
          <w:color w:val="auto"/>
          <w:highlight w:val="none"/>
        </w:rPr>
        <w:t>份）尽可能装在同一个文件袋中，加以密封，并在每一封贴处密封签章（公章、密封章、法定代表人或其委托代理人签字均可）。响应文件的密封以响应文件袋无明显缝隙露出袋内文件且封口处有签字或盖章为合格</w:t>
      </w:r>
      <w:r>
        <w:rPr>
          <w:rFonts w:hint="eastAsia" w:hAnsi="宋体"/>
          <w:color w:val="auto"/>
          <w:highlight w:val="none"/>
        </w:rPr>
        <w:t>。</w:t>
      </w:r>
    </w:p>
    <w:p w14:paraId="269D5CD5">
      <w:pPr>
        <w:pStyle w:val="10"/>
        <w:spacing w:line="360" w:lineRule="auto"/>
        <w:ind w:firstLine="420"/>
        <w:rPr>
          <w:rFonts w:hint="eastAsia" w:hAnsi="宋体"/>
          <w:b/>
          <w:bCs/>
          <w:color w:val="auto"/>
          <w:highlight w:val="none"/>
        </w:rPr>
      </w:pPr>
      <w:r>
        <w:rPr>
          <w:rFonts w:hint="eastAsia" w:hAnsi="宋体"/>
          <w:color w:val="auto"/>
          <w:highlight w:val="none"/>
        </w:rPr>
        <w:t>20.3</w:t>
      </w:r>
      <w:r>
        <w:rPr>
          <w:rFonts w:hint="eastAsia" w:hAnsi="宋体"/>
          <w:b/>
          <w:bCs/>
          <w:color w:val="auto"/>
          <w:highlight w:val="none"/>
        </w:rPr>
        <w:t>供应商在递交响应文件时，未按本须知要求密封、标记的，广西壮族自治区江滨医院有权拒收。</w:t>
      </w:r>
    </w:p>
    <w:p w14:paraId="7AB9D393">
      <w:pPr>
        <w:spacing w:line="360" w:lineRule="auto"/>
        <w:ind w:firstLine="420" w:firstLineChars="200"/>
        <w:rPr>
          <w:color w:val="auto"/>
          <w:highlight w:val="none"/>
        </w:rPr>
      </w:pPr>
      <w:r>
        <w:rPr>
          <w:rFonts w:hint="eastAsia" w:ascii="宋体" w:hAnsi="宋体" w:eastAsia="宋体" w:cs="Times New Roman"/>
          <w:color w:val="auto"/>
          <w:kern w:val="2"/>
          <w:sz w:val="21"/>
          <w:szCs w:val="20"/>
          <w:highlight w:val="none"/>
          <w:lang w:val="en-US" w:eastAsia="zh-CN" w:bidi="ar-SA"/>
        </w:rPr>
        <w:t>20.4</w:t>
      </w:r>
      <w:r>
        <w:rPr>
          <w:color w:val="auto"/>
          <w:highlight w:val="none"/>
        </w:rPr>
        <w:t>串通投标的认定</w:t>
      </w:r>
    </w:p>
    <w:p w14:paraId="5E5BD5E1">
      <w:pPr>
        <w:spacing w:line="360" w:lineRule="auto"/>
        <w:rPr>
          <w:rFonts w:hint="eastAsia"/>
          <w:color w:val="auto"/>
          <w:highlight w:val="none"/>
        </w:rPr>
      </w:pPr>
      <w:r>
        <w:rPr>
          <w:rFonts w:hint="eastAsia"/>
          <w:color w:val="auto"/>
          <w:highlight w:val="none"/>
        </w:rPr>
        <w:t>磋商小组</w:t>
      </w:r>
      <w:r>
        <w:rPr>
          <w:color w:val="auto"/>
          <w:highlight w:val="none"/>
        </w:rPr>
        <w:t>须根据</w:t>
      </w:r>
      <w:r>
        <w:rPr>
          <w:rFonts w:hint="eastAsia"/>
          <w:color w:val="auto"/>
          <w:highlight w:val="none"/>
        </w:rPr>
        <w:t>以下</w:t>
      </w:r>
      <w:r>
        <w:rPr>
          <w:color w:val="auto"/>
          <w:highlight w:val="none"/>
        </w:rPr>
        <w:t>规定评审供应商是否有串通投标的行为，并按规定判定</w:t>
      </w:r>
      <w:r>
        <w:rPr>
          <w:rFonts w:hint="eastAsia"/>
          <w:color w:val="auto"/>
          <w:highlight w:val="none"/>
        </w:rPr>
        <w:t>响应</w:t>
      </w:r>
      <w:r>
        <w:rPr>
          <w:color w:val="auto"/>
          <w:highlight w:val="none"/>
        </w:rPr>
        <w:t>是否有效。</w:t>
      </w:r>
    </w:p>
    <w:p w14:paraId="6C8D7D46">
      <w:pPr>
        <w:spacing w:line="360" w:lineRule="auto"/>
        <w:rPr>
          <w:color w:val="auto"/>
          <w:highlight w:val="none"/>
        </w:rPr>
      </w:pPr>
      <w:r>
        <w:rPr>
          <w:rFonts w:hint="eastAsia"/>
          <w:color w:val="auto"/>
          <w:highlight w:val="none"/>
        </w:rPr>
        <w:t>（1）</w:t>
      </w:r>
      <w:r>
        <w:rPr>
          <w:color w:val="auto"/>
          <w:highlight w:val="none"/>
        </w:rPr>
        <w:t>出现下述情况的，相关供应商的投标作无效投标处理。</w:t>
      </w:r>
    </w:p>
    <w:p w14:paraId="31C0346F">
      <w:pPr>
        <w:spacing w:line="360" w:lineRule="auto"/>
        <w:rPr>
          <w:color w:val="auto"/>
          <w:highlight w:val="none"/>
        </w:rPr>
      </w:pPr>
      <w:r>
        <w:rPr>
          <w:rFonts w:hint="eastAsia"/>
          <w:color w:val="auto"/>
          <w:highlight w:val="none"/>
        </w:rPr>
        <w:t>①</w:t>
      </w:r>
      <w:r>
        <w:rPr>
          <w:color w:val="auto"/>
          <w:highlight w:val="none"/>
        </w:rPr>
        <w:t>单位负责人为同一人或者存在直接控股、管理关系，参加同一合同项下政府采购活动的不同供应商。</w:t>
      </w:r>
    </w:p>
    <w:p w14:paraId="1EE21F76">
      <w:pPr>
        <w:spacing w:line="360" w:lineRule="auto"/>
        <w:rPr>
          <w:color w:val="auto"/>
          <w:highlight w:val="none"/>
        </w:rPr>
      </w:pPr>
      <w:r>
        <w:rPr>
          <w:rFonts w:hint="eastAsia"/>
          <w:color w:val="auto"/>
          <w:highlight w:val="none"/>
        </w:rPr>
        <w:t>②</w:t>
      </w:r>
      <w:r>
        <w:rPr>
          <w:color w:val="auto"/>
          <w:highlight w:val="none"/>
        </w:rPr>
        <w:t>授权给供应商后参加同一合同项（分标、分包）投标的生产厂商。</w:t>
      </w:r>
    </w:p>
    <w:p w14:paraId="6B508607">
      <w:pPr>
        <w:spacing w:line="360" w:lineRule="auto"/>
        <w:rPr>
          <w:color w:val="auto"/>
          <w:highlight w:val="none"/>
        </w:rPr>
      </w:pPr>
      <w:r>
        <w:rPr>
          <w:rFonts w:hint="eastAsia"/>
          <w:color w:val="auto"/>
          <w:highlight w:val="none"/>
        </w:rPr>
        <w:t>③</w:t>
      </w:r>
      <w:r>
        <w:rPr>
          <w:color w:val="auto"/>
          <w:highlight w:val="none"/>
        </w:rPr>
        <w:t>视为或被认定为串通投标的相关供应商。</w:t>
      </w:r>
    </w:p>
    <w:p w14:paraId="6EC276B9">
      <w:pPr>
        <w:spacing w:line="360" w:lineRule="auto"/>
        <w:rPr>
          <w:color w:val="auto"/>
          <w:highlight w:val="none"/>
        </w:rPr>
      </w:pPr>
      <w:r>
        <w:rPr>
          <w:rFonts w:hint="eastAsia"/>
          <w:color w:val="auto"/>
          <w:highlight w:val="none"/>
        </w:rPr>
        <w:t>（2）</w:t>
      </w:r>
      <w:r>
        <w:rPr>
          <w:color w:val="auto"/>
          <w:highlight w:val="none"/>
        </w:rPr>
        <w:t>有下列情形之一的视为供应商相互串通投标，投标文件将被视为无效。</w:t>
      </w:r>
    </w:p>
    <w:p w14:paraId="61D9DA41">
      <w:pPr>
        <w:spacing w:line="360" w:lineRule="auto"/>
        <w:rPr>
          <w:color w:val="auto"/>
          <w:highlight w:val="none"/>
        </w:rPr>
      </w:pPr>
      <w:r>
        <w:rPr>
          <w:rFonts w:hint="eastAsia"/>
          <w:color w:val="auto"/>
          <w:highlight w:val="none"/>
        </w:rPr>
        <w:t>①</w:t>
      </w:r>
      <w:r>
        <w:rPr>
          <w:color w:val="auto"/>
          <w:highlight w:val="none"/>
        </w:rPr>
        <w:t>不同供应商的投标文件由同一单位或者个人编制；或不同供应商报名的IP地址一致的；</w:t>
      </w:r>
    </w:p>
    <w:p w14:paraId="26B2C88D">
      <w:pPr>
        <w:spacing w:line="360" w:lineRule="auto"/>
        <w:rPr>
          <w:color w:val="auto"/>
          <w:highlight w:val="none"/>
        </w:rPr>
      </w:pPr>
      <w:r>
        <w:rPr>
          <w:rFonts w:hint="eastAsia"/>
          <w:color w:val="auto"/>
          <w:highlight w:val="none"/>
        </w:rPr>
        <w:t>②</w:t>
      </w:r>
      <w:r>
        <w:rPr>
          <w:color w:val="auto"/>
          <w:highlight w:val="none"/>
        </w:rPr>
        <w:t>不同供应商委托同一单位或者个人办理投标事宜；</w:t>
      </w:r>
    </w:p>
    <w:p w14:paraId="6D4D58CB">
      <w:pPr>
        <w:spacing w:line="360" w:lineRule="auto"/>
        <w:rPr>
          <w:color w:val="auto"/>
          <w:highlight w:val="none"/>
        </w:rPr>
      </w:pPr>
      <w:r>
        <w:rPr>
          <w:rFonts w:hint="eastAsia"/>
          <w:color w:val="auto"/>
          <w:highlight w:val="none"/>
        </w:rPr>
        <w:t>③</w:t>
      </w:r>
      <w:r>
        <w:rPr>
          <w:color w:val="auto"/>
          <w:highlight w:val="none"/>
        </w:rPr>
        <w:t>不同的供应商的投标文件载明的项目管理员为同一个人；</w:t>
      </w:r>
    </w:p>
    <w:p w14:paraId="0A71B28A">
      <w:pPr>
        <w:spacing w:line="360" w:lineRule="auto"/>
        <w:rPr>
          <w:color w:val="auto"/>
          <w:highlight w:val="none"/>
        </w:rPr>
      </w:pPr>
      <w:r>
        <w:rPr>
          <w:rFonts w:hint="eastAsia"/>
          <w:color w:val="auto"/>
          <w:highlight w:val="none"/>
        </w:rPr>
        <w:t>④</w:t>
      </w:r>
      <w:r>
        <w:rPr>
          <w:color w:val="auto"/>
          <w:highlight w:val="none"/>
        </w:rPr>
        <w:t>不同供应商的投标文件异常一致或投标报价呈规律性差异；</w:t>
      </w:r>
    </w:p>
    <w:p w14:paraId="6C9841D5">
      <w:pPr>
        <w:spacing w:line="360" w:lineRule="auto"/>
        <w:rPr>
          <w:color w:val="auto"/>
          <w:highlight w:val="none"/>
        </w:rPr>
      </w:pPr>
      <w:r>
        <w:rPr>
          <w:rFonts w:hint="eastAsia"/>
          <w:color w:val="auto"/>
          <w:highlight w:val="none"/>
        </w:rPr>
        <w:t>⑤</w:t>
      </w:r>
      <w:r>
        <w:rPr>
          <w:color w:val="auto"/>
          <w:highlight w:val="none"/>
        </w:rPr>
        <w:t>不同供应商的投标文件相互混装；</w:t>
      </w:r>
    </w:p>
    <w:p w14:paraId="4390E8E8">
      <w:pPr>
        <w:spacing w:line="360" w:lineRule="auto"/>
        <w:rPr>
          <w:color w:val="auto"/>
          <w:highlight w:val="none"/>
        </w:rPr>
      </w:pPr>
      <w:r>
        <w:rPr>
          <w:rFonts w:hint="eastAsia"/>
          <w:color w:val="auto"/>
          <w:highlight w:val="none"/>
        </w:rPr>
        <w:t>⑥</w:t>
      </w:r>
      <w:r>
        <w:rPr>
          <w:color w:val="auto"/>
          <w:highlight w:val="none"/>
        </w:rPr>
        <w:t>不同供应商的保证金从同一单位或者个人账户转出。</w:t>
      </w:r>
    </w:p>
    <w:p w14:paraId="7770172C">
      <w:pPr>
        <w:spacing w:line="360" w:lineRule="auto"/>
        <w:rPr>
          <w:color w:val="auto"/>
          <w:highlight w:val="none"/>
        </w:rPr>
      </w:pPr>
      <w:r>
        <w:rPr>
          <w:rFonts w:hint="eastAsia"/>
          <w:color w:val="auto"/>
          <w:highlight w:val="none"/>
        </w:rPr>
        <w:t>（3）</w:t>
      </w:r>
      <w:r>
        <w:rPr>
          <w:color w:val="auto"/>
          <w:highlight w:val="none"/>
        </w:rPr>
        <w:t>供应商有下列情形之一的，属于恶意串通行为，投标文件将被视为无效。</w:t>
      </w:r>
    </w:p>
    <w:p w14:paraId="4BB9C8E5">
      <w:pPr>
        <w:spacing w:line="360" w:lineRule="auto"/>
        <w:rPr>
          <w:color w:val="auto"/>
          <w:highlight w:val="none"/>
        </w:rPr>
      </w:pPr>
      <w:r>
        <w:rPr>
          <w:rFonts w:hint="eastAsia"/>
          <w:color w:val="auto"/>
          <w:highlight w:val="none"/>
        </w:rPr>
        <w:t>①</w:t>
      </w:r>
      <w:r>
        <w:rPr>
          <w:color w:val="auto"/>
          <w:highlight w:val="none"/>
        </w:rPr>
        <w:t>供应商直接或者间接从采购人或者采购代理机构处获得其他供应商的相关信息并修改其投标文件或者响应文件；</w:t>
      </w:r>
    </w:p>
    <w:p w14:paraId="10EDE9DB">
      <w:pPr>
        <w:spacing w:line="360" w:lineRule="auto"/>
        <w:rPr>
          <w:color w:val="auto"/>
          <w:highlight w:val="none"/>
        </w:rPr>
      </w:pPr>
      <w:r>
        <w:rPr>
          <w:rFonts w:hint="eastAsia"/>
          <w:color w:val="auto"/>
          <w:highlight w:val="none"/>
        </w:rPr>
        <w:t>②</w:t>
      </w:r>
      <w:r>
        <w:rPr>
          <w:color w:val="auto"/>
          <w:highlight w:val="none"/>
        </w:rPr>
        <w:t>供应商按照采购人或者采购代理机构的授意撤换、修改投标文件或者响应文件;；</w:t>
      </w:r>
    </w:p>
    <w:p w14:paraId="35D67978">
      <w:pPr>
        <w:spacing w:line="360" w:lineRule="auto"/>
        <w:rPr>
          <w:color w:val="auto"/>
          <w:highlight w:val="none"/>
        </w:rPr>
      </w:pPr>
      <w:r>
        <w:rPr>
          <w:rFonts w:hint="eastAsia"/>
          <w:color w:val="auto"/>
          <w:highlight w:val="none"/>
        </w:rPr>
        <w:t>③</w:t>
      </w:r>
      <w:r>
        <w:rPr>
          <w:color w:val="auto"/>
          <w:highlight w:val="none"/>
        </w:rPr>
        <w:t>供应商之间协商报价、技术方案等投标文件或者响应文件的实质性内容；</w:t>
      </w:r>
    </w:p>
    <w:p w14:paraId="4B21F3A3">
      <w:pPr>
        <w:spacing w:line="360" w:lineRule="auto"/>
        <w:rPr>
          <w:color w:val="auto"/>
          <w:highlight w:val="none"/>
        </w:rPr>
      </w:pPr>
      <w:r>
        <w:rPr>
          <w:rFonts w:hint="eastAsia"/>
          <w:color w:val="auto"/>
          <w:highlight w:val="none"/>
        </w:rPr>
        <w:t>④</w:t>
      </w:r>
      <w:r>
        <w:rPr>
          <w:color w:val="auto"/>
          <w:highlight w:val="none"/>
        </w:rPr>
        <w:t>属于同一集团、协会、商会等组织成员的供应商按照该组织要求协同参加政府采购活动；</w:t>
      </w:r>
    </w:p>
    <w:p w14:paraId="0ADBDBD0">
      <w:pPr>
        <w:spacing w:line="360" w:lineRule="auto"/>
        <w:rPr>
          <w:color w:val="auto"/>
          <w:highlight w:val="none"/>
        </w:rPr>
      </w:pPr>
      <w:r>
        <w:rPr>
          <w:rFonts w:hint="eastAsia"/>
          <w:color w:val="auto"/>
          <w:highlight w:val="none"/>
        </w:rPr>
        <w:t>⑤</w:t>
      </w:r>
      <w:r>
        <w:rPr>
          <w:color w:val="auto"/>
          <w:highlight w:val="none"/>
        </w:rPr>
        <w:t>供应商之间事先约定一致抬高或者压低投标报价，或者在招标项目中事先约定轮流以高价位或者低价位中标，或者事先约定由某一特定供应商中标，然后再参加投标；</w:t>
      </w:r>
    </w:p>
    <w:p w14:paraId="0C91416A">
      <w:pPr>
        <w:spacing w:line="360" w:lineRule="auto"/>
        <w:rPr>
          <w:color w:val="auto"/>
          <w:highlight w:val="none"/>
        </w:rPr>
      </w:pPr>
      <w:r>
        <w:rPr>
          <w:rFonts w:hint="eastAsia"/>
          <w:color w:val="auto"/>
          <w:highlight w:val="none"/>
        </w:rPr>
        <w:t>⑥</w:t>
      </w:r>
      <w:r>
        <w:rPr>
          <w:color w:val="auto"/>
          <w:highlight w:val="none"/>
        </w:rPr>
        <w:t>供应商之间商定部分供应商放弃参加政府采购活动或者放弃中标；</w:t>
      </w:r>
    </w:p>
    <w:p w14:paraId="25E9D12B">
      <w:pPr>
        <w:spacing w:line="360" w:lineRule="auto"/>
        <w:rPr>
          <w:rFonts w:hint="eastAsia"/>
          <w:color w:val="auto"/>
          <w:highlight w:val="none"/>
        </w:rPr>
      </w:pPr>
      <w:r>
        <w:rPr>
          <w:rFonts w:hint="eastAsia"/>
          <w:color w:val="auto"/>
          <w:highlight w:val="none"/>
        </w:rPr>
        <w:t>⑦</w:t>
      </w:r>
      <w:r>
        <w:rPr>
          <w:color w:val="auto"/>
          <w:highlight w:val="none"/>
        </w:rPr>
        <w:t>供应商与采购人或者采购代理机构之间、供应商相互之间，为谋求特定供应商中标或者排斥其他供应商的其他串通行为。</w:t>
      </w:r>
    </w:p>
    <w:p w14:paraId="540B4F7C">
      <w:pPr>
        <w:spacing w:line="360" w:lineRule="auto"/>
        <w:ind w:firstLine="420" w:firstLineChars="200"/>
        <w:rPr>
          <w:color w:val="auto"/>
          <w:highlight w:val="none"/>
        </w:rPr>
      </w:pPr>
      <w:r>
        <w:rPr>
          <w:rFonts w:hint="eastAsia" w:ascii="宋体" w:hAnsi="宋体" w:eastAsia="宋体" w:cs="Times New Roman"/>
          <w:color w:val="auto"/>
          <w:kern w:val="2"/>
          <w:sz w:val="21"/>
          <w:szCs w:val="20"/>
          <w:highlight w:val="none"/>
          <w:lang w:val="en-US" w:eastAsia="zh-CN" w:bidi="ar-SA"/>
        </w:rPr>
        <w:t>20.5、</w:t>
      </w:r>
      <w:r>
        <w:rPr>
          <w:rFonts w:hint="eastAsia"/>
          <w:color w:val="auto"/>
          <w:highlight w:val="none"/>
        </w:rPr>
        <w:t>响应</w:t>
      </w:r>
      <w:r>
        <w:rPr>
          <w:color w:val="auto"/>
          <w:highlight w:val="none"/>
        </w:rPr>
        <w:t>有效性的认定</w:t>
      </w:r>
    </w:p>
    <w:p w14:paraId="65E219EE">
      <w:pPr>
        <w:spacing w:line="360" w:lineRule="auto"/>
        <w:rPr>
          <w:color w:val="auto"/>
          <w:highlight w:val="none"/>
        </w:rPr>
      </w:pPr>
      <w:r>
        <w:rPr>
          <w:rFonts w:hint="eastAsia"/>
          <w:color w:val="auto"/>
          <w:highlight w:val="none"/>
        </w:rPr>
        <w:t>（1）资格审查时，如发现下列情形之一的，响应文件将被视为无效：</w:t>
      </w:r>
    </w:p>
    <w:p w14:paraId="37CF5354">
      <w:pPr>
        <w:spacing w:line="360" w:lineRule="auto"/>
        <w:rPr>
          <w:color w:val="auto"/>
          <w:highlight w:val="none"/>
        </w:rPr>
      </w:pPr>
      <w:r>
        <w:rPr>
          <w:rFonts w:hint="eastAsia"/>
          <w:color w:val="auto"/>
          <w:highlight w:val="none"/>
        </w:rPr>
        <w:t>①不具备</w:t>
      </w:r>
      <w:r>
        <w:rPr>
          <w:rFonts w:hint="eastAsia"/>
          <w:color w:val="auto"/>
          <w:highlight w:val="none"/>
          <w:lang w:eastAsia="zh-CN"/>
        </w:rPr>
        <w:t>采购文件</w:t>
      </w:r>
      <w:r>
        <w:rPr>
          <w:rFonts w:hint="eastAsia"/>
          <w:color w:val="auto"/>
          <w:highlight w:val="none"/>
        </w:rPr>
        <w:t>中规定的资格要求的；</w:t>
      </w:r>
    </w:p>
    <w:p w14:paraId="435410CB">
      <w:pPr>
        <w:spacing w:line="360" w:lineRule="auto"/>
        <w:rPr>
          <w:color w:val="auto"/>
          <w:highlight w:val="none"/>
        </w:rPr>
      </w:pPr>
      <w:r>
        <w:rPr>
          <w:rFonts w:hint="eastAsia"/>
          <w:color w:val="auto"/>
          <w:highlight w:val="none"/>
        </w:rPr>
        <w:t>②响应文件签署（签名）、盖章不符合</w:t>
      </w:r>
      <w:r>
        <w:rPr>
          <w:rFonts w:hint="eastAsia"/>
          <w:color w:val="auto"/>
          <w:highlight w:val="none"/>
          <w:lang w:eastAsia="zh-CN"/>
        </w:rPr>
        <w:t>采购文件</w:t>
      </w:r>
      <w:r>
        <w:rPr>
          <w:rFonts w:hint="eastAsia"/>
          <w:color w:val="auto"/>
          <w:highlight w:val="none"/>
        </w:rPr>
        <w:t>要求的；</w:t>
      </w:r>
    </w:p>
    <w:p w14:paraId="7092E75E">
      <w:pPr>
        <w:spacing w:line="360" w:lineRule="auto"/>
        <w:rPr>
          <w:color w:val="auto"/>
          <w:highlight w:val="none"/>
        </w:rPr>
      </w:pPr>
      <w:r>
        <w:rPr>
          <w:rFonts w:hint="eastAsia"/>
          <w:color w:val="auto"/>
          <w:highlight w:val="none"/>
        </w:rPr>
        <w:t>（2）在符合性审查、商务和技术评估时，如发现下列情形之一的，响应文件将被视为无效：</w:t>
      </w:r>
    </w:p>
    <w:p w14:paraId="6C1ABDBD">
      <w:pPr>
        <w:spacing w:line="360" w:lineRule="auto"/>
        <w:rPr>
          <w:rFonts w:hint="eastAsia"/>
          <w:color w:val="auto"/>
          <w:highlight w:val="none"/>
        </w:rPr>
      </w:pPr>
      <w:r>
        <w:rPr>
          <w:rFonts w:hint="eastAsia"/>
          <w:color w:val="auto"/>
          <w:highlight w:val="none"/>
        </w:rPr>
        <w:t>①响应文件未按</w:t>
      </w:r>
      <w:r>
        <w:rPr>
          <w:rFonts w:hint="eastAsia"/>
          <w:color w:val="auto"/>
          <w:highlight w:val="none"/>
          <w:lang w:eastAsia="zh-CN"/>
        </w:rPr>
        <w:t>采购文件</w:t>
      </w:r>
      <w:r>
        <w:rPr>
          <w:rFonts w:hint="eastAsia"/>
          <w:color w:val="auto"/>
          <w:highlight w:val="none"/>
        </w:rPr>
        <w:t>要求签署、盖章的；</w:t>
      </w:r>
    </w:p>
    <w:p w14:paraId="5A9146E5">
      <w:pPr>
        <w:spacing w:line="360" w:lineRule="auto"/>
        <w:rPr>
          <w:color w:val="auto"/>
          <w:highlight w:val="none"/>
        </w:rPr>
      </w:pPr>
      <w:bookmarkStart w:id="0" w:name="_Hlk43199560"/>
      <w:r>
        <w:rPr>
          <w:rFonts w:hint="eastAsia"/>
          <w:color w:val="auto"/>
          <w:highlight w:val="none"/>
        </w:rPr>
        <w:t>②最后</w:t>
      </w:r>
      <w:r>
        <w:rPr>
          <w:color w:val="auto"/>
          <w:highlight w:val="none"/>
        </w:rPr>
        <w:t>报价超过</w:t>
      </w:r>
      <w:r>
        <w:rPr>
          <w:rFonts w:hint="eastAsia"/>
          <w:color w:val="auto"/>
          <w:highlight w:val="none"/>
          <w:lang w:eastAsia="zh-CN"/>
        </w:rPr>
        <w:t>采购文件</w:t>
      </w:r>
      <w:r>
        <w:rPr>
          <w:color w:val="auto"/>
          <w:highlight w:val="none"/>
        </w:rPr>
        <w:t>中规定的预算金额的；</w:t>
      </w:r>
    </w:p>
    <w:p w14:paraId="5C5D7A09">
      <w:pPr>
        <w:spacing w:line="360" w:lineRule="auto"/>
        <w:rPr>
          <w:rFonts w:hint="eastAsia"/>
          <w:color w:val="auto"/>
          <w:highlight w:val="none"/>
        </w:rPr>
      </w:pPr>
      <w:r>
        <w:rPr>
          <w:rFonts w:hint="eastAsia"/>
          <w:color w:val="auto"/>
          <w:highlight w:val="none"/>
        </w:rPr>
        <w:t>③提交两个以上不同的最后报价文件或提交选择性最后报价的，但</w:t>
      </w:r>
      <w:r>
        <w:rPr>
          <w:rFonts w:hint="eastAsia"/>
          <w:color w:val="auto"/>
          <w:highlight w:val="none"/>
          <w:lang w:eastAsia="zh-CN"/>
        </w:rPr>
        <w:t>采购文件</w:t>
      </w:r>
      <w:r>
        <w:rPr>
          <w:rFonts w:hint="eastAsia"/>
          <w:color w:val="auto"/>
          <w:highlight w:val="none"/>
        </w:rPr>
        <w:t>要求提交</w:t>
      </w:r>
      <w:r>
        <w:rPr>
          <w:color w:val="auto"/>
          <w:highlight w:val="none"/>
        </w:rPr>
        <w:t>备选</w:t>
      </w:r>
      <w:r>
        <w:rPr>
          <w:rFonts w:hint="eastAsia"/>
          <w:color w:val="auto"/>
          <w:highlight w:val="none"/>
        </w:rPr>
        <w:t>响应文件的除外。</w:t>
      </w:r>
    </w:p>
    <w:bookmarkEnd w:id="0"/>
    <w:p w14:paraId="4C91CE3A">
      <w:pPr>
        <w:spacing w:line="360" w:lineRule="auto"/>
        <w:rPr>
          <w:color w:val="auto"/>
          <w:highlight w:val="none"/>
        </w:rPr>
      </w:pPr>
      <w:r>
        <w:rPr>
          <w:rFonts w:hint="eastAsia"/>
          <w:color w:val="auto"/>
          <w:highlight w:val="none"/>
        </w:rPr>
        <w:t>④评审过程中发现响应文件中提供虚假材料的；</w:t>
      </w:r>
    </w:p>
    <w:p w14:paraId="4B4B90D5">
      <w:pPr>
        <w:spacing w:line="360" w:lineRule="auto"/>
        <w:rPr>
          <w:color w:val="auto"/>
          <w:highlight w:val="none"/>
        </w:rPr>
      </w:pPr>
      <w:r>
        <w:rPr>
          <w:rFonts w:hint="eastAsia"/>
          <w:color w:val="auto"/>
          <w:highlight w:val="none"/>
        </w:rPr>
        <w:t>⑤</w:t>
      </w:r>
      <w:r>
        <w:rPr>
          <w:color w:val="auto"/>
          <w:highlight w:val="none"/>
        </w:rPr>
        <w:t>法律、法规和</w:t>
      </w:r>
      <w:r>
        <w:rPr>
          <w:rFonts w:hint="eastAsia"/>
          <w:color w:val="auto"/>
          <w:highlight w:val="none"/>
          <w:lang w:eastAsia="zh-CN"/>
        </w:rPr>
        <w:t>采购文件</w:t>
      </w:r>
      <w:r>
        <w:rPr>
          <w:color w:val="auto"/>
          <w:highlight w:val="none"/>
        </w:rPr>
        <w:t>规定的其他无效情形。</w:t>
      </w:r>
    </w:p>
    <w:p w14:paraId="7E260777">
      <w:pPr>
        <w:pStyle w:val="10"/>
        <w:spacing w:line="420" w:lineRule="exact"/>
        <w:jc w:val="center"/>
        <w:rPr>
          <w:rFonts w:hAnsi="宋体"/>
          <w:color w:val="auto"/>
          <w:highlight w:val="none"/>
        </w:rPr>
      </w:pPr>
      <w:r>
        <w:rPr>
          <w:rFonts w:hint="eastAsia" w:hAnsi="宋体"/>
          <w:b/>
          <w:color w:val="auto"/>
          <w:highlight w:val="none"/>
        </w:rPr>
        <w:t>四 、</w:t>
      </w:r>
      <w:r>
        <w:rPr>
          <w:rFonts w:hint="eastAsia" w:hAnsi="宋体"/>
          <w:b/>
          <w:color w:val="auto"/>
          <w:highlight w:val="none"/>
          <w:lang w:eastAsia="zh-CN"/>
        </w:rPr>
        <w:t>院内招标</w:t>
      </w:r>
      <w:r>
        <w:rPr>
          <w:rFonts w:hint="eastAsia" w:hAnsi="宋体"/>
          <w:b/>
          <w:color w:val="auto"/>
          <w:highlight w:val="none"/>
        </w:rPr>
        <w:t>与评标</w:t>
      </w:r>
    </w:p>
    <w:p w14:paraId="272D63D1">
      <w:pPr>
        <w:pStyle w:val="10"/>
        <w:spacing w:line="420" w:lineRule="exact"/>
        <w:rPr>
          <w:rFonts w:hint="eastAsia" w:hAnsi="宋体" w:eastAsia="宋体"/>
          <w:b/>
          <w:color w:val="auto"/>
          <w:highlight w:val="none"/>
          <w:lang w:eastAsia="zh-CN"/>
        </w:rPr>
      </w:pPr>
      <w:r>
        <w:rPr>
          <w:rFonts w:hint="eastAsia" w:hAnsi="宋体"/>
          <w:b/>
          <w:color w:val="auto"/>
          <w:highlight w:val="none"/>
        </w:rPr>
        <w:t>21、院内</w:t>
      </w:r>
      <w:r>
        <w:rPr>
          <w:rFonts w:hint="eastAsia" w:hAnsi="宋体"/>
          <w:b/>
          <w:color w:val="auto"/>
          <w:highlight w:val="none"/>
          <w:lang w:eastAsia="zh-CN"/>
        </w:rPr>
        <w:t>招标</w:t>
      </w:r>
    </w:p>
    <w:p w14:paraId="5925B291">
      <w:pPr>
        <w:pStyle w:val="10"/>
        <w:spacing w:line="420" w:lineRule="exact"/>
        <w:ind w:firstLine="435"/>
        <w:rPr>
          <w:rFonts w:hAnsi="宋体"/>
          <w:color w:val="auto"/>
          <w:highlight w:val="none"/>
          <w:u w:val="single"/>
        </w:rPr>
      </w:pPr>
      <w:r>
        <w:rPr>
          <w:rFonts w:hint="eastAsia" w:hAnsi="宋体"/>
          <w:color w:val="auto"/>
          <w:highlight w:val="none"/>
        </w:rPr>
        <w:t>21.1</w:t>
      </w:r>
      <w:r>
        <w:rPr>
          <w:rFonts w:hint="eastAsia" w:hAnsi="宋体"/>
          <w:color w:val="auto"/>
          <w:highlight w:val="none"/>
          <w:lang w:eastAsia="zh-CN"/>
        </w:rPr>
        <w:t>院内招标</w:t>
      </w:r>
      <w:r>
        <w:rPr>
          <w:rFonts w:hint="eastAsia" w:hAnsi="宋体"/>
          <w:color w:val="auto"/>
          <w:highlight w:val="none"/>
        </w:rPr>
        <w:t>时间及地点：具体时间由采购人另行通知。地点：</w:t>
      </w:r>
      <w:r>
        <w:rPr>
          <w:rFonts w:hint="eastAsia" w:hAnsi="宋体"/>
          <w:b/>
          <w:color w:val="auto"/>
          <w:highlight w:val="none"/>
          <w:u w:val="single"/>
        </w:rPr>
        <w:t>广西壮族自治区江滨医院</w:t>
      </w:r>
      <w:r>
        <w:rPr>
          <w:rFonts w:hint="eastAsia" w:hAnsi="宋体"/>
          <w:b/>
          <w:color w:val="auto"/>
          <w:highlight w:val="none"/>
          <w:u w:val="single"/>
          <w:lang w:val="en-US" w:eastAsia="zh-CN"/>
        </w:rPr>
        <w:t>招标采购部</w:t>
      </w:r>
      <w:r>
        <w:rPr>
          <w:rFonts w:hint="eastAsia" w:hAnsi="宋体"/>
          <w:b/>
          <w:color w:val="auto"/>
          <w:highlight w:val="none"/>
          <w:u w:val="single"/>
        </w:rPr>
        <w:t>会议室。</w:t>
      </w:r>
    </w:p>
    <w:p w14:paraId="228386A0">
      <w:pPr>
        <w:pStyle w:val="10"/>
        <w:spacing w:line="420" w:lineRule="exact"/>
        <w:ind w:firstLine="435"/>
        <w:rPr>
          <w:rFonts w:hAnsi="宋体"/>
          <w:color w:val="auto"/>
          <w:highlight w:val="none"/>
        </w:rPr>
      </w:pPr>
      <w:r>
        <w:rPr>
          <w:rFonts w:hint="eastAsia" w:hAnsi="宋体"/>
          <w:color w:val="auto"/>
          <w:highlight w:val="none"/>
        </w:rPr>
        <w:t>21.2</w:t>
      </w:r>
      <w:r>
        <w:rPr>
          <w:rFonts w:hint="eastAsia" w:hAnsi="宋体"/>
          <w:color w:val="auto"/>
          <w:highlight w:val="none"/>
          <w:lang w:eastAsia="zh-CN"/>
        </w:rPr>
        <w:t>院内招标</w:t>
      </w:r>
      <w:r>
        <w:rPr>
          <w:rFonts w:hint="eastAsia" w:hAnsi="宋体"/>
          <w:color w:val="auto"/>
          <w:highlight w:val="none"/>
        </w:rPr>
        <w:t>小组由广西江滨</w:t>
      </w:r>
      <w:r>
        <w:rPr>
          <w:rFonts w:hint="eastAsia" w:hAnsi="宋体"/>
          <w:color w:val="auto"/>
          <w:highlight w:val="none"/>
          <w:lang w:eastAsia="zh-CN"/>
        </w:rPr>
        <w:t>院内招标</w:t>
      </w:r>
      <w:r>
        <w:rPr>
          <w:rFonts w:hint="eastAsia" w:hAnsi="宋体"/>
          <w:color w:val="auto"/>
          <w:highlight w:val="none"/>
        </w:rPr>
        <w:t>采购小组和采购监督小组组成。在整个</w:t>
      </w:r>
      <w:r>
        <w:rPr>
          <w:rFonts w:hint="eastAsia" w:hAnsi="宋体"/>
          <w:color w:val="auto"/>
          <w:highlight w:val="none"/>
          <w:lang w:eastAsia="zh-CN"/>
        </w:rPr>
        <w:t>院内招标</w:t>
      </w:r>
      <w:r>
        <w:rPr>
          <w:rFonts w:hint="eastAsia" w:hAnsi="宋体"/>
          <w:color w:val="auto"/>
          <w:highlight w:val="none"/>
        </w:rPr>
        <w:t>过程中，</w:t>
      </w:r>
      <w:r>
        <w:rPr>
          <w:rFonts w:hint="eastAsia" w:hAnsi="宋体"/>
          <w:color w:val="auto"/>
          <w:highlight w:val="none"/>
          <w:lang w:eastAsia="zh-CN"/>
        </w:rPr>
        <w:t>院内招标</w:t>
      </w:r>
      <w:r>
        <w:rPr>
          <w:rFonts w:hint="eastAsia" w:hAnsi="宋体"/>
          <w:color w:val="auto"/>
          <w:highlight w:val="none"/>
        </w:rPr>
        <w:t>小组将负责对全部响应文件进行审查、谈判及评标工作。</w:t>
      </w:r>
    </w:p>
    <w:p w14:paraId="3AD12BE1">
      <w:pPr>
        <w:pStyle w:val="10"/>
        <w:spacing w:line="420" w:lineRule="exact"/>
        <w:ind w:firstLine="420" w:firstLineChars="200"/>
        <w:rPr>
          <w:rFonts w:hAnsi="宋体"/>
          <w:color w:val="auto"/>
          <w:spacing w:val="-4"/>
          <w:highlight w:val="none"/>
        </w:rPr>
      </w:pPr>
      <w:r>
        <w:rPr>
          <w:rFonts w:hint="eastAsia" w:hAnsi="宋体"/>
          <w:color w:val="auto"/>
          <w:highlight w:val="none"/>
        </w:rPr>
        <w:t xml:space="preserve">21.3 </w:t>
      </w:r>
      <w:r>
        <w:rPr>
          <w:rFonts w:hint="eastAsia" w:hAnsi="宋体"/>
          <w:color w:val="auto"/>
          <w:spacing w:val="-4"/>
          <w:highlight w:val="none"/>
        </w:rPr>
        <w:t>采购人将在规定的时间和地点组织</w:t>
      </w:r>
      <w:r>
        <w:rPr>
          <w:rFonts w:hint="eastAsia" w:hAnsi="宋体"/>
          <w:color w:val="auto"/>
          <w:spacing w:val="-4"/>
          <w:highlight w:val="none"/>
          <w:lang w:eastAsia="zh-CN"/>
        </w:rPr>
        <w:t>院内招标</w:t>
      </w:r>
      <w:r>
        <w:rPr>
          <w:rFonts w:hint="eastAsia" w:hAnsi="宋体"/>
          <w:color w:val="auto"/>
          <w:spacing w:val="-4"/>
          <w:highlight w:val="none"/>
        </w:rPr>
        <w:t>小组与各供应商分别进行</w:t>
      </w:r>
      <w:r>
        <w:rPr>
          <w:rFonts w:hint="eastAsia" w:hAnsi="宋体"/>
          <w:color w:val="auto"/>
          <w:spacing w:val="-4"/>
          <w:highlight w:val="none"/>
          <w:lang w:eastAsia="zh-CN"/>
        </w:rPr>
        <w:t>院内招标</w:t>
      </w:r>
      <w:r>
        <w:rPr>
          <w:rFonts w:hint="eastAsia" w:hAnsi="宋体"/>
          <w:color w:val="auto"/>
          <w:spacing w:val="-4"/>
          <w:highlight w:val="none"/>
        </w:rPr>
        <w:t>。供应商的</w:t>
      </w:r>
      <w:r>
        <w:rPr>
          <w:rFonts w:hint="eastAsia" w:hAnsi="宋体"/>
          <w:color w:val="auto"/>
          <w:highlight w:val="none"/>
        </w:rPr>
        <w:t>法定代表人</w:t>
      </w:r>
      <w:r>
        <w:rPr>
          <w:rFonts w:hint="eastAsia" w:hAnsi="宋体"/>
          <w:color w:val="auto"/>
          <w:spacing w:val="-4"/>
          <w:highlight w:val="none"/>
        </w:rPr>
        <w:t>或其授权委托人必须持证件（</w:t>
      </w:r>
      <w:r>
        <w:rPr>
          <w:rFonts w:hint="eastAsia" w:hAnsi="宋体"/>
          <w:color w:val="auto"/>
          <w:highlight w:val="none"/>
        </w:rPr>
        <w:t>法定代表人</w:t>
      </w:r>
      <w:r>
        <w:rPr>
          <w:rFonts w:hint="eastAsia" w:hAnsi="宋体"/>
          <w:color w:val="auto"/>
          <w:spacing w:val="-4"/>
          <w:highlight w:val="none"/>
        </w:rPr>
        <w:t>持本人资格证及身份证或授权委托人持授权委托书及本人身份证）依时到达现场等候参加</w:t>
      </w:r>
      <w:r>
        <w:rPr>
          <w:rFonts w:hint="eastAsia" w:hAnsi="宋体"/>
          <w:color w:val="auto"/>
          <w:spacing w:val="-4"/>
          <w:highlight w:val="none"/>
          <w:lang w:eastAsia="zh-CN"/>
        </w:rPr>
        <w:t>院内招标</w:t>
      </w:r>
      <w:r>
        <w:rPr>
          <w:rFonts w:hint="eastAsia" w:hAnsi="宋体"/>
          <w:color w:val="auto"/>
          <w:spacing w:val="-4"/>
          <w:highlight w:val="none"/>
        </w:rPr>
        <w:t>，并自觉接受核验上述证件。</w:t>
      </w:r>
    </w:p>
    <w:p w14:paraId="7F8B652A">
      <w:pPr>
        <w:pStyle w:val="10"/>
        <w:spacing w:line="420" w:lineRule="exact"/>
        <w:ind w:firstLine="420"/>
        <w:rPr>
          <w:rFonts w:hAnsi="宋体"/>
          <w:color w:val="auto"/>
          <w:highlight w:val="none"/>
        </w:rPr>
      </w:pPr>
      <w:r>
        <w:rPr>
          <w:rFonts w:hint="eastAsia" w:hAnsi="宋体"/>
          <w:color w:val="auto"/>
          <w:highlight w:val="none"/>
        </w:rPr>
        <w:t>21.4</w:t>
      </w:r>
      <w:r>
        <w:rPr>
          <w:rFonts w:hint="eastAsia" w:hAnsi="宋体"/>
          <w:color w:val="auto"/>
          <w:highlight w:val="none"/>
          <w:lang w:eastAsia="zh-CN"/>
        </w:rPr>
        <w:t>院内招标</w:t>
      </w:r>
      <w:r>
        <w:rPr>
          <w:rFonts w:hint="eastAsia" w:hAnsi="宋体"/>
          <w:color w:val="auto"/>
          <w:highlight w:val="none"/>
        </w:rPr>
        <w:t>的内容包括技术性条件、商务性条件以及</w:t>
      </w:r>
      <w:r>
        <w:rPr>
          <w:rFonts w:hint="eastAsia" w:hAnsi="宋体"/>
          <w:color w:val="auto"/>
          <w:highlight w:val="none"/>
          <w:lang w:eastAsia="zh-CN"/>
        </w:rPr>
        <w:t>院内招标</w:t>
      </w:r>
      <w:r>
        <w:rPr>
          <w:rFonts w:hint="eastAsia" w:hAnsi="宋体"/>
          <w:color w:val="auto"/>
          <w:highlight w:val="none"/>
        </w:rPr>
        <w:t>小组认为需要</w:t>
      </w:r>
      <w:r>
        <w:rPr>
          <w:rFonts w:hint="eastAsia" w:hAnsi="宋体"/>
          <w:color w:val="auto"/>
          <w:highlight w:val="none"/>
          <w:lang w:eastAsia="zh-CN"/>
        </w:rPr>
        <w:t>院内招标</w:t>
      </w:r>
      <w:r>
        <w:rPr>
          <w:rFonts w:hint="eastAsia" w:hAnsi="宋体"/>
          <w:color w:val="auto"/>
          <w:highlight w:val="none"/>
        </w:rPr>
        <w:t>的内容。当采购文件有实质性变动的，</w:t>
      </w:r>
      <w:r>
        <w:rPr>
          <w:rFonts w:hint="eastAsia" w:hAnsi="宋体"/>
          <w:color w:val="auto"/>
          <w:highlight w:val="none"/>
          <w:lang w:eastAsia="zh-CN"/>
        </w:rPr>
        <w:t>院内招标</w:t>
      </w:r>
      <w:r>
        <w:rPr>
          <w:rFonts w:hint="eastAsia" w:hAnsi="宋体"/>
          <w:color w:val="auto"/>
          <w:highlight w:val="none"/>
        </w:rPr>
        <w:t>小组以书面形式通知所有参加</w:t>
      </w:r>
      <w:r>
        <w:rPr>
          <w:rFonts w:hint="eastAsia" w:hAnsi="宋体"/>
          <w:color w:val="auto"/>
          <w:highlight w:val="none"/>
          <w:lang w:eastAsia="zh-CN"/>
        </w:rPr>
        <w:t>院内招标</w:t>
      </w:r>
      <w:r>
        <w:rPr>
          <w:rFonts w:hint="eastAsia" w:hAnsi="宋体"/>
          <w:color w:val="auto"/>
          <w:highlight w:val="none"/>
        </w:rPr>
        <w:t>的供应商。其中涉及价格的内容不得要求供应商在</w:t>
      </w:r>
      <w:r>
        <w:rPr>
          <w:rFonts w:hint="eastAsia" w:hAnsi="宋体"/>
          <w:color w:val="auto"/>
          <w:highlight w:val="none"/>
          <w:lang w:eastAsia="zh-CN"/>
        </w:rPr>
        <w:t>院内招标</w:t>
      </w:r>
      <w:r>
        <w:rPr>
          <w:rFonts w:hint="eastAsia" w:hAnsi="宋体"/>
          <w:color w:val="auto"/>
          <w:highlight w:val="none"/>
        </w:rPr>
        <w:t>时作口头报价，而应以书面密封形式报价。</w:t>
      </w:r>
    </w:p>
    <w:p w14:paraId="68BA80C2">
      <w:pPr>
        <w:pStyle w:val="10"/>
        <w:spacing w:line="420" w:lineRule="exact"/>
        <w:ind w:firstLine="420"/>
        <w:rPr>
          <w:rFonts w:hAnsi="宋体"/>
          <w:color w:val="auto"/>
          <w:spacing w:val="-4"/>
          <w:highlight w:val="none"/>
        </w:rPr>
      </w:pPr>
      <w:r>
        <w:rPr>
          <w:rFonts w:hint="eastAsia" w:hAnsi="宋体"/>
          <w:color w:val="auto"/>
          <w:highlight w:val="none"/>
        </w:rPr>
        <w:t>21.5</w:t>
      </w:r>
      <w:r>
        <w:rPr>
          <w:rFonts w:hint="eastAsia" w:hAnsi="宋体"/>
          <w:color w:val="auto"/>
          <w:spacing w:val="-4"/>
          <w:highlight w:val="none"/>
          <w:lang w:eastAsia="zh-CN"/>
        </w:rPr>
        <w:t>院内招标</w:t>
      </w:r>
      <w:r>
        <w:rPr>
          <w:rFonts w:hint="eastAsia" w:hAnsi="宋体"/>
          <w:color w:val="auto"/>
          <w:spacing w:val="-4"/>
          <w:highlight w:val="none"/>
        </w:rPr>
        <w:t>内容应作记录，并由供应商及</w:t>
      </w:r>
      <w:r>
        <w:rPr>
          <w:rFonts w:hint="eastAsia" w:hAnsi="宋体"/>
          <w:color w:val="auto"/>
          <w:spacing w:val="-4"/>
          <w:highlight w:val="none"/>
          <w:lang w:eastAsia="zh-CN"/>
        </w:rPr>
        <w:t>院内招标</w:t>
      </w:r>
      <w:r>
        <w:rPr>
          <w:rFonts w:hint="eastAsia" w:hAnsi="宋体"/>
          <w:color w:val="auto"/>
          <w:spacing w:val="-4"/>
          <w:highlight w:val="none"/>
        </w:rPr>
        <w:t>小组</w:t>
      </w:r>
      <w:r>
        <w:rPr>
          <w:rFonts w:hint="eastAsia" w:hAnsi="宋体"/>
          <w:color w:val="auto"/>
          <w:highlight w:val="none"/>
        </w:rPr>
        <w:t>成员</w:t>
      </w:r>
      <w:r>
        <w:rPr>
          <w:rFonts w:hint="eastAsia" w:hAnsi="宋体"/>
          <w:color w:val="auto"/>
          <w:spacing w:val="-4"/>
          <w:highlight w:val="none"/>
        </w:rPr>
        <w:t>签字确认。</w:t>
      </w:r>
    </w:p>
    <w:p w14:paraId="3D747400">
      <w:pPr>
        <w:pStyle w:val="10"/>
        <w:spacing w:line="420" w:lineRule="exact"/>
        <w:ind w:firstLine="420"/>
        <w:rPr>
          <w:rFonts w:hAnsi="宋体"/>
          <w:color w:val="auto"/>
          <w:spacing w:val="-4"/>
          <w:highlight w:val="none"/>
        </w:rPr>
      </w:pPr>
      <w:r>
        <w:rPr>
          <w:rFonts w:hint="eastAsia" w:hAnsi="宋体"/>
          <w:color w:val="auto"/>
          <w:spacing w:val="-4"/>
          <w:highlight w:val="none"/>
        </w:rPr>
        <w:t>21.6</w:t>
      </w:r>
      <w:r>
        <w:rPr>
          <w:rFonts w:hint="eastAsia" w:hAnsi="宋体"/>
          <w:color w:val="auto"/>
          <w:spacing w:val="-4"/>
          <w:highlight w:val="none"/>
          <w:lang w:eastAsia="zh-CN"/>
        </w:rPr>
        <w:t>院内招标</w:t>
      </w:r>
      <w:r>
        <w:rPr>
          <w:rFonts w:hint="eastAsia" w:hAnsi="宋体"/>
          <w:color w:val="auto"/>
          <w:spacing w:val="-4"/>
          <w:highlight w:val="none"/>
        </w:rPr>
        <w:t>结束后，</w:t>
      </w:r>
      <w:r>
        <w:rPr>
          <w:rFonts w:hint="eastAsia" w:hAnsi="宋体"/>
          <w:color w:val="auto"/>
          <w:spacing w:val="-4"/>
          <w:highlight w:val="none"/>
          <w:lang w:eastAsia="zh-CN"/>
        </w:rPr>
        <w:t>院内招标</w:t>
      </w:r>
      <w:r>
        <w:rPr>
          <w:rFonts w:hint="eastAsia" w:hAnsi="宋体"/>
          <w:color w:val="auto"/>
          <w:spacing w:val="-4"/>
          <w:highlight w:val="none"/>
        </w:rPr>
        <w:t>小组应要求供应商在约定的时间、地点以书面密封形式递交</w:t>
      </w:r>
      <w:r>
        <w:rPr>
          <w:rFonts w:hint="eastAsia" w:hAnsi="宋体"/>
          <w:color w:val="auto"/>
          <w:spacing w:val="-4"/>
          <w:highlight w:val="none"/>
          <w:lang w:eastAsia="zh-CN"/>
        </w:rPr>
        <w:t>院内招标</w:t>
      </w:r>
      <w:r>
        <w:rPr>
          <w:rFonts w:hint="eastAsia" w:hAnsi="宋体"/>
          <w:color w:val="auto"/>
          <w:spacing w:val="-4"/>
          <w:highlight w:val="none"/>
        </w:rPr>
        <w:t>时要求其就商务和技术条件作出的包含补充、修改、承诺、重新报价等内容的应答文件，应答文件必须由供应商的</w:t>
      </w:r>
      <w:r>
        <w:rPr>
          <w:rFonts w:hint="eastAsia" w:hAnsi="宋体"/>
          <w:color w:val="auto"/>
          <w:highlight w:val="none"/>
        </w:rPr>
        <w:t>法定代表人</w:t>
      </w:r>
      <w:r>
        <w:rPr>
          <w:rFonts w:hint="eastAsia" w:hAnsi="宋体"/>
          <w:color w:val="auto"/>
          <w:spacing w:val="-4"/>
          <w:highlight w:val="none"/>
        </w:rPr>
        <w:t>或委托代理人签名或盖公章，应答文件构成响应文件的一部分。</w:t>
      </w:r>
    </w:p>
    <w:p w14:paraId="73FDD5A7">
      <w:pPr>
        <w:pStyle w:val="10"/>
        <w:spacing w:line="420" w:lineRule="exact"/>
        <w:rPr>
          <w:rFonts w:hAnsi="宋体"/>
          <w:b/>
          <w:color w:val="auto"/>
          <w:highlight w:val="none"/>
        </w:rPr>
      </w:pPr>
      <w:r>
        <w:rPr>
          <w:rFonts w:hint="eastAsia" w:hAnsi="宋体"/>
          <w:b/>
          <w:color w:val="auto"/>
          <w:highlight w:val="none"/>
        </w:rPr>
        <w:t xml:space="preserve">22、评标 </w:t>
      </w:r>
    </w:p>
    <w:p w14:paraId="46347D7B">
      <w:pPr>
        <w:pStyle w:val="10"/>
        <w:spacing w:line="420" w:lineRule="exact"/>
        <w:ind w:firstLine="420"/>
        <w:rPr>
          <w:rFonts w:hAnsi="宋体"/>
          <w:color w:val="auto"/>
          <w:highlight w:val="none"/>
        </w:rPr>
      </w:pPr>
      <w:r>
        <w:rPr>
          <w:rFonts w:hint="eastAsia" w:hAnsi="宋体"/>
          <w:color w:val="auto"/>
          <w:highlight w:val="none"/>
        </w:rPr>
        <w:t>22.1本采购项目</w:t>
      </w:r>
      <w:r>
        <w:rPr>
          <w:rFonts w:hint="eastAsia" w:hAnsi="宋体"/>
          <w:color w:val="auto"/>
          <w:highlight w:val="none"/>
          <w:lang w:eastAsia="zh-CN"/>
        </w:rPr>
        <w:t>院内招标</w:t>
      </w:r>
      <w:r>
        <w:rPr>
          <w:rFonts w:hint="eastAsia" w:hAnsi="宋体"/>
          <w:color w:val="auto"/>
          <w:highlight w:val="none"/>
        </w:rPr>
        <w:t>方法采用</w:t>
      </w:r>
      <w:r>
        <w:rPr>
          <w:rFonts w:hint="eastAsia" w:hAnsi="宋体"/>
          <w:b/>
          <w:bCs/>
          <w:color w:val="auto"/>
          <w:highlight w:val="none"/>
          <w:lang w:eastAsia="zh-CN"/>
        </w:rPr>
        <w:t>最低评标价法</w:t>
      </w:r>
      <w:r>
        <w:rPr>
          <w:rFonts w:hint="eastAsia" w:hAnsi="宋体"/>
          <w:color w:val="auto"/>
          <w:highlight w:val="none"/>
        </w:rPr>
        <w:t>，</w:t>
      </w:r>
      <w:r>
        <w:rPr>
          <w:rFonts w:hint="eastAsia" w:hAnsi="宋体"/>
          <w:color w:val="auto"/>
          <w:highlight w:val="none"/>
          <w:lang w:eastAsia="zh-CN"/>
        </w:rPr>
        <w:t>院内招标</w:t>
      </w:r>
      <w:r>
        <w:rPr>
          <w:rFonts w:hint="eastAsia" w:hAnsi="宋体"/>
          <w:color w:val="auto"/>
          <w:highlight w:val="none"/>
        </w:rPr>
        <w:t>依据为采购文件和响应文件及</w:t>
      </w:r>
      <w:r>
        <w:rPr>
          <w:rFonts w:hint="eastAsia" w:hAnsi="宋体"/>
          <w:color w:val="auto"/>
          <w:highlight w:val="none"/>
          <w:lang w:eastAsia="zh-CN"/>
        </w:rPr>
        <w:t>院内招标</w:t>
      </w:r>
      <w:r>
        <w:rPr>
          <w:rFonts w:hint="eastAsia" w:hAnsi="宋体"/>
          <w:color w:val="auto"/>
          <w:highlight w:val="none"/>
        </w:rPr>
        <w:t>应答文件。</w:t>
      </w:r>
    </w:p>
    <w:p w14:paraId="5F1033E1">
      <w:pPr>
        <w:pStyle w:val="10"/>
        <w:spacing w:line="420" w:lineRule="exact"/>
        <w:ind w:firstLine="420"/>
        <w:rPr>
          <w:rFonts w:hAnsi="宋体"/>
          <w:color w:val="auto"/>
          <w:highlight w:val="none"/>
        </w:rPr>
      </w:pPr>
      <w:r>
        <w:rPr>
          <w:rFonts w:hint="eastAsia" w:hAnsi="宋体"/>
          <w:color w:val="auto"/>
          <w:highlight w:val="none"/>
        </w:rPr>
        <w:t>22.2</w:t>
      </w:r>
      <w:r>
        <w:rPr>
          <w:rFonts w:hint="eastAsia" w:hAnsi="宋体"/>
          <w:color w:val="auto"/>
          <w:highlight w:val="none"/>
          <w:lang w:eastAsia="zh-CN"/>
        </w:rPr>
        <w:t>院内招标</w:t>
      </w:r>
      <w:r>
        <w:rPr>
          <w:rFonts w:hint="eastAsia" w:hAnsi="宋体"/>
          <w:color w:val="auto"/>
          <w:highlight w:val="none"/>
        </w:rPr>
        <w:t>工作将采取封闭方式进行，</w:t>
      </w:r>
      <w:r>
        <w:rPr>
          <w:rFonts w:hint="eastAsia" w:hAnsi="宋体"/>
          <w:color w:val="auto"/>
          <w:highlight w:val="none"/>
          <w:lang w:eastAsia="zh-CN"/>
        </w:rPr>
        <w:t>院内招标</w:t>
      </w:r>
      <w:r>
        <w:rPr>
          <w:rFonts w:hint="eastAsia" w:hAnsi="宋体"/>
          <w:color w:val="auto"/>
          <w:highlight w:val="none"/>
        </w:rPr>
        <w:t>小组成员和有关工作人员不得透露对响应文件的评审、成交候选供应商的推荐情况以及与</w:t>
      </w:r>
      <w:r>
        <w:rPr>
          <w:rFonts w:hint="eastAsia" w:hAnsi="宋体"/>
          <w:color w:val="auto"/>
          <w:highlight w:val="none"/>
          <w:lang w:eastAsia="zh-CN"/>
        </w:rPr>
        <w:t>院内招标</w:t>
      </w:r>
      <w:r>
        <w:rPr>
          <w:rFonts w:hint="eastAsia" w:hAnsi="宋体"/>
          <w:color w:val="auto"/>
          <w:highlight w:val="none"/>
        </w:rPr>
        <w:t>有关的其他情况</w:t>
      </w:r>
      <w:r>
        <w:rPr>
          <w:rFonts w:hint="eastAsia" w:hAnsi="宋体"/>
          <w:color w:val="auto"/>
          <w:highlight w:val="none"/>
          <w:lang w:eastAsia="zh-CN"/>
        </w:rPr>
        <w:t>（</w:t>
      </w:r>
      <w:r>
        <w:rPr>
          <w:rFonts w:hint="eastAsia" w:hAnsi="宋体"/>
          <w:color w:val="auto"/>
          <w:highlight w:val="none"/>
          <w:lang w:val="en-US" w:eastAsia="zh-CN"/>
        </w:rPr>
        <w:t>含成交供应商产品品牌型号等信息）</w:t>
      </w:r>
      <w:r>
        <w:rPr>
          <w:rFonts w:hint="eastAsia" w:hAnsi="宋体"/>
          <w:color w:val="auto"/>
          <w:highlight w:val="none"/>
        </w:rPr>
        <w:t>。</w:t>
      </w:r>
    </w:p>
    <w:p w14:paraId="3293E9AA">
      <w:pPr>
        <w:pStyle w:val="10"/>
        <w:spacing w:line="420" w:lineRule="exact"/>
        <w:ind w:firstLine="420"/>
        <w:rPr>
          <w:rFonts w:hint="eastAsia" w:hAnsi="宋体"/>
          <w:color w:val="auto"/>
          <w:highlight w:val="none"/>
        </w:rPr>
      </w:pPr>
      <w:r>
        <w:rPr>
          <w:rFonts w:hint="eastAsia" w:hAnsi="宋体"/>
          <w:color w:val="auto"/>
          <w:highlight w:val="none"/>
        </w:rPr>
        <w:t>22.3经</w:t>
      </w:r>
      <w:r>
        <w:rPr>
          <w:rFonts w:hint="eastAsia" w:hAnsi="宋体"/>
          <w:color w:val="auto"/>
          <w:highlight w:val="none"/>
          <w:lang w:eastAsia="zh-CN"/>
        </w:rPr>
        <w:t>院内招标</w:t>
      </w:r>
      <w:r>
        <w:rPr>
          <w:rFonts w:hint="eastAsia" w:hAnsi="宋体"/>
          <w:color w:val="auto"/>
          <w:highlight w:val="none"/>
        </w:rPr>
        <w:t>后供应商响应报价仍超出采购预算控制价则响应无效。如果经</w:t>
      </w:r>
      <w:r>
        <w:rPr>
          <w:rFonts w:hint="eastAsia" w:hAnsi="宋体"/>
          <w:color w:val="auto"/>
          <w:highlight w:val="none"/>
          <w:lang w:eastAsia="zh-CN"/>
        </w:rPr>
        <w:t>院内招标</w:t>
      </w:r>
      <w:r>
        <w:rPr>
          <w:rFonts w:hint="eastAsia" w:hAnsi="宋体"/>
          <w:color w:val="auto"/>
          <w:highlight w:val="none"/>
        </w:rPr>
        <w:t>后全部供应商的响应报价均超出采购预算控制价，采购人不能支付的，由采购单位重新组织采购。</w:t>
      </w:r>
    </w:p>
    <w:p w14:paraId="2A4666C0">
      <w:pPr>
        <w:pStyle w:val="10"/>
        <w:spacing w:line="420" w:lineRule="exact"/>
        <w:ind w:firstLine="420"/>
        <w:rPr>
          <w:rFonts w:hint="eastAsia" w:hAnsi="宋体"/>
          <w:color w:val="auto"/>
          <w:highlight w:val="none"/>
          <w:lang w:val="en-US" w:eastAsia="zh-CN"/>
        </w:rPr>
      </w:pPr>
      <w:r>
        <w:rPr>
          <w:rFonts w:hint="eastAsia" w:hAnsi="宋体"/>
          <w:color w:val="auto"/>
          <w:highlight w:val="none"/>
          <w:lang w:val="en-US" w:eastAsia="zh-CN"/>
        </w:rPr>
        <w:t>22.4 经评审，确定排名第一的中标候选人为中标人。排名第一的中标候选人因不可抗力等原因提出不能履行合同，放弃中标的，可以确定排名第二的中标候选人为中标人或者重新招标。排名第二的中标候选人因前款规定的同样原因不能签订合同的，可以确定排名第三的中标候选人为中标人。</w:t>
      </w:r>
    </w:p>
    <w:p w14:paraId="22C33321">
      <w:pPr>
        <w:pStyle w:val="10"/>
        <w:spacing w:line="420" w:lineRule="exact"/>
        <w:ind w:firstLine="420"/>
        <w:rPr>
          <w:rFonts w:hint="default" w:hAnsi="宋体"/>
          <w:color w:val="auto"/>
          <w:highlight w:val="none"/>
          <w:lang w:val="en-US" w:eastAsia="zh-CN"/>
        </w:rPr>
      </w:pPr>
      <w:r>
        <w:rPr>
          <w:rFonts w:hint="eastAsia" w:hAnsi="宋体"/>
          <w:b/>
          <w:bCs/>
          <w:color w:val="auto"/>
          <w:highlight w:val="none"/>
          <w:lang w:val="en-US" w:eastAsia="zh-CN"/>
        </w:rPr>
        <w:t>22.5经评审，如发现虚假应标或围标情形的，将被列入“黑名单”，三年内不得参与医院所有的采购活动。</w:t>
      </w:r>
    </w:p>
    <w:p w14:paraId="27C018FB">
      <w:pPr>
        <w:pStyle w:val="10"/>
        <w:numPr>
          <w:ilvl w:val="0"/>
          <w:numId w:val="0"/>
        </w:numPr>
        <w:spacing w:line="420" w:lineRule="exact"/>
        <w:ind w:firstLine="964" w:firstLineChars="200"/>
        <w:rPr>
          <w:rFonts w:hint="eastAsia" w:hAnsi="宋体"/>
          <w:b/>
          <w:color w:val="auto"/>
          <w:sz w:val="48"/>
          <w:szCs w:val="48"/>
          <w:highlight w:val="none"/>
        </w:rPr>
      </w:pPr>
    </w:p>
    <w:p w14:paraId="6FB466E9">
      <w:pPr>
        <w:rPr>
          <w:rFonts w:hint="eastAsia" w:hAnsi="宋体"/>
          <w:b/>
          <w:color w:val="auto"/>
          <w:sz w:val="48"/>
          <w:szCs w:val="48"/>
          <w:highlight w:val="none"/>
        </w:rPr>
      </w:pPr>
    </w:p>
    <w:p w14:paraId="0FD16728">
      <w:pPr>
        <w:rPr>
          <w:rFonts w:hint="eastAsia" w:hAnsi="宋体"/>
          <w:b/>
          <w:color w:val="auto"/>
          <w:sz w:val="48"/>
          <w:szCs w:val="48"/>
          <w:highlight w:val="none"/>
        </w:rPr>
      </w:pPr>
    </w:p>
    <w:p w14:paraId="5328473E">
      <w:pPr>
        <w:rPr>
          <w:rFonts w:hint="eastAsia" w:hAnsi="宋体"/>
          <w:b/>
          <w:color w:val="auto"/>
          <w:sz w:val="48"/>
          <w:szCs w:val="48"/>
          <w:highlight w:val="none"/>
        </w:rPr>
      </w:pPr>
    </w:p>
    <w:p w14:paraId="184A983B">
      <w:pPr>
        <w:rPr>
          <w:rFonts w:hint="eastAsia" w:hAnsi="宋体"/>
          <w:b/>
          <w:color w:val="auto"/>
          <w:sz w:val="48"/>
          <w:szCs w:val="48"/>
          <w:highlight w:val="none"/>
        </w:rPr>
      </w:pPr>
    </w:p>
    <w:p w14:paraId="7EA55B77">
      <w:pPr>
        <w:rPr>
          <w:rFonts w:hint="eastAsia" w:hAnsi="宋体"/>
          <w:b/>
          <w:color w:val="auto"/>
          <w:sz w:val="48"/>
          <w:szCs w:val="48"/>
          <w:highlight w:val="none"/>
        </w:rPr>
      </w:pPr>
    </w:p>
    <w:p w14:paraId="0C10E9D9">
      <w:pPr>
        <w:rPr>
          <w:rFonts w:hint="eastAsia" w:hAnsi="宋体"/>
          <w:b/>
          <w:color w:val="auto"/>
          <w:sz w:val="48"/>
          <w:szCs w:val="48"/>
          <w:highlight w:val="none"/>
        </w:rPr>
      </w:pPr>
    </w:p>
    <w:p w14:paraId="6C550A25">
      <w:pPr>
        <w:rPr>
          <w:rFonts w:hint="eastAsia" w:hAnsi="宋体"/>
          <w:b/>
          <w:color w:val="auto"/>
          <w:sz w:val="48"/>
          <w:szCs w:val="48"/>
          <w:highlight w:val="none"/>
        </w:rPr>
      </w:pPr>
    </w:p>
    <w:p w14:paraId="66BC0873">
      <w:pPr>
        <w:pStyle w:val="10"/>
        <w:snapToGrid w:val="0"/>
        <w:spacing w:line="240" w:lineRule="auto"/>
        <w:jc w:val="left"/>
        <w:outlineLvl w:val="0"/>
        <w:rPr>
          <w:rFonts w:hint="eastAsia" w:hAnsi="宋体"/>
          <w:b/>
          <w:color w:val="auto"/>
          <w:sz w:val="48"/>
          <w:szCs w:val="48"/>
          <w:highlight w:val="none"/>
        </w:rPr>
      </w:pPr>
    </w:p>
    <w:p w14:paraId="5DC51C6F">
      <w:pPr>
        <w:rPr>
          <w:rFonts w:hint="eastAsia" w:hAnsi="宋体"/>
          <w:b/>
          <w:color w:val="auto"/>
          <w:sz w:val="48"/>
          <w:szCs w:val="48"/>
          <w:highlight w:val="none"/>
        </w:rPr>
      </w:pPr>
    </w:p>
    <w:p w14:paraId="24BF4BD5">
      <w:pPr>
        <w:rPr>
          <w:rFonts w:hint="eastAsia" w:hAnsi="宋体"/>
          <w:b/>
          <w:color w:val="auto"/>
          <w:sz w:val="48"/>
          <w:szCs w:val="48"/>
          <w:highlight w:val="none"/>
        </w:rPr>
      </w:pPr>
    </w:p>
    <w:p w14:paraId="112B0AA9">
      <w:pPr>
        <w:rPr>
          <w:rFonts w:hint="eastAsia" w:hAnsi="宋体"/>
          <w:b/>
          <w:color w:val="auto"/>
          <w:sz w:val="48"/>
          <w:szCs w:val="48"/>
          <w:highlight w:val="none"/>
        </w:rPr>
      </w:pPr>
    </w:p>
    <w:p w14:paraId="506B4AE1">
      <w:pPr>
        <w:rPr>
          <w:rFonts w:hint="eastAsia"/>
        </w:rPr>
      </w:pPr>
    </w:p>
    <w:p w14:paraId="1AF99944">
      <w:pPr>
        <w:pStyle w:val="10"/>
        <w:snapToGrid w:val="0"/>
        <w:spacing w:line="240" w:lineRule="auto"/>
        <w:ind w:firstLine="1928" w:firstLineChars="400"/>
        <w:jc w:val="left"/>
        <w:outlineLvl w:val="0"/>
        <w:rPr>
          <w:rFonts w:hint="eastAsia"/>
          <w:b/>
          <w:color w:val="auto"/>
          <w:sz w:val="32"/>
          <w:highlight w:val="none"/>
        </w:rPr>
      </w:pPr>
      <w:r>
        <w:rPr>
          <w:rFonts w:hint="eastAsia" w:hAnsi="宋体"/>
          <w:b/>
          <w:color w:val="auto"/>
          <w:sz w:val="48"/>
          <w:szCs w:val="48"/>
          <w:highlight w:val="none"/>
        </w:rPr>
        <w:t xml:space="preserve">第二章  </w:t>
      </w:r>
      <w:r>
        <w:rPr>
          <w:b/>
          <w:color w:val="auto"/>
          <w:sz w:val="40"/>
          <w:szCs w:val="22"/>
          <w:highlight w:val="none"/>
        </w:rPr>
        <w:t>招标项目采购需求</w:t>
      </w:r>
    </w:p>
    <w:p w14:paraId="65BB1B2B">
      <w:pPr>
        <w:spacing w:line="360" w:lineRule="exact"/>
        <w:rPr>
          <w:rFonts w:hint="eastAsia" w:ascii="宋体" w:hAnsi="宋体"/>
          <w:b/>
          <w:color w:val="auto"/>
          <w:sz w:val="24"/>
          <w:highlight w:val="none"/>
        </w:rPr>
      </w:pPr>
    </w:p>
    <w:p w14:paraId="29C75C71">
      <w:pPr>
        <w:spacing w:line="360" w:lineRule="exact"/>
        <w:jc w:val="left"/>
        <w:rPr>
          <w:rFonts w:ascii="宋体" w:hAnsi="宋体"/>
          <w:b/>
          <w:color w:val="auto"/>
          <w:szCs w:val="21"/>
          <w:highlight w:val="none"/>
        </w:rPr>
      </w:pPr>
      <w:r>
        <w:rPr>
          <w:rFonts w:hint="eastAsia" w:ascii="宋体" w:hAnsi="宋体"/>
          <w:b/>
          <w:color w:val="auto"/>
          <w:szCs w:val="21"/>
          <w:highlight w:val="none"/>
        </w:rPr>
        <w:t>说明：</w:t>
      </w:r>
    </w:p>
    <w:p w14:paraId="4967619F">
      <w:pPr>
        <w:numPr>
          <w:ilvl w:val="0"/>
          <w:numId w:val="3"/>
        </w:numPr>
        <w:spacing w:line="3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本采购需求中</w:t>
      </w:r>
      <w:r>
        <w:rPr>
          <w:rFonts w:ascii="Arial" w:hAnsi="Arial" w:cs="Arial"/>
          <w:color w:val="auto"/>
          <w:highlight w:val="none"/>
        </w:rPr>
        <w:t>标注“</w:t>
      </w:r>
      <w:r>
        <w:rPr>
          <w:rFonts w:hint="eastAsia" w:ascii="宋体" w:hAnsi="宋体"/>
          <w:color w:val="auto"/>
          <w:szCs w:val="21"/>
          <w:highlight w:val="none"/>
        </w:rPr>
        <w:t>▲</w:t>
      </w:r>
      <w:r>
        <w:rPr>
          <w:rFonts w:ascii="Arial" w:hAnsi="Arial" w:cs="Arial"/>
          <w:color w:val="auto"/>
          <w:highlight w:val="none"/>
        </w:rPr>
        <w:t>”号的条款为实质性条款或指标、要求，必须满足（无偏离）或优于（正偏离），否则其投标作否决</w:t>
      </w:r>
      <w:r>
        <w:rPr>
          <w:rFonts w:hint="eastAsia" w:ascii="Arial" w:hAnsi="Arial" w:cs="Arial"/>
          <w:color w:val="auto"/>
          <w:highlight w:val="none"/>
        </w:rPr>
        <w:t>谈判</w:t>
      </w:r>
      <w:r>
        <w:rPr>
          <w:rFonts w:ascii="Arial" w:hAnsi="Arial" w:cs="Arial"/>
          <w:color w:val="auto"/>
          <w:highlight w:val="none"/>
        </w:rPr>
        <w:t>处理。</w:t>
      </w:r>
      <w:r>
        <w:rPr>
          <w:rFonts w:hint="eastAsia" w:ascii="宋体" w:hAnsi="宋体"/>
          <w:color w:val="auto"/>
          <w:highlight w:val="none"/>
        </w:rPr>
        <w:t>非实质性条款或指标负偏离</w:t>
      </w:r>
      <w:r>
        <w:rPr>
          <w:rFonts w:hint="eastAsia" w:ascii="宋体" w:hAnsi="宋体"/>
          <w:color w:val="C00000"/>
          <w:highlight w:val="none"/>
        </w:rPr>
        <w:t>达3项以上（含3项）的投标无效</w:t>
      </w:r>
      <w:r>
        <w:rPr>
          <w:rFonts w:hint="eastAsia" w:ascii="宋体" w:hAnsi="宋体"/>
          <w:color w:val="auto"/>
          <w:highlight w:val="none"/>
        </w:rPr>
        <w:t>（按分标独立统计）</w:t>
      </w:r>
      <w:r>
        <w:rPr>
          <w:rFonts w:hint="eastAsia" w:ascii="宋体" w:hAnsi="宋体"/>
          <w:color w:val="auto"/>
          <w:szCs w:val="21"/>
          <w:highlight w:val="none"/>
        </w:rPr>
        <w:t>。</w:t>
      </w:r>
    </w:p>
    <w:p w14:paraId="291DDD74">
      <w:pPr>
        <w:numPr>
          <w:ilvl w:val="0"/>
          <w:numId w:val="3"/>
        </w:numPr>
        <w:spacing w:line="360" w:lineRule="exact"/>
        <w:ind w:firstLine="424" w:firstLineChars="202"/>
        <w:jc w:val="left"/>
        <w:rPr>
          <w:rFonts w:hint="eastAsia" w:ascii="宋体" w:hAnsi="宋体"/>
          <w:color w:val="auto"/>
          <w:szCs w:val="21"/>
          <w:highlight w:val="none"/>
          <w:lang w:eastAsia="zh-CN"/>
        </w:rPr>
      </w:pPr>
      <w:r>
        <w:rPr>
          <w:rFonts w:hint="eastAsia" w:ascii="宋体" w:hAnsi="宋体"/>
          <w:color w:val="auto"/>
          <w:szCs w:val="21"/>
          <w:highlight w:val="none"/>
          <w:lang w:val="en-US" w:eastAsia="zh-CN"/>
        </w:rPr>
        <w:t>对于“一、项目要求及技术需求”中</w:t>
      </w:r>
      <w:r>
        <w:rPr>
          <w:rFonts w:hint="eastAsia" w:ascii="宋体" w:hAnsi="宋体"/>
          <w:color w:val="auto"/>
          <w:szCs w:val="21"/>
          <w:highlight w:val="none"/>
        </w:rPr>
        <w:t>带“▲”的条款</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应提供</w:t>
      </w:r>
      <w:r>
        <w:rPr>
          <w:rFonts w:hint="eastAsia" w:ascii="宋体" w:hAnsi="宋体"/>
          <w:color w:val="auto"/>
          <w:szCs w:val="21"/>
          <w:highlight w:val="none"/>
          <w:lang w:val="en-US" w:eastAsia="zh-CN"/>
        </w:rPr>
        <w:t>所投</w:t>
      </w:r>
      <w:r>
        <w:rPr>
          <w:rFonts w:hint="eastAsia" w:ascii="宋体" w:hAnsi="宋体"/>
          <w:color w:val="auto"/>
          <w:szCs w:val="21"/>
          <w:highlight w:val="none"/>
        </w:rPr>
        <w:t>产品彩页或相应技术参数的厂家使用说明书或第三方检测报告</w:t>
      </w:r>
      <w:r>
        <w:rPr>
          <w:rFonts w:hint="eastAsia" w:ascii="宋体" w:hAnsi="宋体"/>
          <w:color w:val="auto"/>
          <w:szCs w:val="21"/>
          <w:highlight w:val="none"/>
          <w:lang w:val="en-US" w:eastAsia="zh-CN"/>
        </w:rPr>
        <w:t>扫描件或相应证书</w:t>
      </w:r>
      <w:r>
        <w:rPr>
          <w:rFonts w:hint="eastAsia" w:ascii="宋体" w:hAnsi="宋体"/>
          <w:color w:val="auto"/>
          <w:szCs w:val="21"/>
          <w:highlight w:val="none"/>
        </w:rPr>
        <w:t>作为技术证明文件</w:t>
      </w:r>
      <w:r>
        <w:rPr>
          <w:rFonts w:hint="eastAsia" w:ascii="宋体" w:hAnsi="宋体"/>
          <w:color w:val="auto"/>
          <w:szCs w:val="21"/>
          <w:highlight w:val="none"/>
          <w:lang w:eastAsia="zh-CN"/>
        </w:rPr>
        <w:t>（</w:t>
      </w:r>
      <w:r>
        <w:rPr>
          <w:rFonts w:hint="eastAsia" w:ascii="宋体" w:hAnsi="宋体"/>
          <w:color w:val="auto"/>
          <w:szCs w:val="21"/>
          <w:highlight w:val="none"/>
        </w:rPr>
        <w:t>如厂家的产品使用说明书</w:t>
      </w:r>
      <w:r>
        <w:rPr>
          <w:rFonts w:hint="eastAsia" w:ascii="宋体" w:hAnsi="宋体"/>
          <w:color w:val="auto"/>
          <w:szCs w:val="21"/>
          <w:highlight w:val="none"/>
          <w:lang w:val="en-US" w:eastAsia="zh-CN"/>
        </w:rPr>
        <w:t>等</w:t>
      </w:r>
      <w:r>
        <w:rPr>
          <w:rFonts w:hint="eastAsia" w:ascii="宋体" w:hAnsi="宋体"/>
          <w:color w:val="auto"/>
          <w:szCs w:val="21"/>
          <w:highlight w:val="none"/>
        </w:rPr>
        <w:t>为英文版，请同时提供中文版</w:t>
      </w:r>
      <w:r>
        <w:rPr>
          <w:rFonts w:hint="eastAsia" w:ascii="宋体" w:hAnsi="宋体"/>
          <w:color w:val="auto"/>
          <w:szCs w:val="21"/>
          <w:highlight w:val="none"/>
          <w:lang w:eastAsia="zh-CN"/>
        </w:rPr>
        <w:t>）。</w:t>
      </w:r>
    </w:p>
    <w:p w14:paraId="222DD385">
      <w:pPr>
        <w:numPr>
          <w:ilvl w:val="0"/>
          <w:numId w:val="3"/>
        </w:numPr>
        <w:spacing w:line="360" w:lineRule="exact"/>
        <w:ind w:firstLine="426" w:firstLineChars="202"/>
        <w:jc w:val="left"/>
        <w:rPr>
          <w:rFonts w:hint="eastAsia" w:ascii="宋体" w:hAnsi="宋体"/>
          <w:color w:val="C00000"/>
          <w:szCs w:val="21"/>
          <w:highlight w:val="none"/>
          <w:lang w:eastAsia="zh-CN"/>
        </w:rPr>
      </w:pPr>
      <w:r>
        <w:rPr>
          <w:rFonts w:hint="eastAsia" w:ascii="宋体" w:hAnsi="宋体"/>
          <w:b/>
          <w:bCs/>
          <w:color w:val="C00000"/>
          <w:szCs w:val="21"/>
          <w:highlight w:val="none"/>
          <w:lang w:eastAsia="zh-CN"/>
        </w:rPr>
        <w:t>供应商应根据自身实际情况如实响应采购文件，不得仅将采购文件内容简单复制粘贴作力竟标响应，技术要求中要求提供相关证明材料的还应当提供相关证明材料，否则将按无效响应处理（定制采购不适用本条款）；竞标响应条款与相关证明材料不一致的，经评审小组确认后将视为虚假应标，供应商录入广西壮族白治区江滨医院失信行为“黑名单”</w:t>
      </w:r>
      <w:r>
        <w:rPr>
          <w:rFonts w:hint="eastAsia" w:ascii="宋体" w:hAnsi="宋体"/>
          <w:color w:val="C00000"/>
          <w:szCs w:val="21"/>
          <w:highlight w:val="none"/>
          <w:lang w:eastAsia="zh-CN"/>
        </w:rPr>
        <w:t>。</w:t>
      </w:r>
    </w:p>
    <w:p w14:paraId="6A0EE525">
      <w:pPr>
        <w:numPr>
          <w:ilvl w:val="0"/>
          <w:numId w:val="3"/>
        </w:numPr>
        <w:spacing w:line="3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lang w:eastAsia="zh-CN"/>
        </w:rPr>
        <w:t>供应商必须自行为其竞标产品侵犯他人的知识产权或者专利成果的行为承担相应法律责任。</w:t>
      </w:r>
    </w:p>
    <w:p w14:paraId="08742F40">
      <w:pPr>
        <w:rPr>
          <w:rFonts w:hint="eastAsia"/>
          <w:color w:val="auto"/>
          <w:highlight w:val="none"/>
        </w:rPr>
      </w:pPr>
    </w:p>
    <w:tbl>
      <w:tblPr>
        <w:tblStyle w:val="18"/>
        <w:tblW w:w="484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607"/>
        <w:gridCol w:w="8256"/>
      </w:tblGrid>
      <w:tr w14:paraId="0387C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40436D7B">
            <w:pPr>
              <w:spacing w:line="360" w:lineRule="atLeast"/>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14:paraId="496BC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75A1B87D">
            <w:pPr>
              <w:spacing w:line="360" w:lineRule="atLeast"/>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rPr>
              <w:t>项目</w:t>
            </w:r>
            <w:r>
              <w:rPr>
                <w:rFonts w:hint="eastAsia" w:ascii="宋体" w:hAnsi="宋体"/>
                <w:color w:val="auto"/>
                <w:szCs w:val="21"/>
                <w:highlight w:val="none"/>
                <w:lang w:val="en-US" w:eastAsia="zh-CN"/>
              </w:rPr>
              <w:t>名称</w:t>
            </w:r>
          </w:p>
        </w:tc>
        <w:tc>
          <w:tcPr>
            <w:tcW w:w="314" w:type="pct"/>
            <w:tcBorders>
              <w:top w:val="single" w:color="auto" w:sz="4" w:space="0"/>
              <w:left w:val="single" w:color="auto" w:sz="4" w:space="0"/>
              <w:bottom w:val="single" w:color="auto" w:sz="4" w:space="0"/>
              <w:right w:val="single" w:color="auto" w:sz="4" w:space="0"/>
            </w:tcBorders>
            <w:noWrap w:val="0"/>
            <w:vAlign w:val="center"/>
          </w:tcPr>
          <w:p w14:paraId="07AD1BC9">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数量</w:t>
            </w:r>
          </w:p>
        </w:tc>
        <w:tc>
          <w:tcPr>
            <w:tcW w:w="4280" w:type="pct"/>
            <w:tcBorders>
              <w:top w:val="single" w:color="auto" w:sz="4" w:space="0"/>
              <w:left w:val="single" w:color="auto" w:sz="4" w:space="0"/>
              <w:bottom w:val="single" w:color="auto" w:sz="4" w:space="0"/>
              <w:right w:val="single" w:color="auto" w:sz="4" w:space="0"/>
            </w:tcBorders>
            <w:noWrap w:val="0"/>
            <w:vAlign w:val="center"/>
          </w:tcPr>
          <w:p w14:paraId="25B36745">
            <w:pPr>
              <w:spacing w:line="360" w:lineRule="atLeast"/>
              <w:ind w:firstLine="1680" w:firstLineChars="800"/>
              <w:jc w:val="both"/>
              <w:rPr>
                <w:rFonts w:hint="eastAsia" w:ascii="宋体" w:hAnsi="宋体"/>
                <w:bCs/>
                <w:color w:val="auto"/>
                <w:szCs w:val="21"/>
                <w:highlight w:val="none"/>
              </w:rPr>
            </w:pPr>
            <w:r>
              <w:rPr>
                <w:rFonts w:hint="eastAsia" w:asciiTheme="minorEastAsia" w:hAnsiTheme="minorEastAsia"/>
                <w:color w:val="auto"/>
                <w:szCs w:val="21"/>
                <w:highlight w:val="none"/>
              </w:rPr>
              <w:t>技术参数及性能（配置）要求</w:t>
            </w:r>
          </w:p>
        </w:tc>
      </w:tr>
      <w:tr w14:paraId="65937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495166DE">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转运监护仪</w:t>
            </w:r>
          </w:p>
        </w:tc>
        <w:tc>
          <w:tcPr>
            <w:tcW w:w="314" w:type="pct"/>
            <w:tcBorders>
              <w:top w:val="single" w:color="auto" w:sz="4" w:space="0"/>
              <w:left w:val="single" w:color="auto" w:sz="4" w:space="0"/>
              <w:bottom w:val="single" w:color="auto" w:sz="4" w:space="0"/>
              <w:right w:val="single" w:color="auto" w:sz="4" w:space="0"/>
            </w:tcBorders>
            <w:noWrap w:val="0"/>
            <w:vAlign w:val="center"/>
          </w:tcPr>
          <w:p w14:paraId="4E729A42">
            <w:pPr>
              <w:spacing w:line="360" w:lineRule="atLeast"/>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1台</w:t>
            </w:r>
          </w:p>
        </w:tc>
        <w:tc>
          <w:tcPr>
            <w:tcW w:w="4280" w:type="pct"/>
            <w:tcBorders>
              <w:top w:val="single" w:color="auto" w:sz="4" w:space="0"/>
              <w:left w:val="single" w:color="auto" w:sz="4" w:space="0"/>
              <w:bottom w:val="single" w:color="auto" w:sz="4" w:space="0"/>
              <w:right w:val="single" w:color="auto" w:sz="4" w:space="0"/>
            </w:tcBorders>
            <w:noWrap w:val="0"/>
            <w:vAlign w:val="center"/>
          </w:tcPr>
          <w:p w14:paraId="03E93249">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1.适用于成人、小儿、新生儿的监测。</w:t>
            </w:r>
          </w:p>
          <w:p w14:paraId="69552BDB">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2.工作大气压力：57.0 ~107.4 kPa。</w:t>
            </w:r>
          </w:p>
          <w:p w14:paraId="2D0F8AA3">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3.▲转运监护仪，满足相关转运标准。能与现有中央监护系统连接。</w:t>
            </w:r>
          </w:p>
          <w:p w14:paraId="4BAD9321">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4.≥英寸彩色触摸显示屏，小巧便携。</w:t>
            </w:r>
          </w:p>
          <w:p w14:paraId="7FD7D1FB">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5.IP44防尘防水，易清洁和适用医院内外不同临床救治环境。</w:t>
            </w:r>
          </w:p>
          <w:p w14:paraId="71FF1678">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6.坚固耐用，抗1.2米6面跌落，满足转运过程中的复杂临床救治环境。</w:t>
            </w:r>
          </w:p>
          <w:p w14:paraId="4B3DC036">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7.整机无风扇设计。</w:t>
            </w:r>
          </w:p>
          <w:p w14:paraId="6A94658D">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8.▲内置锂电池供电，支持≥5小时的持续监测。</w:t>
            </w:r>
          </w:p>
          <w:p w14:paraId="576C4BA1">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9.内置DC电源接口，可以进行车载充电。</w:t>
            </w:r>
          </w:p>
          <w:p w14:paraId="008C0473">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10.支持3/5导心电，阻抗呼吸，血氧、无创血压和2通道体温。</w:t>
            </w:r>
          </w:p>
          <w:p w14:paraId="1302579A">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11.转运监护仪支持插入床旁监护仪插槽作为参数模块使用，即插即用。</w:t>
            </w:r>
          </w:p>
          <w:p w14:paraId="6BEF116A">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12.具有多导心电监护算法 ，同步分析至少2通道心电波形，能够良好抗干扰。</w:t>
            </w:r>
          </w:p>
          <w:p w14:paraId="04666B54">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13.心率测量范围：成人15–300 bpm，小儿/新生儿15 - 350 bpm。</w:t>
            </w:r>
          </w:p>
          <w:p w14:paraId="6E89BC84">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14.波速：提供50</w:t>
            </w:r>
            <w:r>
              <w:rPr>
                <w:rFonts w:hint="eastAsia" w:ascii="宋体" w:hAnsi="宋体"/>
                <w:color w:val="auto"/>
                <w:szCs w:val="21"/>
                <w:highlight w:val="none"/>
                <w:lang w:val="en-US" w:eastAsia="zh-CN"/>
              </w:rPr>
              <w:t xml:space="preserve"> </w:t>
            </w:r>
            <w:bookmarkStart w:id="103" w:name="_GoBack"/>
            <w:bookmarkEnd w:id="103"/>
            <w:r>
              <w:rPr>
                <w:rFonts w:hint="eastAsia" w:ascii="宋体" w:hAnsi="宋体"/>
                <w:color w:val="auto"/>
                <w:szCs w:val="21"/>
                <w:highlight w:val="none"/>
              </w:rPr>
              <w:t>mm/s，25 mm/s、12.5 mm/s、6.25 mm/s可选。</w:t>
            </w:r>
          </w:p>
          <w:p w14:paraId="07FDC5E5">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15.滤波模式：提供诊断模式（0.05 -150Hz），监护模式（0.5 -40Hz），ST模式（0.05 - 40Hz），手术模式（1-20Hz）。</w:t>
            </w:r>
          </w:p>
          <w:p w14:paraId="6DA30219">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16.提供24种心律失常事件的分析。</w:t>
            </w:r>
          </w:p>
          <w:p w14:paraId="0791C861">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17.提供ST段分析，提供显示和存储ST值和每个ST的模板。</w:t>
            </w:r>
          </w:p>
          <w:p w14:paraId="3B744B68">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18.具有QT/QTc测量功能，提供QT，QTc和ΔQTc参数值。</w:t>
            </w:r>
          </w:p>
          <w:p w14:paraId="5E46C9F9">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19.可显示弱灌注指数（PI）。</w:t>
            </w:r>
          </w:p>
          <w:p w14:paraId="756B8898">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20.提供双通道体温测量，提供两通道体温测量差值显示。</w:t>
            </w:r>
          </w:p>
          <w:p w14:paraId="7CE992E7">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21.提供手动、自动间隔、连续、序列四种无创血压测量模式。</w:t>
            </w:r>
          </w:p>
          <w:p w14:paraId="4BF860A6">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22.120小时 （分辨率1分钟）趋势表、趋势图回顾。</w:t>
            </w:r>
          </w:p>
          <w:p w14:paraId="3ECBF6F9">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23.1000条事件回顾。每条报警事件至少能够存储32秒三道相关波形，以及报警触发时所有测量参数值。</w:t>
            </w:r>
          </w:p>
          <w:p w14:paraId="28A201D9">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24.800条NIBP测量结果回顾。</w:t>
            </w:r>
          </w:p>
          <w:p w14:paraId="01CA8AC7">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25.48小时全息波形回顾。全息波形至少能存储所有测量值，以及至少3道波形。</w:t>
            </w:r>
          </w:p>
          <w:p w14:paraId="77F973B8">
            <w:pPr>
              <w:numPr>
                <w:ilvl w:val="0"/>
                <w:numId w:val="0"/>
              </w:numPr>
              <w:ind w:left="210" w:leftChars="0"/>
              <w:rPr>
                <w:rFonts w:hint="eastAsia" w:ascii="宋体" w:hAnsi="宋体"/>
                <w:color w:val="auto"/>
                <w:szCs w:val="21"/>
                <w:highlight w:val="none"/>
              </w:rPr>
            </w:pPr>
            <w:r>
              <w:rPr>
                <w:rFonts w:hint="eastAsia" w:ascii="宋体" w:hAnsi="宋体"/>
                <w:color w:val="auto"/>
                <w:szCs w:val="21"/>
                <w:highlight w:val="none"/>
              </w:rPr>
              <w:t>26.可选配全内置式的旁流呼末二氧化碳监测。</w:t>
            </w:r>
          </w:p>
        </w:tc>
      </w:tr>
      <w:tr w14:paraId="03C1C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6FEDEA11">
            <w:pPr>
              <w:spacing w:line="360" w:lineRule="atLeas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病人监护仪</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含有创功能</w:t>
            </w:r>
            <w:r>
              <w:rPr>
                <w:rFonts w:hint="eastAsia" w:ascii="宋体" w:hAnsi="宋体"/>
                <w:color w:val="auto"/>
                <w:szCs w:val="21"/>
                <w:highlight w:val="none"/>
                <w:lang w:eastAsia="zh-CN"/>
              </w:rPr>
              <w:t>）</w:t>
            </w:r>
          </w:p>
        </w:tc>
        <w:tc>
          <w:tcPr>
            <w:tcW w:w="314" w:type="pct"/>
            <w:tcBorders>
              <w:top w:val="single" w:color="auto" w:sz="4" w:space="0"/>
              <w:left w:val="single" w:color="auto" w:sz="4" w:space="0"/>
              <w:bottom w:val="single" w:color="auto" w:sz="4" w:space="0"/>
              <w:right w:val="single" w:color="auto" w:sz="4" w:space="0"/>
            </w:tcBorders>
            <w:noWrap w:val="0"/>
            <w:vAlign w:val="center"/>
          </w:tcPr>
          <w:p w14:paraId="2D16A9C3">
            <w:pPr>
              <w:spacing w:line="36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4台</w:t>
            </w:r>
          </w:p>
        </w:tc>
        <w:tc>
          <w:tcPr>
            <w:tcW w:w="4280" w:type="pct"/>
            <w:tcBorders>
              <w:top w:val="single" w:color="auto" w:sz="4" w:space="0"/>
              <w:left w:val="single" w:color="auto" w:sz="4" w:space="0"/>
              <w:bottom w:val="single" w:color="auto" w:sz="4" w:space="0"/>
              <w:right w:val="single" w:color="auto" w:sz="4" w:space="0"/>
            </w:tcBorders>
            <w:noWrap w:val="0"/>
            <w:vAlign w:val="center"/>
          </w:tcPr>
          <w:p w14:paraId="4B87C2C2">
            <w:pPr>
              <w:numPr>
                <w:ilvl w:val="0"/>
                <w:numId w:val="0"/>
              </w:numPr>
              <w:ind w:left="210"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1. 模块化插件式床边监护仪，主机、显示屏和插件槽一体化设计，主机插槽数≥4 个</w:t>
            </w:r>
          </w:p>
          <w:p w14:paraId="3AB14349">
            <w:pPr>
              <w:numPr>
                <w:ilvl w:val="0"/>
                <w:numId w:val="0"/>
              </w:numPr>
              <w:ind w:left="210"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2.▲≥1</w:t>
            </w:r>
            <w:r>
              <w:rPr>
                <w:rFonts w:hint="eastAsia" w:ascii="宋体" w:hAnsi="宋体"/>
                <w:color w:val="auto"/>
                <w:szCs w:val="21"/>
                <w:highlight w:val="none"/>
                <w:lang w:val="en-US" w:eastAsia="zh-CN"/>
              </w:rPr>
              <w:t>0</w:t>
            </w:r>
            <w:r>
              <w:rPr>
                <w:rFonts w:hint="default" w:ascii="宋体" w:hAnsi="宋体"/>
                <w:color w:val="auto"/>
                <w:szCs w:val="21"/>
                <w:highlight w:val="none"/>
                <w:lang w:val="en-US" w:eastAsia="zh-CN"/>
              </w:rPr>
              <w:t xml:space="preserve"> 寸彩色电容触摸屏，支持多点触摸操作</w:t>
            </w:r>
            <w:r>
              <w:rPr>
                <w:rFonts w:hint="eastAsia" w:ascii="宋体" w:hAnsi="宋体"/>
                <w:color w:val="auto"/>
                <w:szCs w:val="21"/>
                <w:highlight w:val="none"/>
                <w:lang w:val="en-US" w:eastAsia="zh-CN"/>
              </w:rPr>
              <w:t>，10</w:t>
            </w:r>
            <w:r>
              <w:rPr>
                <w:rFonts w:hint="default" w:ascii="宋体" w:hAnsi="宋体"/>
                <w:color w:val="auto"/>
                <w:szCs w:val="21"/>
                <w:highlight w:val="none"/>
                <w:lang w:val="en-US" w:eastAsia="zh-CN"/>
              </w:rPr>
              <w:t>通道显示，显示屏亮度自动调节；采用无风扇设计，支持配置内置锂电池，供电时间≥4 小时</w:t>
            </w:r>
            <w:r>
              <w:rPr>
                <w:rFonts w:hint="eastAsia" w:ascii="宋体" w:hAnsi="宋体"/>
                <w:color w:val="auto"/>
                <w:szCs w:val="21"/>
                <w:highlight w:val="none"/>
                <w:lang w:val="en-US" w:eastAsia="zh-CN"/>
              </w:rPr>
              <w:t>。</w:t>
            </w:r>
          </w:p>
          <w:p w14:paraId="0360A28C">
            <w:pPr>
              <w:numPr>
                <w:ilvl w:val="0"/>
                <w:numId w:val="0"/>
              </w:numPr>
              <w:ind w:left="210"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3.▲基本功能模块支持心电，呼吸，心率，无创血压，血氧饱和度，脉搏，双通道体温和双通道有创血压的同时监测</w:t>
            </w:r>
            <w:r>
              <w:rPr>
                <w:rFonts w:hint="eastAsia" w:ascii="宋体" w:hAnsi="宋体"/>
                <w:color w:val="auto"/>
                <w:szCs w:val="21"/>
                <w:highlight w:val="none"/>
                <w:lang w:val="en-US" w:eastAsia="zh-CN"/>
              </w:rPr>
              <w:t>，能与现有中央监护系统连接。</w:t>
            </w:r>
          </w:p>
          <w:p w14:paraId="1190C715">
            <w:pPr>
              <w:numPr>
                <w:ilvl w:val="0"/>
                <w:numId w:val="0"/>
              </w:numPr>
              <w:ind w:left="210"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4. 支持 3/5 导心电监测,可升级 12 导心电测量，并在监护仪上完成 12 导静息分析，具有 QT/QTc 测量功能，提供 QT，QTc 和ΔQTc 参数值。</w:t>
            </w:r>
          </w:p>
          <w:p w14:paraId="4C0B784F">
            <w:pPr>
              <w:numPr>
                <w:ilvl w:val="0"/>
                <w:numId w:val="0"/>
              </w:numPr>
              <w:ind w:left="210"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5.血氧监测提供灌注指数（PI）的监测， 无创血压提供手动、自动间隔、连续、序列四种测量模式</w:t>
            </w:r>
            <w:r>
              <w:rPr>
                <w:rFonts w:hint="eastAsia" w:ascii="宋体" w:hAnsi="宋体"/>
                <w:color w:val="auto"/>
                <w:szCs w:val="21"/>
                <w:highlight w:val="none"/>
                <w:lang w:val="en-US" w:eastAsia="zh-CN"/>
              </w:rPr>
              <w:t>。</w:t>
            </w:r>
          </w:p>
          <w:p w14:paraId="154ACA3D">
            <w:pPr>
              <w:numPr>
                <w:ilvl w:val="0"/>
                <w:numId w:val="0"/>
              </w:numPr>
              <w:ind w:left="210"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6.支持双通道有创压 IBP 监测，支持升级多达 8 通道有创压监测，提供肺动脉锲压（PAWP）的监测和 PPV参数监测，支持多达 4 道 IBP 波形叠加显示</w:t>
            </w:r>
            <w:r>
              <w:rPr>
                <w:rFonts w:hint="eastAsia" w:ascii="宋体" w:hAnsi="宋体"/>
                <w:color w:val="auto"/>
                <w:szCs w:val="21"/>
                <w:highlight w:val="none"/>
                <w:lang w:val="en-US" w:eastAsia="zh-CN"/>
              </w:rPr>
              <w:t>。</w:t>
            </w:r>
          </w:p>
          <w:p w14:paraId="25F122AD">
            <w:pPr>
              <w:numPr>
                <w:ilvl w:val="0"/>
                <w:numId w:val="0"/>
              </w:numPr>
              <w:ind w:left="210"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7.可选配旁流呼末二氧化碳监测模块，水槽要求易用快速更换，CO2 波形提供填充和线条两种方式显示，满足不同临床使用习惯，CO2 波形最小走速为 3mm/s, 满足同屏查看更多呼吸周期</w:t>
            </w:r>
            <w:r>
              <w:rPr>
                <w:rFonts w:hint="eastAsia" w:ascii="宋体" w:hAnsi="宋体"/>
                <w:color w:val="auto"/>
                <w:szCs w:val="21"/>
                <w:highlight w:val="none"/>
                <w:lang w:val="en-US" w:eastAsia="zh-CN"/>
              </w:rPr>
              <w:t>。</w:t>
            </w:r>
          </w:p>
          <w:p w14:paraId="1F9AEDAC">
            <w:pPr>
              <w:numPr>
                <w:ilvl w:val="0"/>
                <w:numId w:val="0"/>
              </w:numPr>
              <w:ind w:left="210"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w:t>
            </w:r>
            <w:r>
              <w:rPr>
                <w:rFonts w:hint="default" w:ascii="宋体" w:hAnsi="宋体"/>
                <w:color w:val="auto"/>
                <w:szCs w:val="21"/>
                <w:highlight w:val="none"/>
                <w:lang w:val="en-US" w:eastAsia="zh-CN"/>
              </w:rPr>
              <w:t>.支持 6 个参数的设置和显示，具有图形化报警指示功能，看报警信息更容易，所有参数报警限自动设置，能够设置护理组，一个护理组能够设置 6-12 个病人。这些病人之间能够互相进行它床观察。</w:t>
            </w:r>
          </w:p>
          <w:p w14:paraId="700FEEB5">
            <w:pPr>
              <w:numPr>
                <w:ilvl w:val="0"/>
                <w:numId w:val="0"/>
              </w:numPr>
              <w:ind w:left="210"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w:t>
            </w:r>
            <w:r>
              <w:rPr>
                <w:rFonts w:hint="default" w:ascii="宋体" w:hAnsi="宋体"/>
                <w:color w:val="auto"/>
                <w:szCs w:val="21"/>
                <w:highlight w:val="none"/>
                <w:lang w:val="en-US" w:eastAsia="zh-CN"/>
              </w:rPr>
              <w:t>.具备血液动力学，药物计算，氧合计算，通气计算和肾功能计算功能。</w:t>
            </w:r>
          </w:p>
          <w:p w14:paraId="322D44B9">
            <w:pPr>
              <w:numPr>
                <w:ilvl w:val="0"/>
                <w:numId w:val="0"/>
              </w:numPr>
              <w:ind w:left="210"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1</w:t>
            </w:r>
            <w:r>
              <w:rPr>
                <w:rFonts w:hint="eastAsia" w:ascii="宋体" w:hAnsi="宋体"/>
                <w:color w:val="auto"/>
                <w:szCs w:val="21"/>
                <w:highlight w:val="none"/>
                <w:lang w:val="en-US" w:eastAsia="zh-CN"/>
              </w:rPr>
              <w:t>0</w:t>
            </w:r>
            <w:r>
              <w:rPr>
                <w:rFonts w:hint="default" w:ascii="宋体" w:hAnsi="宋体"/>
                <w:color w:val="auto"/>
                <w:szCs w:val="21"/>
                <w:highlight w:val="none"/>
                <w:lang w:val="en-US" w:eastAsia="zh-CN"/>
              </w:rPr>
              <w:t>. 1000 条事件回顾。每条报警事件至少能够存储32 秒三道相关波形，以及报警触发时所有测量参数值。</w:t>
            </w:r>
          </w:p>
          <w:p w14:paraId="6832293A">
            <w:pPr>
              <w:numPr>
                <w:ilvl w:val="0"/>
                <w:numId w:val="0"/>
              </w:numPr>
              <w:ind w:left="210" w:leftChars="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1</w:t>
            </w:r>
            <w:r>
              <w:rPr>
                <w:rFonts w:hint="eastAsia" w:ascii="宋体" w:hAnsi="宋体"/>
                <w:color w:val="auto"/>
                <w:szCs w:val="21"/>
                <w:highlight w:val="none"/>
                <w:lang w:val="en-US" w:eastAsia="zh-CN"/>
              </w:rPr>
              <w:t>1</w:t>
            </w:r>
            <w:r>
              <w:rPr>
                <w:rFonts w:hint="default" w:ascii="宋体" w:hAnsi="宋体"/>
                <w:color w:val="auto"/>
                <w:szCs w:val="21"/>
                <w:highlight w:val="none"/>
                <w:lang w:val="en-US" w:eastAsia="zh-CN"/>
              </w:rPr>
              <w:t>.提供 24 小时心律失常统计，具有 24 小时心电综合分析概览，能够提供 HR、ST、QT/QTc、心律失常、起搏的统计结果，并能够查看细节。</w:t>
            </w:r>
          </w:p>
          <w:p w14:paraId="5EA04E2B">
            <w:pPr>
              <w:numPr>
                <w:ilvl w:val="0"/>
                <w:numId w:val="0"/>
              </w:numPr>
              <w:ind w:left="210" w:leftChars="0"/>
              <w:rPr>
                <w:rFonts w:hint="eastAsia" w:ascii="宋体" w:hAnsi="宋体"/>
                <w:color w:val="auto"/>
                <w:szCs w:val="21"/>
                <w:highlight w:val="none"/>
              </w:rPr>
            </w:pPr>
            <w:r>
              <w:rPr>
                <w:rFonts w:hint="default" w:ascii="宋体" w:hAnsi="宋体"/>
                <w:color w:val="auto"/>
                <w:szCs w:val="21"/>
                <w:highlight w:val="none"/>
                <w:lang w:val="en-US" w:eastAsia="zh-CN"/>
              </w:rPr>
              <w:t>1</w:t>
            </w:r>
            <w:r>
              <w:rPr>
                <w:rFonts w:hint="eastAsia" w:ascii="宋体" w:hAnsi="宋体"/>
                <w:color w:val="auto"/>
                <w:szCs w:val="21"/>
                <w:highlight w:val="none"/>
                <w:lang w:val="en-US" w:eastAsia="zh-CN"/>
              </w:rPr>
              <w:t>2</w:t>
            </w:r>
            <w:r>
              <w:rPr>
                <w:rFonts w:hint="default" w:ascii="宋体" w:hAnsi="宋体"/>
                <w:color w:val="auto"/>
                <w:szCs w:val="21"/>
                <w:highlight w:val="none"/>
                <w:lang w:val="en-US" w:eastAsia="zh-CN"/>
              </w:rPr>
              <w:t>.工作模式提供：监护模式、待机模式、体外循环模式模式、夜间模式、隐私模式、演示模式。</w:t>
            </w:r>
          </w:p>
        </w:tc>
      </w:tr>
      <w:tr w14:paraId="044F2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51B475D2">
            <w:pPr>
              <w:spacing w:line="360" w:lineRule="atLeast"/>
              <w:rPr>
                <w:rFonts w:hint="eastAsia" w:ascii="宋体" w:hAnsi="宋体"/>
                <w:color w:val="auto"/>
                <w:szCs w:val="21"/>
                <w:highlight w:val="none"/>
              </w:rPr>
            </w:pPr>
            <w:r>
              <w:rPr>
                <w:rFonts w:hint="eastAsia"/>
                <w:color w:val="auto"/>
                <w:szCs w:val="21"/>
                <w:highlight w:val="none"/>
              </w:rPr>
              <w:t>▲</w:t>
            </w:r>
            <w:r>
              <w:rPr>
                <w:rFonts w:hint="eastAsia" w:ascii="宋体" w:hAnsi="宋体"/>
                <w:b/>
                <w:color w:val="auto"/>
                <w:szCs w:val="21"/>
                <w:highlight w:val="none"/>
              </w:rPr>
              <w:t>二、商务条款</w:t>
            </w:r>
          </w:p>
        </w:tc>
      </w:tr>
      <w:tr w14:paraId="24624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19" w:type="pct"/>
            <w:gridSpan w:val="2"/>
            <w:tcBorders>
              <w:top w:val="single" w:color="auto" w:sz="4" w:space="0"/>
              <w:left w:val="single" w:color="auto" w:sz="4" w:space="0"/>
              <w:bottom w:val="single" w:color="auto" w:sz="4" w:space="0"/>
              <w:right w:val="single" w:color="auto" w:sz="4" w:space="0"/>
            </w:tcBorders>
            <w:noWrap w:val="0"/>
            <w:vAlign w:val="center"/>
          </w:tcPr>
          <w:p w14:paraId="1DA11D20">
            <w:pPr>
              <w:widowControl/>
              <w:jc w:val="center"/>
              <w:textAlignment w:val="center"/>
              <w:rPr>
                <w:rFonts w:ascii="宋体" w:hAnsi="宋体"/>
                <w:color w:val="auto"/>
                <w:szCs w:val="21"/>
                <w:highlight w:val="none"/>
              </w:rPr>
            </w:pPr>
            <w:r>
              <w:rPr>
                <w:rFonts w:hint="eastAsia" w:ascii="宋体" w:hAnsi="宋体" w:cs="宋体"/>
                <w:bCs/>
                <w:color w:val="auto"/>
                <w:szCs w:val="21"/>
                <w:highlight w:val="none"/>
              </w:rPr>
              <w:t>合同签订时间</w:t>
            </w:r>
          </w:p>
        </w:tc>
        <w:tc>
          <w:tcPr>
            <w:tcW w:w="4280" w:type="pct"/>
            <w:tcBorders>
              <w:top w:val="single" w:color="auto" w:sz="4" w:space="0"/>
              <w:left w:val="single" w:color="auto" w:sz="4" w:space="0"/>
              <w:bottom w:val="single" w:color="auto" w:sz="4" w:space="0"/>
              <w:right w:val="single" w:color="auto" w:sz="4" w:space="0"/>
            </w:tcBorders>
            <w:noWrap w:val="0"/>
            <w:vAlign w:val="center"/>
          </w:tcPr>
          <w:p w14:paraId="2DCD8BF8">
            <w:pPr>
              <w:jc w:val="left"/>
              <w:rPr>
                <w:rFonts w:ascii="宋体" w:hAnsi="宋体"/>
                <w:color w:val="auto"/>
                <w:szCs w:val="21"/>
                <w:highlight w:val="none"/>
              </w:rPr>
            </w:pPr>
            <w:r>
              <w:rPr>
                <w:rFonts w:hint="eastAsia" w:ascii="宋体" w:hAnsi="宋体" w:cs="宋体"/>
                <w:bCs/>
                <w:color w:val="auto"/>
                <w:szCs w:val="21"/>
                <w:highlight w:val="none"/>
              </w:rPr>
              <w:t>自成交通知书发出之日起</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rPr>
              <w:t>日内。</w:t>
            </w:r>
          </w:p>
        </w:tc>
      </w:tr>
      <w:tr w14:paraId="75B18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19" w:type="pct"/>
            <w:gridSpan w:val="2"/>
            <w:tcBorders>
              <w:top w:val="single" w:color="auto" w:sz="4" w:space="0"/>
              <w:left w:val="single" w:color="auto" w:sz="4" w:space="0"/>
              <w:bottom w:val="single" w:color="auto" w:sz="4" w:space="0"/>
              <w:right w:val="single" w:color="auto" w:sz="4" w:space="0"/>
            </w:tcBorders>
            <w:noWrap w:val="0"/>
            <w:vAlign w:val="center"/>
          </w:tcPr>
          <w:p w14:paraId="559A3223">
            <w:pPr>
              <w:widowControl/>
              <w:jc w:val="center"/>
              <w:textAlignment w:val="center"/>
              <w:rPr>
                <w:rFonts w:hint="eastAsia" w:ascii="宋体" w:hAnsi="宋体"/>
                <w:color w:val="auto"/>
                <w:szCs w:val="21"/>
                <w:highlight w:val="none"/>
              </w:rPr>
            </w:pPr>
            <w:r>
              <w:rPr>
                <w:rFonts w:hint="eastAsia" w:ascii="宋体" w:hAnsi="宋体" w:cs="宋体"/>
                <w:bCs/>
                <w:color w:val="auto"/>
                <w:szCs w:val="21"/>
                <w:highlight w:val="none"/>
              </w:rPr>
              <w:t>质保期</w:t>
            </w:r>
          </w:p>
        </w:tc>
        <w:tc>
          <w:tcPr>
            <w:tcW w:w="4280" w:type="pct"/>
            <w:tcBorders>
              <w:top w:val="single" w:color="auto" w:sz="4" w:space="0"/>
              <w:left w:val="single" w:color="auto" w:sz="4" w:space="0"/>
              <w:bottom w:val="single" w:color="auto" w:sz="4" w:space="0"/>
              <w:right w:val="single" w:color="auto" w:sz="4" w:space="0"/>
            </w:tcBorders>
            <w:noWrap w:val="0"/>
            <w:vAlign w:val="center"/>
          </w:tcPr>
          <w:p w14:paraId="23405AFD">
            <w:pPr>
              <w:spacing w:line="360" w:lineRule="auto"/>
              <w:jc w:val="left"/>
              <w:rPr>
                <w:rFonts w:hint="eastAsia" w:ascii="宋体" w:hAnsi="宋体"/>
                <w:color w:val="auto"/>
                <w:kern w:val="0"/>
                <w:szCs w:val="21"/>
                <w:highlight w:val="none"/>
              </w:rPr>
            </w:pPr>
            <w:r>
              <w:rPr>
                <w:rFonts w:hint="eastAsia" w:ascii="宋体" w:hAnsi="宋体" w:cs="宋体"/>
                <w:bCs/>
                <w:color w:val="auto"/>
                <w:szCs w:val="21"/>
                <w:highlight w:val="none"/>
              </w:rPr>
              <w:t>自交货验收合格之日起</w:t>
            </w:r>
            <w:r>
              <w:rPr>
                <w:rFonts w:hint="eastAsia" w:ascii="宋体" w:hAnsi="宋体" w:cs="宋体"/>
                <w:bCs/>
                <w:color w:val="C00000"/>
                <w:szCs w:val="21"/>
                <w:highlight w:val="none"/>
                <w:lang w:val="en-US" w:eastAsia="zh-CN"/>
              </w:rPr>
              <w:t>不少于3年质保</w:t>
            </w:r>
            <w:r>
              <w:rPr>
                <w:rFonts w:hint="eastAsia" w:ascii="宋体" w:hAnsi="宋体" w:cs="宋体"/>
                <w:bCs/>
                <w:color w:val="auto"/>
                <w:szCs w:val="21"/>
                <w:highlight w:val="none"/>
              </w:rPr>
              <w:t>，质保期内定期对设备进行保养和维护（负责维修或更换配件），保修期内出现故障，需派出技术工程师到达现场处理故障，并承担一切费用。</w:t>
            </w:r>
          </w:p>
        </w:tc>
      </w:tr>
      <w:tr w14:paraId="470E6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19" w:type="pct"/>
            <w:gridSpan w:val="2"/>
            <w:tcBorders>
              <w:top w:val="single" w:color="auto" w:sz="4" w:space="0"/>
              <w:left w:val="single" w:color="auto" w:sz="4" w:space="0"/>
              <w:bottom w:val="single" w:color="auto" w:sz="4" w:space="0"/>
              <w:right w:val="single" w:color="auto" w:sz="4" w:space="0"/>
            </w:tcBorders>
            <w:noWrap w:val="0"/>
            <w:vAlign w:val="center"/>
          </w:tcPr>
          <w:p w14:paraId="7CC76B42">
            <w:pPr>
              <w:widowControl/>
              <w:jc w:val="center"/>
              <w:textAlignment w:val="center"/>
              <w:rPr>
                <w:rFonts w:ascii="宋体" w:hAnsi="宋体"/>
                <w:color w:val="auto"/>
                <w:szCs w:val="21"/>
                <w:highlight w:val="none"/>
              </w:rPr>
            </w:pPr>
            <w:r>
              <w:rPr>
                <w:rFonts w:hint="eastAsia" w:ascii="宋体" w:hAnsi="宋体" w:cs="宋体"/>
                <w:bCs/>
                <w:color w:val="auto"/>
                <w:szCs w:val="21"/>
                <w:highlight w:val="none"/>
              </w:rPr>
              <w:t>售后服务及要求</w:t>
            </w:r>
          </w:p>
        </w:tc>
        <w:tc>
          <w:tcPr>
            <w:tcW w:w="4280" w:type="pct"/>
            <w:tcBorders>
              <w:top w:val="single" w:color="auto" w:sz="4" w:space="0"/>
              <w:left w:val="single" w:color="auto" w:sz="4" w:space="0"/>
              <w:bottom w:val="single" w:color="auto" w:sz="4" w:space="0"/>
              <w:right w:val="single" w:color="auto" w:sz="4" w:space="0"/>
            </w:tcBorders>
            <w:noWrap w:val="0"/>
            <w:vAlign w:val="center"/>
          </w:tcPr>
          <w:p w14:paraId="47DD37BF">
            <w:pPr>
              <w:spacing w:line="360" w:lineRule="auto"/>
              <w:jc w:val="left"/>
              <w:rPr>
                <w:rFonts w:hint="eastAsia" w:ascii="宋体" w:hAnsi="宋体" w:eastAsiaTheme="minorEastAsia"/>
                <w:color w:val="auto"/>
                <w:kern w:val="0"/>
                <w:szCs w:val="21"/>
                <w:highlight w:val="none"/>
                <w:lang w:eastAsia="zh-CN"/>
              </w:rPr>
            </w:pPr>
            <w:r>
              <w:rPr>
                <w:rFonts w:hint="eastAsia" w:ascii="宋体" w:hAnsi="宋体" w:cs="宋体"/>
                <w:color w:val="auto"/>
                <w:szCs w:val="21"/>
                <w:highlight w:val="none"/>
              </w:rPr>
              <w:t>⑴按厂家承诺实行“三包”；⑵负责送货上门、安装调试合格；⑶接到故障通知后2小时内响应，一般问题在2小时内通过远程方式解决，遇到大的问题24小时内派技术人员到达现场维修，48小时维修完毕；⑷每年至少一次定期回访、维修；⑸其余按厂家承诺进行；（6）</w:t>
            </w:r>
            <w:r>
              <w:rPr>
                <w:rFonts w:hint="eastAsia" w:asciiTheme="minorEastAsia" w:hAnsiTheme="minorEastAsia"/>
                <w:color w:val="auto"/>
                <w:szCs w:val="21"/>
                <w:highlight w:val="none"/>
              </w:rPr>
              <w:t>中标人必须按照国家相关法律法规和“三包”规定及厂家售后服务提供售后服务</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保修期满后乙方负责终身维护，提供优惠价格的零配件，只收配件成本费，不收维修费</w:t>
            </w:r>
            <w:r>
              <w:rPr>
                <w:rFonts w:hint="eastAsia" w:ascii="宋体" w:hAnsi="宋体" w:cs="宋体"/>
                <w:color w:val="auto"/>
                <w:szCs w:val="21"/>
                <w:highlight w:val="none"/>
                <w:lang w:eastAsia="zh-CN"/>
              </w:rPr>
              <w:t>。</w:t>
            </w:r>
          </w:p>
        </w:tc>
      </w:tr>
      <w:tr w14:paraId="099F0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19" w:type="pct"/>
            <w:gridSpan w:val="2"/>
            <w:tcBorders>
              <w:top w:val="single" w:color="auto" w:sz="4" w:space="0"/>
              <w:left w:val="single" w:color="auto" w:sz="4" w:space="0"/>
              <w:bottom w:val="single" w:color="auto" w:sz="4" w:space="0"/>
              <w:right w:val="single" w:color="auto" w:sz="4" w:space="0"/>
            </w:tcBorders>
            <w:noWrap w:val="0"/>
            <w:vAlign w:val="center"/>
          </w:tcPr>
          <w:p w14:paraId="672D4D90">
            <w:pPr>
              <w:widowControl/>
              <w:jc w:val="center"/>
              <w:textAlignment w:val="center"/>
              <w:rPr>
                <w:rFonts w:hint="eastAsia" w:ascii="宋体" w:hAnsi="宋体" w:cs="宋体"/>
                <w:bCs/>
                <w:color w:val="auto"/>
                <w:szCs w:val="21"/>
                <w:highlight w:val="none"/>
              </w:rPr>
            </w:pPr>
            <w:r>
              <w:rPr>
                <w:rFonts w:hint="eastAsia" w:ascii="宋体" w:hAnsi="宋体" w:cs="宋体"/>
                <w:bCs/>
                <w:color w:val="auto"/>
                <w:szCs w:val="21"/>
                <w:highlight w:val="none"/>
              </w:rPr>
              <w:t>验收标准、规范</w:t>
            </w:r>
          </w:p>
        </w:tc>
        <w:tc>
          <w:tcPr>
            <w:tcW w:w="4280" w:type="pct"/>
            <w:tcBorders>
              <w:top w:val="single" w:color="auto" w:sz="4" w:space="0"/>
              <w:left w:val="single" w:color="auto" w:sz="4" w:space="0"/>
              <w:bottom w:val="single" w:color="auto" w:sz="4" w:space="0"/>
              <w:right w:val="single" w:color="auto" w:sz="4" w:space="0"/>
            </w:tcBorders>
            <w:noWrap w:val="0"/>
            <w:vAlign w:val="center"/>
          </w:tcPr>
          <w:p w14:paraId="038E847C">
            <w:pPr>
              <w:spacing w:line="360" w:lineRule="auto"/>
              <w:jc w:val="left"/>
              <w:rPr>
                <w:rFonts w:hint="eastAsia" w:ascii="宋体" w:hAnsi="宋体" w:cs="宋体"/>
                <w:color w:val="auto"/>
                <w:szCs w:val="21"/>
                <w:highlight w:val="none"/>
              </w:rPr>
            </w:pPr>
            <w:r>
              <w:rPr>
                <w:rFonts w:hint="eastAsia" w:ascii="宋体" w:hAnsi="宋体" w:cs="宋体"/>
                <w:bCs/>
                <w:color w:val="auto"/>
                <w:szCs w:val="21"/>
                <w:highlight w:val="none"/>
              </w:rPr>
              <w:t>符合现行国家相关标准、行业标准、地方标准或者其他标准、规范</w:t>
            </w:r>
          </w:p>
        </w:tc>
      </w:tr>
      <w:tr w14:paraId="61352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719" w:type="pct"/>
            <w:gridSpan w:val="2"/>
            <w:tcBorders>
              <w:top w:val="single" w:color="auto" w:sz="4" w:space="0"/>
              <w:left w:val="single" w:color="auto" w:sz="4" w:space="0"/>
              <w:bottom w:val="single" w:color="auto" w:sz="4" w:space="0"/>
              <w:right w:val="single" w:color="auto" w:sz="4" w:space="0"/>
            </w:tcBorders>
            <w:noWrap w:val="0"/>
            <w:vAlign w:val="center"/>
          </w:tcPr>
          <w:p w14:paraId="27B03C26">
            <w:pPr>
              <w:widowControl/>
              <w:jc w:val="center"/>
              <w:textAlignment w:val="center"/>
              <w:rPr>
                <w:rFonts w:hint="eastAsia" w:ascii="宋体" w:hAnsi="宋体" w:cs="宋体"/>
                <w:bCs/>
                <w:color w:val="auto"/>
                <w:szCs w:val="21"/>
                <w:highlight w:val="none"/>
              </w:rPr>
            </w:pPr>
            <w:r>
              <w:rPr>
                <w:rFonts w:hint="eastAsia" w:ascii="宋体" w:hAnsi="宋体" w:cs="宋体"/>
                <w:color w:val="auto"/>
                <w:szCs w:val="21"/>
                <w:highlight w:val="none"/>
              </w:rPr>
              <w:t>付款方式</w:t>
            </w:r>
          </w:p>
        </w:tc>
        <w:tc>
          <w:tcPr>
            <w:tcW w:w="4280" w:type="pct"/>
            <w:tcBorders>
              <w:top w:val="single" w:color="auto" w:sz="4" w:space="0"/>
              <w:left w:val="single" w:color="auto" w:sz="4" w:space="0"/>
              <w:bottom w:val="single" w:color="auto" w:sz="4" w:space="0"/>
              <w:right w:val="single" w:color="auto" w:sz="4" w:space="0"/>
            </w:tcBorders>
            <w:noWrap w:val="0"/>
            <w:vAlign w:val="top"/>
          </w:tcPr>
          <w:p w14:paraId="0F930F7A">
            <w:pPr>
              <w:spacing w:line="360" w:lineRule="auto"/>
              <w:jc w:val="left"/>
              <w:rPr>
                <w:rFonts w:hint="eastAsia" w:ascii="宋体" w:hAnsi="宋体" w:cs="宋体"/>
                <w:color w:val="auto"/>
                <w:szCs w:val="21"/>
                <w:highlight w:val="none"/>
              </w:rPr>
            </w:pPr>
            <w:r>
              <w:rPr>
                <w:rFonts w:hint="eastAsia" w:ascii="宋体" w:hAnsi="宋体" w:cs="宋体"/>
                <w:color w:val="C00000"/>
                <w:szCs w:val="21"/>
                <w:highlight w:val="none"/>
                <w:lang w:val="en-US" w:eastAsia="zh-CN"/>
              </w:rPr>
              <w:t>交货验收合格，且收到全额发票后4个月内支付95%合同款，质保期满后经核验无质量问题支付剩余5%合同款（无息）。付款前成交人未开具发票的，采购人有权不进行支付</w:t>
            </w:r>
            <w:r>
              <w:rPr>
                <w:rFonts w:hint="eastAsia" w:ascii="宋体" w:hAnsi="宋体" w:cs="宋体"/>
                <w:color w:val="auto"/>
                <w:szCs w:val="21"/>
                <w:highlight w:val="none"/>
                <w:lang w:val="en-US" w:eastAsia="zh-CN"/>
              </w:rPr>
              <w:t>。</w:t>
            </w:r>
          </w:p>
        </w:tc>
      </w:tr>
      <w:tr w14:paraId="6ADBF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19" w:type="pct"/>
            <w:gridSpan w:val="2"/>
            <w:tcBorders>
              <w:top w:val="single" w:color="auto" w:sz="4" w:space="0"/>
              <w:left w:val="single" w:color="auto" w:sz="4" w:space="0"/>
              <w:bottom w:val="single" w:color="auto" w:sz="4" w:space="0"/>
              <w:right w:val="single" w:color="auto" w:sz="4" w:space="0"/>
            </w:tcBorders>
            <w:noWrap w:val="0"/>
            <w:vAlign w:val="center"/>
          </w:tcPr>
          <w:p w14:paraId="1626F6CC">
            <w:pPr>
              <w:widowControl/>
              <w:jc w:val="center"/>
              <w:textAlignment w:val="center"/>
              <w:rPr>
                <w:rFonts w:hint="eastAsia" w:ascii="宋体" w:hAnsi="宋体" w:cs="宋体"/>
                <w:bCs/>
                <w:color w:val="auto"/>
                <w:szCs w:val="21"/>
                <w:highlight w:val="none"/>
              </w:rPr>
            </w:pPr>
            <w:r>
              <w:rPr>
                <w:rFonts w:hint="eastAsia" w:ascii="宋体" w:hAnsi="宋体" w:cs="宋体"/>
                <w:color w:val="auto"/>
                <w:szCs w:val="21"/>
                <w:highlight w:val="none"/>
              </w:rPr>
              <w:t>其他要求</w:t>
            </w:r>
          </w:p>
        </w:tc>
        <w:tc>
          <w:tcPr>
            <w:tcW w:w="4280" w:type="pct"/>
            <w:tcBorders>
              <w:top w:val="single" w:color="auto" w:sz="4" w:space="0"/>
              <w:left w:val="single" w:color="auto" w:sz="4" w:space="0"/>
              <w:bottom w:val="single" w:color="auto" w:sz="4" w:space="0"/>
              <w:right w:val="single" w:color="auto" w:sz="4" w:space="0"/>
            </w:tcBorders>
            <w:noWrap w:val="0"/>
            <w:vAlign w:val="top"/>
          </w:tcPr>
          <w:p w14:paraId="505F3BE4">
            <w:pPr>
              <w:spacing w:line="360" w:lineRule="auto"/>
              <w:jc w:val="left"/>
              <w:rPr>
                <w:color w:val="auto"/>
                <w:highlight w:val="none"/>
              </w:rPr>
            </w:pPr>
            <w:r>
              <w:rPr>
                <w:rFonts w:hint="eastAsia"/>
                <w:color w:val="auto"/>
                <w:highlight w:val="none"/>
              </w:rPr>
              <w:t>1、竞标报价必须包括设备的所有费用，包括设备采购、运输、劳务、管理、利润、税金、保险、协调、安装、调试、培训、含</w:t>
            </w:r>
            <w:r>
              <w:rPr>
                <w:rFonts w:hint="eastAsia"/>
                <w:color w:val="auto"/>
                <w:highlight w:val="none"/>
                <w:lang w:val="en-US" w:eastAsia="zh-CN"/>
              </w:rPr>
              <w:t>连接医院信息系统</w:t>
            </w:r>
            <w:r>
              <w:rPr>
                <w:rFonts w:hint="eastAsia"/>
                <w:color w:val="auto"/>
                <w:highlight w:val="none"/>
              </w:rPr>
              <w:t>以及所有的不定因素的风险等所有成本费用的总和。</w:t>
            </w:r>
          </w:p>
          <w:p w14:paraId="7DB193CC">
            <w:pPr>
              <w:spacing w:line="360" w:lineRule="auto"/>
              <w:jc w:val="left"/>
              <w:rPr>
                <w:color w:val="auto"/>
                <w:highlight w:val="none"/>
              </w:rPr>
            </w:pPr>
            <w:r>
              <w:rPr>
                <w:color w:val="auto"/>
                <w:highlight w:val="none"/>
              </w:rPr>
              <w:t>2</w:t>
            </w:r>
            <w:r>
              <w:rPr>
                <w:rFonts w:hint="eastAsia"/>
                <w:color w:val="auto"/>
                <w:highlight w:val="none"/>
              </w:rPr>
              <w:t>、竞标时应在响应文件中提供售后服务承诺书：明确保修期、故障响应时间、培训时间、售后服务技术人员名单和联系方式、不定期走访用户、保修期限外零配件若损坏，提供零配件优惠服务方案等。</w:t>
            </w:r>
          </w:p>
          <w:p w14:paraId="4F8129D8">
            <w:pPr>
              <w:spacing w:line="360" w:lineRule="auto"/>
              <w:jc w:val="left"/>
              <w:rPr>
                <w:color w:val="auto"/>
                <w:highlight w:val="none"/>
              </w:rPr>
            </w:pPr>
            <w:r>
              <w:rPr>
                <w:color w:val="auto"/>
                <w:highlight w:val="none"/>
              </w:rPr>
              <w:t>3</w:t>
            </w:r>
            <w:r>
              <w:rPr>
                <w:rFonts w:hint="eastAsia"/>
                <w:color w:val="auto"/>
                <w:highlight w:val="none"/>
              </w:rPr>
              <w:t>、供应商在设备验收合格后免费对采购人的使用人员进行操作及相关知识的培训，并确保有</w:t>
            </w:r>
            <w:r>
              <w:rPr>
                <w:rFonts w:hint="eastAsia"/>
                <w:color w:val="auto"/>
                <w:highlight w:val="none"/>
                <w:lang w:val="en-US" w:eastAsia="zh-CN"/>
              </w:rPr>
              <w:t>2名以上使用人员</w:t>
            </w:r>
            <w:r>
              <w:rPr>
                <w:rFonts w:hint="eastAsia"/>
                <w:color w:val="auto"/>
                <w:highlight w:val="none"/>
              </w:rPr>
              <w:t>能熟练使用设备，并能排除简单的软硬件故障。</w:t>
            </w:r>
          </w:p>
          <w:p w14:paraId="3C94DE03">
            <w:pPr>
              <w:spacing w:line="360" w:lineRule="auto"/>
              <w:jc w:val="left"/>
              <w:rPr>
                <w:color w:val="auto"/>
                <w:highlight w:val="none"/>
              </w:rPr>
            </w:pPr>
            <w:r>
              <w:rPr>
                <w:color w:val="auto"/>
                <w:highlight w:val="none"/>
              </w:rPr>
              <w:t>4</w:t>
            </w:r>
            <w:r>
              <w:rPr>
                <w:rFonts w:hint="eastAsia"/>
                <w:color w:val="auto"/>
                <w:highlight w:val="none"/>
              </w:rPr>
              <w:t>、设备必须是全新、完整、未使用过的产品；设备到货后，供货商和采购人应在现场进行清点；清点过程中如果发现因包装或运输不当引起的仪器外观或内部的损坏，供货商应负责更换；若发现错发/漏发情况，供货商应负责更换和补发。</w:t>
            </w:r>
          </w:p>
          <w:p w14:paraId="70F77476">
            <w:pPr>
              <w:spacing w:line="360" w:lineRule="auto"/>
              <w:jc w:val="left"/>
              <w:rPr>
                <w:color w:val="auto"/>
                <w:highlight w:val="none"/>
              </w:rPr>
            </w:pPr>
            <w:r>
              <w:rPr>
                <w:color w:val="auto"/>
                <w:highlight w:val="none"/>
              </w:rPr>
              <w:t>5</w:t>
            </w:r>
            <w:r>
              <w:rPr>
                <w:rFonts w:hint="eastAsia"/>
                <w:color w:val="auto"/>
                <w:highlight w:val="none"/>
              </w:rPr>
              <w:t>、安装标准及验收标准：符合我国国家有关技术规范和技术标准；设备安装后，采购人按国际和国家标准及厂方标准进行质量验收。</w:t>
            </w:r>
          </w:p>
          <w:p w14:paraId="0A49AD59">
            <w:pPr>
              <w:widowControl/>
              <w:spacing w:line="360" w:lineRule="auto"/>
              <w:rPr>
                <w:rFonts w:hint="eastAsia" w:eastAsiaTheme="minorEastAsia"/>
                <w:b/>
                <w:bCs/>
                <w:color w:val="C00000"/>
                <w:highlight w:val="none"/>
                <w:lang w:eastAsia="zh-CN"/>
              </w:rPr>
            </w:pPr>
            <w:r>
              <w:rPr>
                <w:rFonts w:hint="eastAsia"/>
                <w:b/>
                <w:bCs/>
                <w:color w:val="C00000"/>
                <w:highlight w:val="none"/>
              </w:rPr>
              <w:t>（1）交货时，需提供中标产品国家权威机构的检测报告。（如检测报告的型号与中标产品型号不一致的，需提相关证明材料，否则将视为无效）</w:t>
            </w:r>
          </w:p>
          <w:p w14:paraId="5F996FCA">
            <w:pPr>
              <w:widowControl/>
              <w:spacing w:line="360" w:lineRule="auto"/>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采购人对成交供应商提交的货物依据采购文件上的技术规格要求和国家有关质量标准进行现场签收，外观、说明书、及软件各项功能符合采购文件技术要求的，给予签收，不合格的不予签收。</w:t>
            </w:r>
          </w:p>
          <w:p w14:paraId="334A97C1">
            <w:pPr>
              <w:widowControl/>
              <w:spacing w:line="360" w:lineRule="auto"/>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成交供应商交货前应对产品作出全面检查和对验收文件进行整理，并列出清单，作为采购人收货验收和使用的技术条件依据，检验的结果应随货物交甲方。成交供应商不能完整交付货物及本款规定的单证和工具的，必须负责补齐，否则视为未按合同约定交货。</w:t>
            </w:r>
          </w:p>
          <w:p w14:paraId="54DB05D9">
            <w:pPr>
              <w:widowControl/>
              <w:spacing w:line="360" w:lineRule="auto"/>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）成交供应商需负责安装、调试（测试），并培训采购人的使用操作人员，直到设备、软件运行符合技术要求，采购人方可验收。</w:t>
            </w:r>
          </w:p>
          <w:p w14:paraId="15BD3D90">
            <w:pPr>
              <w:widowControl/>
              <w:spacing w:line="360" w:lineRule="auto"/>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）采购人组织验收，成交供应商必须到场配合，验收合格后双方签署验收合格凭证。</w:t>
            </w:r>
          </w:p>
          <w:p w14:paraId="4E211C46">
            <w:pPr>
              <w:widowControl/>
              <w:spacing w:line="360" w:lineRule="auto"/>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3B05FFF3">
            <w:pPr>
              <w:spacing w:line="360"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）验收产生的费用成交供应商负责。</w:t>
            </w:r>
          </w:p>
          <w:p w14:paraId="3515A123">
            <w:pPr>
              <w:spacing w:line="360" w:lineRule="auto"/>
              <w:rPr>
                <w:rFonts w:asciiTheme="minorEastAsia" w:hAnsiTheme="minorEastAsia"/>
                <w:color w:val="auto"/>
                <w:szCs w:val="21"/>
                <w:highlight w:val="none"/>
              </w:rPr>
            </w:pPr>
            <w:r>
              <w:rPr>
                <w:rFonts w:hint="eastAsia" w:ascii="宋体" w:hAnsi="宋体" w:cs="宋体"/>
                <w:color w:val="auto"/>
                <w:szCs w:val="21"/>
                <w:highlight w:val="none"/>
                <w:lang w:val="en-US" w:eastAsia="zh-CN"/>
              </w:rPr>
              <w:t>6、</w:t>
            </w:r>
            <w:r>
              <w:rPr>
                <w:rFonts w:hint="eastAsia" w:asciiTheme="minorEastAsia" w:hAnsiTheme="minorEastAsia"/>
                <w:color w:val="auto"/>
                <w:szCs w:val="21"/>
                <w:highlight w:val="none"/>
              </w:rPr>
              <w:t>交付使用期：自签订合同之日起</w:t>
            </w:r>
            <w:r>
              <w:rPr>
                <w:rFonts w:hint="eastAsia" w:asciiTheme="minorEastAsia" w:hAnsiTheme="minorEastAsia"/>
                <w:color w:val="auto"/>
                <w:szCs w:val="21"/>
                <w:highlight w:val="none"/>
                <w:lang w:val="en-US" w:eastAsia="zh-CN"/>
              </w:rPr>
              <w:t>一个月</w:t>
            </w:r>
            <w:r>
              <w:rPr>
                <w:rFonts w:hint="eastAsia" w:asciiTheme="minorEastAsia" w:hAnsiTheme="minorEastAsia"/>
                <w:color w:val="auto"/>
                <w:szCs w:val="21"/>
                <w:highlight w:val="none"/>
              </w:rPr>
              <w:t>内交货并验收完毕。</w:t>
            </w:r>
          </w:p>
          <w:p w14:paraId="6651B4E2">
            <w:pPr>
              <w:spacing w:line="360" w:lineRule="auto"/>
              <w:rPr>
                <w:rFonts w:hint="eastAsia" w:asciiTheme="minorEastAsia" w:hAnsiTheme="minorEastAsia"/>
                <w:color w:val="auto"/>
                <w:szCs w:val="21"/>
                <w:highlight w:val="none"/>
              </w:rPr>
            </w:pPr>
            <w:r>
              <w:rPr>
                <w:rFonts w:hint="eastAsia" w:asciiTheme="minorEastAsia" w:hAnsiTheme="minorEastAsia"/>
                <w:color w:val="auto"/>
                <w:szCs w:val="21"/>
                <w:highlight w:val="none"/>
                <w:lang w:val="en-US" w:eastAsia="zh-CN"/>
              </w:rPr>
              <w:t>7</w:t>
            </w:r>
            <w:r>
              <w:rPr>
                <w:rFonts w:hint="eastAsia" w:asciiTheme="minorEastAsia" w:hAnsiTheme="minorEastAsia"/>
                <w:color w:val="auto"/>
                <w:szCs w:val="21"/>
                <w:highlight w:val="none"/>
              </w:rPr>
              <w:t>、交货安装地点：广西壮族自治区江滨医院指定地点。</w:t>
            </w:r>
          </w:p>
          <w:p w14:paraId="3C485FD9">
            <w:pPr>
              <w:pStyle w:val="24"/>
              <w:spacing w:line="360" w:lineRule="auto"/>
              <w:rPr>
                <w:rFonts w:hint="eastAsia" w:asciiTheme="minorEastAsia" w:hAnsiTheme="minorEastAsia" w:eastAsiaTheme="minorEastAsia" w:cstheme="minorBidi"/>
                <w:b/>
                <w:bCs/>
                <w:color w:val="auto"/>
                <w:spacing w:val="0"/>
                <w:kern w:val="2"/>
                <w:sz w:val="21"/>
                <w:szCs w:val="21"/>
                <w:highlight w:val="none"/>
                <w:lang w:val="en-US" w:eastAsia="zh-CN" w:bidi="ar-SA"/>
              </w:rPr>
            </w:pPr>
            <w:r>
              <w:rPr>
                <w:rFonts w:hint="eastAsia" w:asciiTheme="minorEastAsia" w:hAnsiTheme="minorEastAsia" w:eastAsiaTheme="minorEastAsia" w:cstheme="minorBidi"/>
                <w:bCs w:val="0"/>
                <w:color w:val="auto"/>
                <w:spacing w:val="0"/>
                <w:kern w:val="2"/>
                <w:sz w:val="21"/>
                <w:szCs w:val="21"/>
                <w:highlight w:val="none"/>
                <w:lang w:val="en-US" w:eastAsia="zh-CN" w:bidi="ar-SA"/>
              </w:rPr>
              <w:t>8、</w:t>
            </w:r>
            <w:r>
              <w:rPr>
                <w:rFonts w:hint="eastAsia" w:asciiTheme="minorEastAsia" w:hAnsiTheme="minorEastAsia" w:eastAsiaTheme="minorEastAsia" w:cstheme="minorBidi"/>
                <w:b/>
                <w:bCs/>
                <w:color w:val="auto"/>
                <w:spacing w:val="0"/>
                <w:kern w:val="2"/>
                <w:sz w:val="21"/>
                <w:szCs w:val="21"/>
                <w:highlight w:val="none"/>
                <w:lang w:val="en-US" w:eastAsia="zh-CN" w:bidi="ar-SA"/>
              </w:rPr>
              <w:t>必须提供产品供货证明文件，产品彩页参数（必须提供，且必须如实响应技术参数，如发现有虚假应标或成交后交付验收时不符合参数要求的，作竞标无效处理，根据《广西壮族自治区江滨医院失信供应商管理制度（试行）》将被列入医院失信行为“黑名单”，取消中标资格，三年内禁止参加医院所有自行采购活动，并立即终止当前及以后与医院的购销业务）。响应文件中提供投标产品对外公开的产品彩页或说明书（体现技术参数，可以是从生产厂家网页下载的PDF或HTM文件），以供评标时核对。当响应文件提供的仪器性能参数与该仪器生产商提供的性能参数不符合时，以后者为准。</w:t>
            </w:r>
          </w:p>
          <w:p w14:paraId="290E6CAE">
            <w:pPr>
              <w:pStyle w:val="24"/>
              <w:spacing w:line="360" w:lineRule="auto"/>
              <w:rPr>
                <w:rFonts w:hint="eastAsia" w:asciiTheme="minorEastAsia" w:hAnsiTheme="minorEastAsia" w:eastAsiaTheme="minorEastAsia" w:cstheme="minorBidi"/>
                <w:bCs w:val="0"/>
                <w:color w:val="auto"/>
                <w:spacing w:val="0"/>
                <w:kern w:val="2"/>
                <w:sz w:val="21"/>
                <w:szCs w:val="21"/>
                <w:highlight w:val="none"/>
                <w:lang w:val="en-US" w:eastAsia="zh-CN" w:bidi="ar-SA"/>
              </w:rPr>
            </w:pPr>
            <w:r>
              <w:rPr>
                <w:rFonts w:hint="eastAsia" w:asciiTheme="minorEastAsia" w:hAnsiTheme="minorEastAsia" w:eastAsiaTheme="minorEastAsia" w:cstheme="minorBidi"/>
                <w:bCs w:val="0"/>
                <w:color w:val="auto"/>
                <w:spacing w:val="0"/>
                <w:kern w:val="2"/>
                <w:sz w:val="21"/>
                <w:szCs w:val="21"/>
                <w:highlight w:val="none"/>
                <w:lang w:val="en-US" w:eastAsia="zh-CN" w:bidi="ar-SA"/>
              </w:rPr>
              <w:t>9、成交人在供货时必须提供所竞标产品生产厂家出具的授权书，原件备查。</w:t>
            </w:r>
          </w:p>
          <w:p w14:paraId="1A5AD873">
            <w:pPr>
              <w:pStyle w:val="24"/>
              <w:spacing w:line="360" w:lineRule="auto"/>
              <w:rPr>
                <w:rFonts w:hint="eastAsia" w:eastAsiaTheme="minorEastAsia"/>
                <w:color w:val="auto"/>
                <w:highlight w:val="none"/>
                <w:lang w:val="en-US" w:eastAsia="zh-CN"/>
              </w:rPr>
            </w:pPr>
            <w:r>
              <w:rPr>
                <w:rFonts w:hint="eastAsia" w:asciiTheme="minorEastAsia" w:hAnsiTheme="minorEastAsia" w:eastAsiaTheme="minorEastAsia" w:cstheme="minorBidi"/>
                <w:bCs w:val="0"/>
                <w:color w:val="auto"/>
                <w:spacing w:val="0"/>
                <w:kern w:val="2"/>
                <w:sz w:val="21"/>
                <w:szCs w:val="21"/>
                <w:highlight w:val="none"/>
                <w:lang w:val="en-US" w:eastAsia="zh-CN" w:bidi="ar-SA"/>
              </w:rPr>
              <w:t>10、竞标产品如为二、三类医疗器械的，响应文件提供竞标产品的医疗器械注册证复印件</w:t>
            </w:r>
            <w:r>
              <w:rPr>
                <w:rFonts w:hint="eastAsia" w:asciiTheme="minorEastAsia" w:hAnsiTheme="minorEastAsia" w:cstheme="minorBidi"/>
                <w:bCs w:val="0"/>
                <w:color w:val="auto"/>
                <w:spacing w:val="0"/>
                <w:kern w:val="2"/>
                <w:sz w:val="21"/>
                <w:szCs w:val="21"/>
                <w:highlight w:val="none"/>
                <w:lang w:val="en-US" w:eastAsia="zh-CN" w:bidi="ar-SA"/>
              </w:rPr>
              <w:t>。</w:t>
            </w:r>
          </w:p>
        </w:tc>
      </w:tr>
    </w:tbl>
    <w:p w14:paraId="29E8A3C1">
      <w:pPr>
        <w:rPr>
          <w:rFonts w:hint="eastAsia"/>
        </w:rPr>
      </w:pPr>
      <w:bookmarkStart w:id="1" w:name="_Toc514693108"/>
    </w:p>
    <w:p w14:paraId="73C84E73">
      <w:pPr>
        <w:rPr>
          <w:rFonts w:hint="eastAsia"/>
        </w:rPr>
      </w:pPr>
    </w:p>
    <w:p w14:paraId="0D6B8DDF">
      <w:pPr>
        <w:rPr>
          <w:rFonts w:hint="eastAsia"/>
        </w:rPr>
      </w:pPr>
    </w:p>
    <w:p w14:paraId="6F0E3500">
      <w:pPr>
        <w:rPr>
          <w:rFonts w:hint="eastAsia"/>
        </w:rPr>
      </w:pPr>
    </w:p>
    <w:p w14:paraId="61ABC3A6">
      <w:pPr>
        <w:rPr>
          <w:rFonts w:hint="eastAsia"/>
        </w:rPr>
      </w:pPr>
    </w:p>
    <w:p w14:paraId="00927BE6">
      <w:pPr>
        <w:rPr>
          <w:rFonts w:hint="eastAsia"/>
        </w:rPr>
      </w:pPr>
    </w:p>
    <w:p w14:paraId="17DC8F26">
      <w:pPr>
        <w:rPr>
          <w:rFonts w:hint="eastAsia"/>
        </w:rPr>
      </w:pPr>
    </w:p>
    <w:p w14:paraId="0B806A64">
      <w:pPr>
        <w:rPr>
          <w:rFonts w:hint="eastAsia"/>
        </w:rPr>
      </w:pPr>
    </w:p>
    <w:p w14:paraId="55E5EF57">
      <w:pPr>
        <w:rPr>
          <w:rFonts w:hint="eastAsia"/>
        </w:rPr>
      </w:pPr>
    </w:p>
    <w:p w14:paraId="2BFE8B85">
      <w:pPr>
        <w:rPr>
          <w:rFonts w:hint="eastAsia"/>
        </w:rPr>
      </w:pPr>
    </w:p>
    <w:p w14:paraId="2E66B512">
      <w:pPr>
        <w:rPr>
          <w:rFonts w:hint="eastAsia"/>
        </w:rPr>
      </w:pPr>
    </w:p>
    <w:p w14:paraId="5F10D743">
      <w:pPr>
        <w:rPr>
          <w:rFonts w:hint="eastAsia"/>
        </w:rPr>
      </w:pPr>
    </w:p>
    <w:p w14:paraId="128C5035">
      <w:pPr>
        <w:rPr>
          <w:rFonts w:hint="eastAsia"/>
        </w:rPr>
      </w:pPr>
    </w:p>
    <w:p w14:paraId="2C280213">
      <w:pPr>
        <w:rPr>
          <w:rFonts w:hint="eastAsia"/>
        </w:rPr>
      </w:pPr>
    </w:p>
    <w:p w14:paraId="5FAB2702">
      <w:pPr>
        <w:rPr>
          <w:rFonts w:hint="eastAsia"/>
        </w:rPr>
      </w:pPr>
    </w:p>
    <w:p w14:paraId="2F793F99">
      <w:pPr>
        <w:pStyle w:val="3"/>
        <w:ind w:firstLine="3213" w:firstLineChars="1000"/>
        <w:jc w:val="both"/>
        <w:rPr>
          <w:color w:val="auto"/>
          <w:highlight w:val="none"/>
        </w:rPr>
      </w:pPr>
      <w:r>
        <w:rPr>
          <w:rFonts w:hint="eastAsia"/>
          <w:color w:val="auto"/>
          <w:highlight w:val="none"/>
        </w:rPr>
        <w:t>第</w:t>
      </w:r>
      <w:r>
        <w:rPr>
          <w:rFonts w:hint="eastAsia"/>
          <w:color w:val="auto"/>
          <w:highlight w:val="none"/>
          <w:lang w:val="en-US" w:eastAsia="zh-CN"/>
        </w:rPr>
        <w:t>三</w:t>
      </w:r>
      <w:r>
        <w:rPr>
          <w:rFonts w:hint="eastAsia"/>
          <w:color w:val="auto"/>
          <w:highlight w:val="none"/>
        </w:rPr>
        <w:t>章响应文件格式</w:t>
      </w:r>
      <w:bookmarkEnd w:id="1"/>
    </w:p>
    <w:p w14:paraId="06893668">
      <w:pPr>
        <w:spacing w:line="240" w:lineRule="atLeast"/>
        <w:jc w:val="both"/>
        <w:rPr>
          <w:rFonts w:ascii="宋体" w:hAnsi="宋体"/>
          <w:b/>
          <w:color w:val="auto"/>
          <w:sz w:val="32"/>
          <w:szCs w:val="32"/>
          <w:highlight w:val="none"/>
        </w:rPr>
      </w:pPr>
    </w:p>
    <w:p w14:paraId="549ECB54">
      <w:pPr>
        <w:spacing w:line="240" w:lineRule="atLeast"/>
        <w:jc w:val="center"/>
        <w:rPr>
          <w:rFonts w:ascii="宋体" w:hAnsi="宋体"/>
          <w:b/>
          <w:color w:val="auto"/>
          <w:sz w:val="32"/>
          <w:szCs w:val="32"/>
          <w:highlight w:val="none"/>
        </w:rPr>
      </w:pPr>
      <w:r>
        <w:rPr>
          <w:rFonts w:hint="eastAsia" w:ascii="Cambria" w:hAnsi="Cambria" w:eastAsiaTheme="minorEastAsia" w:cstheme="minorBidi"/>
          <w:b/>
          <w:bCs/>
          <w:color w:val="auto"/>
          <w:kern w:val="2"/>
          <w:sz w:val="32"/>
          <w:szCs w:val="32"/>
          <w:highlight w:val="none"/>
          <w:lang w:val="en-US" w:eastAsia="zh-CN" w:bidi="ar-SA"/>
        </w:rPr>
        <w:t>竞标文件</w:t>
      </w:r>
      <w:r>
        <w:rPr>
          <w:rFonts w:hint="eastAsia" w:ascii="宋体" w:hAnsi="宋体"/>
          <w:color w:val="auto"/>
          <w:szCs w:val="21"/>
          <w:highlight w:val="none"/>
        </w:rPr>
        <w:t>(封面)</w:t>
      </w:r>
    </w:p>
    <w:p w14:paraId="1C73A148">
      <w:pPr>
        <w:spacing w:line="360" w:lineRule="auto"/>
        <w:jc w:val="center"/>
        <w:rPr>
          <w:rFonts w:ascii="宋体" w:hAnsi="宋体"/>
          <w:color w:val="auto"/>
          <w:szCs w:val="21"/>
          <w:highlight w:val="none"/>
        </w:rPr>
      </w:pPr>
    </w:p>
    <w:p w14:paraId="7E38F064">
      <w:pPr>
        <w:spacing w:line="360" w:lineRule="auto"/>
        <w:jc w:val="center"/>
        <w:rPr>
          <w:rFonts w:ascii="宋体" w:hAnsi="宋体"/>
          <w:color w:val="auto"/>
          <w:szCs w:val="21"/>
          <w:highlight w:val="none"/>
        </w:rPr>
      </w:pPr>
    </w:p>
    <w:p w14:paraId="29B46B2A">
      <w:pPr>
        <w:spacing w:line="360" w:lineRule="auto"/>
        <w:jc w:val="center"/>
        <w:rPr>
          <w:rFonts w:ascii="宋体" w:hAnsi="宋体"/>
          <w:color w:val="auto"/>
          <w:szCs w:val="21"/>
          <w:highlight w:val="none"/>
        </w:rPr>
      </w:pPr>
    </w:p>
    <w:p w14:paraId="05978C58">
      <w:pPr>
        <w:spacing w:line="360" w:lineRule="auto"/>
        <w:jc w:val="both"/>
        <w:rPr>
          <w:rFonts w:ascii="宋体" w:hAnsi="宋体"/>
          <w:color w:val="auto"/>
          <w:szCs w:val="21"/>
          <w:highlight w:val="none"/>
        </w:rPr>
      </w:pPr>
    </w:p>
    <w:p w14:paraId="101CE06F">
      <w:pPr>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采购项目编号：</w:t>
      </w:r>
    </w:p>
    <w:p w14:paraId="65D6D4A5">
      <w:pPr>
        <w:tabs>
          <w:tab w:val="left" w:pos="3240"/>
        </w:tabs>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采购项目名称：</w:t>
      </w:r>
    </w:p>
    <w:p w14:paraId="0EB63C0D">
      <w:pPr>
        <w:spacing w:line="360" w:lineRule="auto"/>
        <w:jc w:val="left"/>
        <w:rPr>
          <w:rFonts w:ascii="宋体" w:hAnsi="宋体"/>
          <w:color w:val="auto"/>
          <w:szCs w:val="21"/>
          <w:highlight w:val="none"/>
        </w:rPr>
      </w:pPr>
      <w:r>
        <w:rPr>
          <w:rFonts w:hint="eastAsia" w:ascii="宋体" w:hAnsi="宋体"/>
          <w:color w:val="auto"/>
          <w:szCs w:val="21"/>
          <w:highlight w:val="none"/>
        </w:rPr>
        <w:t>分标（如有）：</w:t>
      </w:r>
    </w:p>
    <w:p w14:paraId="161AEFBE">
      <w:pPr>
        <w:spacing w:line="360" w:lineRule="auto"/>
        <w:jc w:val="center"/>
        <w:rPr>
          <w:rFonts w:ascii="宋体" w:hAnsi="宋体"/>
          <w:color w:val="auto"/>
          <w:szCs w:val="21"/>
          <w:highlight w:val="none"/>
        </w:rPr>
      </w:pPr>
      <w:r>
        <w:rPr>
          <w:rFonts w:hint="eastAsia" w:ascii="宋体" w:hAnsi="宋体"/>
          <w:color w:val="auto"/>
          <w:szCs w:val="21"/>
          <w:highlight w:val="none"/>
        </w:rPr>
        <w:t>（供应商名称）</w:t>
      </w:r>
    </w:p>
    <w:p w14:paraId="48D2D538">
      <w:pPr>
        <w:spacing w:line="360" w:lineRule="auto"/>
        <w:ind w:firstLine="6111" w:firstLineChars="2910"/>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42977750">
      <w:pPr>
        <w:spacing w:line="300" w:lineRule="auto"/>
        <w:rPr>
          <w:rFonts w:ascii="宋体" w:hAnsi="宋体"/>
          <w:color w:val="auto"/>
          <w:szCs w:val="21"/>
          <w:highlight w:val="none"/>
        </w:rPr>
      </w:pPr>
    </w:p>
    <w:p w14:paraId="08597D18">
      <w:pPr>
        <w:spacing w:line="300" w:lineRule="auto"/>
        <w:rPr>
          <w:rFonts w:ascii="宋体" w:hAnsi="宋体"/>
          <w:color w:val="auto"/>
          <w:szCs w:val="21"/>
          <w:highlight w:val="none"/>
        </w:rPr>
      </w:pPr>
    </w:p>
    <w:p w14:paraId="32EC22DC">
      <w:pPr>
        <w:spacing w:line="300" w:lineRule="auto"/>
        <w:rPr>
          <w:rFonts w:ascii="宋体" w:hAnsi="宋体"/>
          <w:color w:val="auto"/>
          <w:szCs w:val="21"/>
          <w:highlight w:val="none"/>
        </w:rPr>
      </w:pPr>
    </w:p>
    <w:p w14:paraId="0E6C5D62">
      <w:pPr>
        <w:spacing w:line="300" w:lineRule="auto"/>
        <w:rPr>
          <w:rFonts w:ascii="宋体" w:hAnsi="宋体"/>
          <w:color w:val="auto"/>
          <w:szCs w:val="21"/>
          <w:highlight w:val="none"/>
        </w:rPr>
      </w:pPr>
    </w:p>
    <w:p w14:paraId="78F5B14B">
      <w:pPr>
        <w:spacing w:line="300" w:lineRule="auto"/>
        <w:rPr>
          <w:rFonts w:ascii="宋体" w:hAnsi="宋体"/>
          <w:color w:val="auto"/>
          <w:szCs w:val="21"/>
          <w:highlight w:val="none"/>
        </w:rPr>
      </w:pPr>
    </w:p>
    <w:p w14:paraId="3F34EBF8">
      <w:pPr>
        <w:spacing w:line="300" w:lineRule="auto"/>
        <w:rPr>
          <w:rFonts w:ascii="宋体" w:hAnsi="宋体"/>
          <w:color w:val="auto"/>
          <w:szCs w:val="21"/>
          <w:highlight w:val="none"/>
        </w:rPr>
      </w:pPr>
    </w:p>
    <w:p w14:paraId="7F70CED5">
      <w:pPr>
        <w:spacing w:line="300" w:lineRule="auto"/>
        <w:rPr>
          <w:rFonts w:ascii="宋体" w:hAnsi="宋体"/>
          <w:color w:val="auto"/>
          <w:szCs w:val="21"/>
          <w:highlight w:val="none"/>
        </w:rPr>
      </w:pPr>
    </w:p>
    <w:p w14:paraId="66968E51">
      <w:pPr>
        <w:spacing w:line="300" w:lineRule="auto"/>
        <w:rPr>
          <w:rFonts w:ascii="宋体" w:hAnsi="宋体"/>
          <w:color w:val="auto"/>
          <w:szCs w:val="21"/>
          <w:highlight w:val="none"/>
        </w:rPr>
      </w:pPr>
    </w:p>
    <w:p w14:paraId="412ED211">
      <w:pPr>
        <w:spacing w:line="300" w:lineRule="auto"/>
        <w:rPr>
          <w:rFonts w:ascii="宋体" w:hAnsi="宋体"/>
          <w:color w:val="auto"/>
          <w:szCs w:val="21"/>
          <w:highlight w:val="none"/>
        </w:rPr>
      </w:pPr>
    </w:p>
    <w:p w14:paraId="46F2A204">
      <w:pPr>
        <w:spacing w:line="300" w:lineRule="auto"/>
        <w:rPr>
          <w:rFonts w:ascii="宋体" w:hAnsi="宋体"/>
          <w:color w:val="auto"/>
          <w:szCs w:val="21"/>
          <w:highlight w:val="none"/>
        </w:rPr>
      </w:pPr>
    </w:p>
    <w:p w14:paraId="52085EFD">
      <w:pPr>
        <w:spacing w:line="300" w:lineRule="auto"/>
        <w:rPr>
          <w:rFonts w:ascii="宋体" w:hAnsi="宋体"/>
          <w:color w:val="auto"/>
          <w:szCs w:val="21"/>
          <w:highlight w:val="none"/>
        </w:rPr>
      </w:pPr>
    </w:p>
    <w:p w14:paraId="6FBE8DFF">
      <w:pPr>
        <w:spacing w:line="300" w:lineRule="auto"/>
        <w:rPr>
          <w:rFonts w:ascii="宋体" w:hAnsi="宋体"/>
          <w:color w:val="auto"/>
          <w:szCs w:val="21"/>
          <w:highlight w:val="none"/>
        </w:rPr>
      </w:pPr>
    </w:p>
    <w:p w14:paraId="32C5FC8F">
      <w:pPr>
        <w:spacing w:line="300" w:lineRule="auto"/>
        <w:rPr>
          <w:rFonts w:ascii="宋体" w:hAnsi="宋体"/>
          <w:color w:val="auto"/>
          <w:szCs w:val="21"/>
          <w:highlight w:val="none"/>
        </w:rPr>
      </w:pPr>
    </w:p>
    <w:p w14:paraId="197C2B33">
      <w:pPr>
        <w:spacing w:line="300" w:lineRule="auto"/>
        <w:rPr>
          <w:rFonts w:ascii="宋体" w:hAnsi="宋体"/>
          <w:color w:val="auto"/>
          <w:szCs w:val="21"/>
          <w:highlight w:val="none"/>
        </w:rPr>
      </w:pPr>
    </w:p>
    <w:p w14:paraId="46082E3C">
      <w:pPr>
        <w:spacing w:line="300" w:lineRule="auto"/>
        <w:rPr>
          <w:rFonts w:ascii="宋体" w:hAnsi="宋体"/>
          <w:color w:val="auto"/>
          <w:szCs w:val="21"/>
          <w:highlight w:val="none"/>
        </w:rPr>
      </w:pPr>
    </w:p>
    <w:p w14:paraId="4512EBA7">
      <w:pPr>
        <w:spacing w:line="300" w:lineRule="auto"/>
        <w:rPr>
          <w:rFonts w:ascii="宋体" w:hAnsi="宋体"/>
          <w:color w:val="auto"/>
          <w:szCs w:val="21"/>
          <w:highlight w:val="none"/>
        </w:rPr>
      </w:pPr>
    </w:p>
    <w:p w14:paraId="2D38A55B">
      <w:pPr>
        <w:spacing w:line="300" w:lineRule="auto"/>
        <w:rPr>
          <w:rFonts w:ascii="宋体" w:hAnsi="宋体"/>
          <w:color w:val="auto"/>
          <w:szCs w:val="21"/>
          <w:highlight w:val="none"/>
        </w:rPr>
      </w:pPr>
    </w:p>
    <w:p w14:paraId="37F16DF7">
      <w:pPr>
        <w:spacing w:line="300" w:lineRule="auto"/>
        <w:rPr>
          <w:rFonts w:ascii="宋体" w:hAnsi="宋体"/>
          <w:color w:val="auto"/>
          <w:szCs w:val="21"/>
          <w:highlight w:val="none"/>
        </w:rPr>
      </w:pPr>
    </w:p>
    <w:p w14:paraId="146F822A">
      <w:pPr>
        <w:spacing w:line="300" w:lineRule="auto"/>
        <w:rPr>
          <w:rFonts w:ascii="宋体" w:hAnsi="宋体"/>
          <w:color w:val="auto"/>
          <w:szCs w:val="21"/>
          <w:highlight w:val="none"/>
        </w:rPr>
      </w:pPr>
    </w:p>
    <w:p w14:paraId="6EA4FDAB">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谈判书</w:t>
      </w:r>
    </w:p>
    <w:p w14:paraId="37B9F0CC">
      <w:pPr>
        <w:spacing w:line="320" w:lineRule="exact"/>
        <w:jc w:val="center"/>
        <w:rPr>
          <w:rFonts w:ascii="宋体" w:hAnsi="宋体"/>
          <w:b/>
          <w:color w:val="auto"/>
          <w:sz w:val="32"/>
          <w:szCs w:val="32"/>
          <w:highlight w:val="none"/>
        </w:rPr>
      </w:pPr>
    </w:p>
    <w:p w14:paraId="509BC597">
      <w:pPr>
        <w:pStyle w:val="10"/>
        <w:spacing w:line="360" w:lineRule="auto"/>
        <w:rPr>
          <w:rFonts w:hAnsi="宋体"/>
          <w:color w:val="auto"/>
          <w:sz w:val="21"/>
          <w:highlight w:val="none"/>
        </w:rPr>
      </w:pPr>
      <w:r>
        <w:rPr>
          <w:rFonts w:hint="eastAsia" w:hAnsi="宋体"/>
          <w:color w:val="auto"/>
          <w:sz w:val="21"/>
          <w:highlight w:val="none"/>
          <w:u w:val="single"/>
          <w:lang w:val="en-US" w:eastAsia="zh-CN"/>
        </w:rPr>
        <w:t>广西壮族自治区江滨医院</w:t>
      </w:r>
      <w:r>
        <w:rPr>
          <w:rFonts w:hint="eastAsia" w:hAnsi="宋体"/>
          <w:color w:val="auto"/>
          <w:sz w:val="21"/>
          <w:highlight w:val="none"/>
        </w:rPr>
        <w:t>：</w:t>
      </w:r>
    </w:p>
    <w:p w14:paraId="161DA785">
      <w:pPr>
        <w:pStyle w:val="10"/>
        <w:spacing w:line="360" w:lineRule="auto"/>
        <w:ind w:firstLine="480"/>
        <w:rPr>
          <w:rFonts w:hAnsi="宋体"/>
          <w:color w:val="auto"/>
          <w:sz w:val="21"/>
          <w:highlight w:val="none"/>
        </w:rPr>
      </w:pPr>
      <w:r>
        <w:rPr>
          <w:rFonts w:hint="eastAsia" w:hAnsi="宋体"/>
          <w:color w:val="auto"/>
          <w:sz w:val="21"/>
          <w:highlight w:val="none"/>
        </w:rPr>
        <w:t>依据贵方</w:t>
      </w:r>
      <w:r>
        <w:rPr>
          <w:rFonts w:hint="eastAsia" w:hAnsi="宋体"/>
          <w:color w:val="auto"/>
          <w:sz w:val="21"/>
          <w:highlight w:val="none"/>
          <w:u w:val="single"/>
        </w:rPr>
        <w:t>（项目名称/项目编号）</w:t>
      </w:r>
      <w:r>
        <w:rPr>
          <w:rFonts w:hint="eastAsia" w:hAnsi="宋体"/>
          <w:color w:val="auto"/>
          <w:sz w:val="21"/>
          <w:highlight w:val="none"/>
        </w:rPr>
        <w:t>项目采购的谈判邀请，我方</w:t>
      </w:r>
      <w:r>
        <w:rPr>
          <w:rFonts w:hint="eastAsia" w:hAnsi="宋体"/>
          <w:color w:val="auto"/>
          <w:sz w:val="21"/>
          <w:highlight w:val="none"/>
          <w:u w:val="single"/>
        </w:rPr>
        <w:t>（姓名和职务）</w:t>
      </w:r>
      <w:r>
        <w:rPr>
          <w:rFonts w:hint="eastAsia" w:hAnsi="宋体"/>
          <w:color w:val="auto"/>
          <w:sz w:val="21"/>
          <w:highlight w:val="none"/>
        </w:rPr>
        <w:t>经正式授权并代表供应商</w:t>
      </w:r>
      <w:r>
        <w:rPr>
          <w:rFonts w:hint="eastAsia" w:hAnsi="宋体"/>
          <w:color w:val="auto"/>
          <w:sz w:val="21"/>
          <w:highlight w:val="none"/>
          <w:u w:val="single"/>
        </w:rPr>
        <w:t>（供应商名称、地址）</w:t>
      </w:r>
      <w:r>
        <w:rPr>
          <w:rFonts w:hint="eastAsia" w:hAnsi="宋体"/>
          <w:color w:val="auto"/>
          <w:sz w:val="21"/>
          <w:highlight w:val="none"/>
        </w:rPr>
        <w:t>提交下述响应文件正本一份，副本份。</w:t>
      </w:r>
    </w:p>
    <w:p w14:paraId="1F9509BB">
      <w:pPr>
        <w:pStyle w:val="10"/>
        <w:spacing w:line="360" w:lineRule="auto"/>
        <w:ind w:firstLine="480"/>
        <w:rPr>
          <w:rFonts w:hAnsi="宋体"/>
          <w:color w:val="auto"/>
          <w:sz w:val="21"/>
          <w:highlight w:val="none"/>
        </w:rPr>
      </w:pPr>
      <w:r>
        <w:rPr>
          <w:rFonts w:hint="eastAsia" w:hAnsi="宋体"/>
          <w:color w:val="auto"/>
          <w:sz w:val="21"/>
          <w:highlight w:val="none"/>
        </w:rPr>
        <w:t>1. 报价表；</w:t>
      </w:r>
    </w:p>
    <w:p w14:paraId="0C7DC935">
      <w:pPr>
        <w:pStyle w:val="10"/>
        <w:spacing w:line="360" w:lineRule="auto"/>
        <w:ind w:firstLine="480"/>
        <w:rPr>
          <w:rFonts w:hAnsi="宋体"/>
          <w:color w:val="auto"/>
          <w:sz w:val="21"/>
          <w:highlight w:val="none"/>
        </w:rPr>
      </w:pPr>
      <w:r>
        <w:rPr>
          <w:rFonts w:hint="eastAsia" w:hAnsi="宋体"/>
          <w:color w:val="auto"/>
          <w:sz w:val="21"/>
          <w:highlight w:val="none"/>
        </w:rPr>
        <w:t>2. 供货清单；</w:t>
      </w:r>
    </w:p>
    <w:p w14:paraId="764477FF">
      <w:pPr>
        <w:pStyle w:val="10"/>
        <w:spacing w:line="360" w:lineRule="auto"/>
        <w:ind w:firstLine="480"/>
        <w:rPr>
          <w:rFonts w:hAnsi="宋体"/>
          <w:color w:val="auto"/>
          <w:sz w:val="21"/>
          <w:highlight w:val="none"/>
        </w:rPr>
      </w:pPr>
      <w:r>
        <w:rPr>
          <w:rFonts w:hint="eastAsia" w:hAnsi="宋体"/>
          <w:color w:val="auto"/>
          <w:sz w:val="21"/>
          <w:highlight w:val="none"/>
        </w:rPr>
        <w:t>3. 技术响应、偏离情况说明表；</w:t>
      </w:r>
    </w:p>
    <w:p w14:paraId="2CB490A0">
      <w:pPr>
        <w:pStyle w:val="10"/>
        <w:spacing w:line="360" w:lineRule="auto"/>
        <w:ind w:firstLine="480"/>
        <w:rPr>
          <w:rFonts w:hAnsi="宋体"/>
          <w:color w:val="auto"/>
          <w:sz w:val="21"/>
          <w:highlight w:val="none"/>
        </w:rPr>
      </w:pPr>
      <w:r>
        <w:rPr>
          <w:rFonts w:hint="eastAsia" w:hAnsi="宋体"/>
          <w:color w:val="auto"/>
          <w:sz w:val="21"/>
          <w:highlight w:val="none"/>
        </w:rPr>
        <w:t>4. 按</w:t>
      </w:r>
      <w:r>
        <w:rPr>
          <w:rFonts w:hint="eastAsia" w:hAnsi="宋体"/>
          <w:color w:val="auto"/>
          <w:sz w:val="21"/>
          <w:highlight w:val="none"/>
          <w:lang w:eastAsia="zh-CN"/>
        </w:rPr>
        <w:t>院内招标</w:t>
      </w:r>
      <w:r>
        <w:rPr>
          <w:rFonts w:hint="eastAsia" w:hAnsi="宋体"/>
          <w:color w:val="auto"/>
          <w:sz w:val="21"/>
          <w:highlight w:val="none"/>
        </w:rPr>
        <w:t>谈判须知和技术规格要求提供的有关文件；</w:t>
      </w:r>
    </w:p>
    <w:p w14:paraId="031D74B4">
      <w:pPr>
        <w:pStyle w:val="10"/>
        <w:spacing w:line="360" w:lineRule="auto"/>
        <w:ind w:firstLine="480"/>
        <w:rPr>
          <w:rFonts w:hAnsi="宋体"/>
          <w:color w:val="auto"/>
          <w:sz w:val="21"/>
          <w:highlight w:val="none"/>
        </w:rPr>
      </w:pPr>
      <w:r>
        <w:rPr>
          <w:rFonts w:hint="eastAsia" w:hAnsi="宋体"/>
          <w:color w:val="auto"/>
          <w:sz w:val="21"/>
          <w:highlight w:val="none"/>
        </w:rPr>
        <w:t>5. 资格证明文件；</w:t>
      </w:r>
    </w:p>
    <w:p w14:paraId="3C56934E">
      <w:pPr>
        <w:pStyle w:val="10"/>
        <w:spacing w:line="360" w:lineRule="auto"/>
        <w:ind w:firstLine="480"/>
        <w:rPr>
          <w:rFonts w:hAnsi="宋体"/>
          <w:color w:val="auto"/>
          <w:sz w:val="21"/>
          <w:highlight w:val="none"/>
        </w:rPr>
      </w:pPr>
      <w:r>
        <w:rPr>
          <w:rFonts w:hint="eastAsia" w:hAnsi="宋体"/>
          <w:color w:val="auto"/>
          <w:sz w:val="21"/>
          <w:highlight w:val="none"/>
        </w:rPr>
        <w:t>在此，授权代表宣布同意如下：</w:t>
      </w:r>
    </w:p>
    <w:p w14:paraId="5D6FFC2D">
      <w:pPr>
        <w:pStyle w:val="10"/>
        <w:spacing w:line="360" w:lineRule="auto"/>
        <w:ind w:firstLine="480"/>
        <w:rPr>
          <w:rFonts w:hAnsi="宋体"/>
          <w:color w:val="auto"/>
          <w:sz w:val="21"/>
          <w:highlight w:val="none"/>
        </w:rPr>
      </w:pPr>
      <w:r>
        <w:rPr>
          <w:rFonts w:hint="eastAsia" w:hAnsi="宋体"/>
          <w:color w:val="auto"/>
          <w:sz w:val="21"/>
          <w:highlight w:val="none"/>
        </w:rPr>
        <w:t>1. 将按</w:t>
      </w:r>
      <w:r>
        <w:rPr>
          <w:rFonts w:hint="eastAsia" w:hAnsi="宋体"/>
          <w:color w:val="auto"/>
          <w:sz w:val="21"/>
          <w:highlight w:val="none"/>
          <w:lang w:eastAsia="zh-CN"/>
        </w:rPr>
        <w:t>院内招标</w:t>
      </w:r>
      <w:r>
        <w:rPr>
          <w:rFonts w:hint="eastAsia" w:hAnsi="宋体"/>
          <w:color w:val="auto"/>
          <w:sz w:val="21"/>
          <w:highlight w:val="none"/>
        </w:rPr>
        <w:t>的约定履行合同责任和义务；</w:t>
      </w:r>
    </w:p>
    <w:p w14:paraId="76B4B5D1">
      <w:pPr>
        <w:pStyle w:val="10"/>
        <w:spacing w:line="360" w:lineRule="auto"/>
        <w:ind w:left="840" w:hanging="360"/>
        <w:rPr>
          <w:rFonts w:hAnsi="宋体"/>
          <w:color w:val="auto"/>
          <w:sz w:val="21"/>
          <w:highlight w:val="none"/>
        </w:rPr>
      </w:pPr>
      <w:r>
        <w:rPr>
          <w:rFonts w:hint="eastAsia" w:hAnsi="宋体"/>
          <w:color w:val="auto"/>
          <w:sz w:val="21"/>
          <w:highlight w:val="none"/>
        </w:rPr>
        <w:t>2. 已详细审查全部</w:t>
      </w:r>
      <w:r>
        <w:rPr>
          <w:rFonts w:hint="eastAsia" w:hAnsi="宋体"/>
          <w:color w:val="auto"/>
          <w:sz w:val="21"/>
          <w:highlight w:val="none"/>
          <w:lang w:eastAsia="zh-CN"/>
        </w:rPr>
        <w:t>院内招标</w:t>
      </w:r>
      <w:r>
        <w:rPr>
          <w:rFonts w:hint="eastAsia" w:hAnsi="宋体"/>
          <w:color w:val="auto"/>
          <w:sz w:val="21"/>
          <w:highlight w:val="none"/>
        </w:rPr>
        <w:t>，包括</w:t>
      </w:r>
      <w:r>
        <w:rPr>
          <w:rFonts w:hint="eastAsia" w:hAnsi="宋体"/>
          <w:color w:val="auto"/>
          <w:sz w:val="21"/>
          <w:highlight w:val="none"/>
          <w:u w:val="single"/>
        </w:rPr>
        <w:t>（补遗文件）（如果有的话）</w:t>
      </w:r>
      <w:r>
        <w:rPr>
          <w:rFonts w:hint="eastAsia" w:hAnsi="宋体"/>
          <w:color w:val="auto"/>
          <w:sz w:val="21"/>
          <w:highlight w:val="none"/>
        </w:rPr>
        <w:t>；我们完全理解并同意放弃对这方面有不明及误解的权力；</w:t>
      </w:r>
    </w:p>
    <w:p w14:paraId="417F3310">
      <w:pPr>
        <w:pStyle w:val="10"/>
        <w:spacing w:line="360" w:lineRule="auto"/>
        <w:ind w:left="840" w:hanging="360"/>
        <w:rPr>
          <w:rFonts w:hAnsi="宋体"/>
          <w:color w:val="auto"/>
          <w:sz w:val="21"/>
          <w:highlight w:val="none"/>
        </w:rPr>
      </w:pPr>
      <w:r>
        <w:rPr>
          <w:rFonts w:hint="eastAsia" w:hAnsi="宋体"/>
          <w:color w:val="auto"/>
          <w:sz w:val="21"/>
          <w:highlight w:val="none"/>
        </w:rPr>
        <w:t>3. 同意提供按照贵方可能要求的与其谈判有关的一切数据或资料；</w:t>
      </w:r>
    </w:p>
    <w:p w14:paraId="2B8F0C6B">
      <w:pPr>
        <w:pStyle w:val="10"/>
        <w:spacing w:line="360" w:lineRule="auto"/>
        <w:ind w:left="840" w:hanging="360"/>
        <w:rPr>
          <w:rFonts w:hAnsi="宋体"/>
          <w:color w:val="auto"/>
          <w:sz w:val="21"/>
          <w:highlight w:val="none"/>
        </w:rPr>
      </w:pPr>
      <w:r>
        <w:rPr>
          <w:rFonts w:hint="eastAsia" w:hAnsi="宋体"/>
          <w:color w:val="auto"/>
          <w:sz w:val="21"/>
          <w:highlight w:val="none"/>
        </w:rPr>
        <w:t>4. 与本谈判有关的一切正式往来信函请寄：邮政编号：</w:t>
      </w:r>
    </w:p>
    <w:p w14:paraId="62B21C5D">
      <w:pPr>
        <w:pStyle w:val="10"/>
        <w:spacing w:line="360" w:lineRule="auto"/>
        <w:ind w:firstLine="840"/>
        <w:rPr>
          <w:rFonts w:hAnsi="宋体"/>
          <w:color w:val="auto"/>
          <w:sz w:val="21"/>
          <w:highlight w:val="none"/>
        </w:rPr>
      </w:pPr>
      <w:r>
        <w:rPr>
          <w:rFonts w:hint="eastAsia" w:hAnsi="宋体"/>
          <w:color w:val="auto"/>
          <w:sz w:val="21"/>
          <w:highlight w:val="none"/>
        </w:rPr>
        <w:t>电话/传真：电子函件：</w:t>
      </w:r>
    </w:p>
    <w:p w14:paraId="220734D9">
      <w:pPr>
        <w:pStyle w:val="10"/>
        <w:spacing w:line="360" w:lineRule="auto"/>
        <w:ind w:firstLine="840"/>
        <w:rPr>
          <w:rFonts w:hAnsi="宋体"/>
          <w:color w:val="auto"/>
          <w:sz w:val="21"/>
          <w:highlight w:val="none"/>
        </w:rPr>
      </w:pPr>
    </w:p>
    <w:p w14:paraId="12D92B73">
      <w:pPr>
        <w:pStyle w:val="10"/>
        <w:spacing w:line="360" w:lineRule="auto"/>
        <w:ind w:firstLine="840"/>
        <w:rPr>
          <w:rFonts w:hAnsi="宋体"/>
          <w:color w:val="auto"/>
          <w:sz w:val="21"/>
          <w:highlight w:val="none"/>
          <w:u w:val="single"/>
        </w:rPr>
      </w:pPr>
      <w:r>
        <w:rPr>
          <w:rFonts w:hint="eastAsia" w:hAnsi="宋体"/>
          <w:color w:val="auto"/>
          <w:sz w:val="21"/>
          <w:highlight w:val="none"/>
        </w:rPr>
        <w:t>法定代表人或被授权人签字：</w:t>
      </w:r>
    </w:p>
    <w:p w14:paraId="45ACF8CB">
      <w:pPr>
        <w:pStyle w:val="10"/>
        <w:spacing w:line="360" w:lineRule="auto"/>
        <w:ind w:firstLine="840"/>
        <w:rPr>
          <w:rFonts w:hAnsi="宋体"/>
          <w:color w:val="auto"/>
          <w:sz w:val="21"/>
          <w:highlight w:val="none"/>
        </w:rPr>
      </w:pPr>
      <w:r>
        <w:rPr>
          <w:rFonts w:hint="eastAsia" w:hAnsi="宋体"/>
          <w:color w:val="auto"/>
          <w:sz w:val="21"/>
          <w:highlight w:val="none"/>
        </w:rPr>
        <w:t>供应商名称（公章）：</w:t>
      </w:r>
    </w:p>
    <w:p w14:paraId="04CAC531">
      <w:pPr>
        <w:pStyle w:val="10"/>
        <w:spacing w:line="360" w:lineRule="auto"/>
        <w:ind w:firstLine="840"/>
        <w:rPr>
          <w:rFonts w:hAnsi="宋体"/>
          <w:color w:val="auto"/>
          <w:sz w:val="21"/>
          <w:highlight w:val="none"/>
        </w:rPr>
      </w:pPr>
      <w:r>
        <w:rPr>
          <w:rFonts w:hint="eastAsia" w:hAnsi="宋体"/>
          <w:color w:val="auto"/>
          <w:sz w:val="21"/>
          <w:highlight w:val="none"/>
        </w:rPr>
        <w:t>日期：</w:t>
      </w:r>
      <w:r>
        <w:rPr>
          <w:rFonts w:hint="eastAsia" w:hAnsi="宋体"/>
          <w:color w:val="auto"/>
          <w:sz w:val="21"/>
          <w:highlight w:val="none"/>
          <w:lang w:val="en-US" w:eastAsia="zh-CN"/>
        </w:rPr>
        <w:t xml:space="preserve">  </w:t>
      </w:r>
      <w:r>
        <w:rPr>
          <w:rFonts w:hint="eastAsia" w:hAnsi="宋体"/>
          <w:color w:val="auto"/>
          <w:sz w:val="21"/>
          <w:highlight w:val="none"/>
        </w:rPr>
        <w:t>年</w:t>
      </w:r>
      <w:r>
        <w:rPr>
          <w:rFonts w:hint="eastAsia" w:hAnsi="宋体"/>
          <w:color w:val="auto"/>
          <w:sz w:val="21"/>
          <w:highlight w:val="none"/>
          <w:lang w:val="en-US" w:eastAsia="zh-CN"/>
        </w:rPr>
        <w:t xml:space="preserve">  </w:t>
      </w:r>
      <w:r>
        <w:rPr>
          <w:rFonts w:hint="eastAsia" w:hAnsi="宋体"/>
          <w:color w:val="auto"/>
          <w:sz w:val="21"/>
          <w:highlight w:val="none"/>
        </w:rPr>
        <w:t>月</w:t>
      </w:r>
      <w:r>
        <w:rPr>
          <w:rFonts w:hint="eastAsia" w:hAnsi="宋体"/>
          <w:color w:val="auto"/>
          <w:sz w:val="21"/>
          <w:highlight w:val="none"/>
          <w:lang w:val="en-US" w:eastAsia="zh-CN"/>
        </w:rPr>
        <w:t xml:space="preserve">  </w:t>
      </w:r>
      <w:r>
        <w:rPr>
          <w:rFonts w:hint="eastAsia" w:hAnsi="宋体"/>
          <w:color w:val="auto"/>
          <w:sz w:val="21"/>
          <w:highlight w:val="none"/>
        </w:rPr>
        <w:t>日</w:t>
      </w:r>
    </w:p>
    <w:p w14:paraId="60F1E9E1">
      <w:pPr>
        <w:pStyle w:val="10"/>
        <w:spacing w:line="360" w:lineRule="auto"/>
        <w:ind w:firstLine="840"/>
        <w:rPr>
          <w:rFonts w:hint="eastAsia" w:ascii="宋体" w:hAnsi="宋体" w:eastAsiaTheme="minorEastAsia"/>
          <w:b/>
          <w:color w:val="auto"/>
          <w:sz w:val="32"/>
          <w:szCs w:val="32"/>
          <w:highlight w:val="none"/>
          <w:lang w:eastAsia="zh-CN"/>
        </w:rPr>
      </w:pPr>
      <w:r>
        <w:rPr>
          <w:rFonts w:hint="eastAsia" w:hAnsi="宋体"/>
          <w:color w:val="auto"/>
          <w:sz w:val="21"/>
          <w:highlight w:val="none"/>
        </w:rPr>
        <w:t>开户银行：帐号/行号：</w:t>
      </w:r>
      <w:r>
        <w:rPr>
          <w:rFonts w:ascii="宋体" w:hAnsi="宋体"/>
          <w:color w:val="auto"/>
          <w:szCs w:val="21"/>
          <w:highlight w:val="none"/>
        </w:rPr>
        <w:br w:type="page"/>
      </w:r>
      <w:r>
        <w:rPr>
          <w:rFonts w:hint="eastAsia" w:hAnsi="宋体"/>
          <w:color w:val="auto"/>
          <w:szCs w:val="21"/>
          <w:highlight w:val="none"/>
          <w:lang w:val="en-US" w:eastAsia="zh-CN"/>
        </w:rPr>
        <w:t xml:space="preserve">                                      </w:t>
      </w:r>
      <w:r>
        <w:rPr>
          <w:rFonts w:hint="eastAsia" w:ascii="宋体" w:hAnsi="宋体"/>
          <w:b/>
          <w:color w:val="auto"/>
          <w:sz w:val="32"/>
          <w:szCs w:val="32"/>
          <w:highlight w:val="none"/>
          <w:lang w:val="en-US" w:eastAsia="zh-CN"/>
        </w:rPr>
        <w:t>响应函</w:t>
      </w:r>
    </w:p>
    <w:p w14:paraId="3FF87FA6">
      <w:pPr>
        <w:spacing w:line="360" w:lineRule="auto"/>
        <w:jc w:val="center"/>
        <w:rPr>
          <w:rFonts w:ascii="宋体" w:hAnsi="宋体"/>
          <w:color w:val="auto"/>
          <w:sz w:val="24"/>
          <w:szCs w:val="20"/>
          <w:highlight w:val="none"/>
        </w:rPr>
      </w:pPr>
    </w:p>
    <w:p w14:paraId="207FFFEB">
      <w:pPr>
        <w:snapToGrid w:val="0"/>
        <w:spacing w:before="120" w:beforeLines="50" w:after="50"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lang w:val="en-US" w:eastAsia="zh-CN"/>
        </w:rPr>
        <w:t>广西壮族自治区江滨医院</w:t>
      </w:r>
      <w:r>
        <w:rPr>
          <w:rFonts w:hint="eastAsia" w:ascii="宋体" w:hAnsi="宋体"/>
          <w:color w:val="auto"/>
          <w:szCs w:val="21"/>
          <w:highlight w:val="none"/>
        </w:rPr>
        <w:t>：</w:t>
      </w:r>
    </w:p>
    <w:p w14:paraId="090F5788">
      <w:pPr>
        <w:snapToGrid w:val="0"/>
        <w:spacing w:before="120" w:beforeLines="50" w:after="50" w:line="360" w:lineRule="auto"/>
        <w:ind w:firstLine="630" w:firstLineChars="300"/>
        <w:rPr>
          <w:rFonts w:ascii="宋体" w:hAnsi="宋体"/>
          <w:color w:val="auto"/>
          <w:szCs w:val="21"/>
          <w:highlight w:val="none"/>
        </w:rPr>
      </w:pPr>
      <w:r>
        <w:rPr>
          <w:rFonts w:hint="eastAsia" w:ascii="宋体" w:hAnsi="宋体"/>
          <w:color w:val="auto"/>
          <w:szCs w:val="21"/>
          <w:highlight w:val="none"/>
          <w:u w:val="none"/>
        </w:rPr>
        <w:t>_______</w:t>
      </w:r>
      <w:r>
        <w:rPr>
          <w:rFonts w:hint="eastAsia" w:ascii="宋体" w:hAnsi="宋体"/>
          <w:color w:val="auto"/>
          <w:szCs w:val="21"/>
          <w:highlight w:val="none"/>
        </w:rPr>
        <w:t>（供应商名称）系中华人民共和国合法企业，经营地址。</w:t>
      </w:r>
    </w:p>
    <w:p w14:paraId="727DF952">
      <w:pPr>
        <w:snapToGrid w:val="0"/>
        <w:spacing w:before="120" w:beforeLines="50" w:line="360" w:lineRule="auto"/>
        <w:ind w:left="210" w:leftChars="100" w:firstLine="210" w:firstLineChars="100"/>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（竞标人名称）的法定代表人，我方愿意参加贵方组织的</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项目（项目编号：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）的竞标，为便于贵方公正、择优地确定成交供应商及其竞标产品和服务，我方就本次竞标有关事项郑重声明如下：</w:t>
      </w:r>
    </w:p>
    <w:p w14:paraId="5599888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1.我方向贵方提交的所有响应文件、资料都是准确的和真实的。</w:t>
      </w:r>
    </w:p>
    <w:p w14:paraId="2A3FBC0E">
      <w:pPr>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14:paraId="5E6F1BD4">
      <w:pPr>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3.我方此次向贵方提供的产品名称为：；规格型号：；该型号产品我方有现货可供，并已于年月生产完工或向</w:t>
      </w:r>
      <w:r>
        <w:rPr>
          <w:rFonts w:hint="eastAsia" w:ascii="宋体" w:hAnsi="宋体"/>
          <w:color w:val="auto"/>
          <w:szCs w:val="21"/>
          <w:highlight w:val="none"/>
          <w:u w:val="single"/>
        </w:rPr>
        <w:t>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w:t>
      </w:r>
      <w:r>
        <w:rPr>
          <w:rFonts w:hint="eastAsia" w:ascii="宋体" w:hAnsi="宋体"/>
          <w:color w:val="auto"/>
          <w:szCs w:val="21"/>
          <w:highlight w:val="none"/>
        </w:rPr>
        <w:t>（原厂商名称）购进［</w:t>
      </w:r>
      <w:r>
        <w:rPr>
          <w:rFonts w:hint="eastAsia" w:ascii="宋体" w:hAnsi="宋体"/>
          <w:b/>
          <w:bCs/>
          <w:color w:val="auto"/>
          <w:szCs w:val="21"/>
          <w:highlight w:val="none"/>
        </w:rPr>
        <w:t>或</w:t>
      </w:r>
      <w:r>
        <w:rPr>
          <w:rFonts w:hint="eastAsia" w:ascii="宋体" w:hAnsi="宋体"/>
          <w:color w:val="auto"/>
          <w:szCs w:val="21"/>
          <w:highlight w:val="none"/>
        </w:rPr>
        <w:t>需在中标后向订购］。</w:t>
      </w:r>
    </w:p>
    <w:p w14:paraId="479D2038">
      <w:pPr>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4.我方诚意提请贵方关注：近期有关该型号产品的生产、供货、售后服务以及性能等方面的重大决策和事项有：</w:t>
      </w:r>
    </w:p>
    <w:p w14:paraId="3D6CE5BC">
      <w:pPr>
        <w:snapToGrid w:val="0"/>
        <w:spacing w:before="120" w:beforeLines="50"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14:paraId="301ECF0D">
      <w:pPr>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w:t>
      </w:r>
    </w:p>
    <w:p w14:paraId="545318EF">
      <w:pPr>
        <w:pStyle w:val="8"/>
        <w:snapToGrid w:val="0"/>
        <w:spacing w:line="360" w:lineRule="auto"/>
        <w:ind w:firstLine="404" w:firstLineChars="200"/>
        <w:rPr>
          <w:rFonts w:ascii="宋体" w:hAnsi="宋体"/>
          <w:color w:val="auto"/>
          <w:sz w:val="21"/>
          <w:szCs w:val="21"/>
          <w:highlight w:val="none"/>
          <w:u w:val="single"/>
        </w:rPr>
      </w:pPr>
      <w:r>
        <w:rPr>
          <w:rFonts w:hint="eastAsia" w:ascii="宋体" w:hAnsi="宋体" w:eastAsia="宋体"/>
          <w:color w:val="auto"/>
          <w:sz w:val="21"/>
          <w:szCs w:val="21"/>
          <w:highlight w:val="none"/>
        </w:rPr>
        <w:t>5. 以上事项如有虚假或隐瞒，我方愿意承担一切后果，并不再寻求任何旨在减轻或免除法律责任的辩解。</w:t>
      </w:r>
    </w:p>
    <w:p w14:paraId="1F2AA8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6.我方就对本次响应文件进行注明如下：（两项内容中必须选择一项）</w:t>
      </w:r>
    </w:p>
    <w:p w14:paraId="7F7DAA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□我方本次响应文件</w:t>
      </w:r>
      <w:r>
        <w:rPr>
          <w:rFonts w:ascii="宋体" w:hAnsi="宋体" w:cs="宋体"/>
          <w:color w:val="auto"/>
          <w:kern w:val="0"/>
          <w:szCs w:val="21"/>
          <w:highlight w:val="none"/>
        </w:rPr>
        <w:t>内容中</w:t>
      </w:r>
      <w:r>
        <w:rPr>
          <w:rFonts w:hint="eastAsia" w:ascii="宋体" w:hAnsi="宋体"/>
          <w:color w:val="auto"/>
          <w:szCs w:val="21"/>
          <w:highlight w:val="none"/>
        </w:rPr>
        <w:t>未</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w:t>
      </w:r>
    </w:p>
    <w:p w14:paraId="507ACEED">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□我方本次响应文件</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的</w:t>
      </w:r>
      <w:r>
        <w:rPr>
          <w:rFonts w:ascii="宋体" w:hAnsi="宋体" w:cs="宋体"/>
          <w:color w:val="auto"/>
          <w:kern w:val="0"/>
          <w:szCs w:val="21"/>
          <w:highlight w:val="none"/>
        </w:rPr>
        <w:t>内容</w:t>
      </w:r>
      <w:r>
        <w:rPr>
          <w:rFonts w:hint="eastAsia" w:ascii="宋体" w:hAnsi="宋体" w:cs="宋体"/>
          <w:color w:val="auto"/>
          <w:kern w:val="0"/>
          <w:szCs w:val="21"/>
          <w:highlight w:val="none"/>
        </w:rPr>
        <w:t>有：；</w:t>
      </w:r>
    </w:p>
    <w:p w14:paraId="619F99F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7186CCC">
      <w:pPr>
        <w:pStyle w:val="42"/>
        <w:snapToGrid w:val="0"/>
        <w:spacing w:before="120" w:beforeLines="50" w:line="360" w:lineRule="auto"/>
        <w:rPr>
          <w:rFonts w:ascii="宋体" w:hAnsi="宋体"/>
          <w:color w:val="auto"/>
          <w:sz w:val="21"/>
          <w:szCs w:val="21"/>
          <w:highlight w:val="none"/>
        </w:rPr>
      </w:pPr>
    </w:p>
    <w:p w14:paraId="4BC40A68">
      <w:pPr>
        <w:snapToGrid w:val="0"/>
        <w:spacing w:before="120" w:beforeLines="50" w:line="360" w:lineRule="auto"/>
        <w:ind w:right="480" w:firstLine="4792" w:firstLineChars="2282"/>
        <w:jc w:val="center"/>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法定代表人签字：</w:t>
      </w:r>
    </w:p>
    <w:p w14:paraId="06672C33">
      <w:pPr>
        <w:snapToGrid w:val="0"/>
        <w:spacing w:before="120" w:beforeLines="50" w:after="50" w:line="360" w:lineRule="auto"/>
        <w:ind w:right="480" w:firstLine="4830" w:firstLineChars="230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供应商公章：</w:t>
      </w:r>
    </w:p>
    <w:p w14:paraId="36AE9056">
      <w:pPr>
        <w:snapToGrid w:val="0"/>
        <w:spacing w:before="120" w:beforeLines="50" w:after="50" w:line="360" w:lineRule="auto"/>
        <w:ind w:right="480" w:firstLine="210" w:firstLineChars="10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27F1F112">
      <w:pPr>
        <w:spacing w:line="360" w:lineRule="exact"/>
        <w:rPr>
          <w:rFonts w:ascii="宋体" w:hAnsi="宋体"/>
          <w:b/>
          <w:color w:val="auto"/>
          <w:szCs w:val="21"/>
          <w:highlight w:val="none"/>
        </w:rPr>
      </w:pPr>
    </w:p>
    <w:p w14:paraId="733B12E5">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报价表</w:t>
      </w:r>
    </w:p>
    <w:p w14:paraId="6B94AA68">
      <w:pPr>
        <w:spacing w:line="300" w:lineRule="auto"/>
        <w:jc w:val="center"/>
        <w:rPr>
          <w:rFonts w:ascii="宋体" w:hAnsi="宋体"/>
          <w:b/>
          <w:color w:val="auto"/>
          <w:sz w:val="32"/>
          <w:szCs w:val="32"/>
          <w:highlight w:val="none"/>
        </w:rPr>
      </w:pPr>
    </w:p>
    <w:p w14:paraId="7FAB7271">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14:paraId="24DA355F">
      <w:pPr>
        <w:spacing w:line="300" w:lineRule="auto"/>
        <w:rPr>
          <w:rFonts w:ascii="宋体" w:hAnsi="宋体"/>
          <w:color w:val="auto"/>
          <w:szCs w:val="21"/>
          <w:highlight w:val="none"/>
        </w:rPr>
      </w:pPr>
      <w:r>
        <w:rPr>
          <w:rFonts w:hint="eastAsia" w:ascii="宋体" w:hAnsi="宋体"/>
          <w:color w:val="auto"/>
          <w:szCs w:val="21"/>
          <w:highlight w:val="none"/>
        </w:rPr>
        <w:t>采购项目名称:</w:t>
      </w:r>
    </w:p>
    <w:p w14:paraId="79581E2E">
      <w:pPr>
        <w:spacing w:line="300" w:lineRule="auto"/>
        <w:rPr>
          <w:rFonts w:ascii="宋体" w:hAnsi="宋体"/>
          <w:color w:val="auto"/>
          <w:szCs w:val="21"/>
          <w:highlight w:val="none"/>
        </w:rPr>
      </w:pPr>
      <w:r>
        <w:rPr>
          <w:rFonts w:hint="eastAsia" w:ascii="宋体" w:hAnsi="宋体"/>
          <w:color w:val="auto"/>
          <w:szCs w:val="21"/>
          <w:highlight w:val="none"/>
        </w:rPr>
        <w:t>分标号（如有）：</w:t>
      </w:r>
    </w:p>
    <w:tbl>
      <w:tblPr>
        <w:tblStyle w:val="18"/>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612"/>
        <w:gridCol w:w="534"/>
        <w:gridCol w:w="1423"/>
        <w:gridCol w:w="1691"/>
        <w:gridCol w:w="935"/>
        <w:gridCol w:w="847"/>
        <w:gridCol w:w="1257"/>
      </w:tblGrid>
      <w:tr w14:paraId="690C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38" w:type="dxa"/>
            <w:vAlign w:val="center"/>
          </w:tcPr>
          <w:p w14:paraId="69448209">
            <w:pPr>
              <w:spacing w:line="300" w:lineRule="auto"/>
              <w:jc w:val="center"/>
              <w:rPr>
                <w:rFonts w:ascii="宋体" w:hAnsi="宋体"/>
                <w:color w:val="auto"/>
                <w:szCs w:val="21"/>
                <w:highlight w:val="none"/>
              </w:rPr>
            </w:pPr>
            <w:r>
              <w:rPr>
                <w:rFonts w:hint="eastAsia" w:ascii="宋体" w:hAnsi="宋体"/>
                <w:color w:val="auto"/>
                <w:szCs w:val="21"/>
                <w:highlight w:val="none"/>
              </w:rPr>
              <w:t>序号</w:t>
            </w:r>
          </w:p>
        </w:tc>
        <w:tc>
          <w:tcPr>
            <w:tcW w:w="1612" w:type="dxa"/>
            <w:vAlign w:val="center"/>
          </w:tcPr>
          <w:p w14:paraId="2C6944B9">
            <w:pPr>
              <w:spacing w:line="30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534" w:type="dxa"/>
            <w:vAlign w:val="center"/>
          </w:tcPr>
          <w:p w14:paraId="023B53F2">
            <w:pPr>
              <w:spacing w:line="300" w:lineRule="auto"/>
              <w:jc w:val="center"/>
              <w:rPr>
                <w:rFonts w:ascii="宋体" w:hAnsi="宋体"/>
                <w:color w:val="auto"/>
                <w:szCs w:val="21"/>
                <w:highlight w:val="none"/>
              </w:rPr>
            </w:pPr>
            <w:r>
              <w:rPr>
                <w:rFonts w:hint="eastAsia" w:ascii="宋体" w:hAnsi="宋体"/>
                <w:color w:val="auto"/>
                <w:szCs w:val="21"/>
                <w:highlight w:val="none"/>
              </w:rPr>
              <w:t>数量①</w:t>
            </w:r>
          </w:p>
        </w:tc>
        <w:tc>
          <w:tcPr>
            <w:tcW w:w="1423" w:type="dxa"/>
            <w:vAlign w:val="center"/>
          </w:tcPr>
          <w:p w14:paraId="1225C0DF">
            <w:pPr>
              <w:spacing w:line="300" w:lineRule="auto"/>
              <w:jc w:val="center"/>
              <w:rPr>
                <w:rFonts w:ascii="宋体" w:hAnsi="宋体"/>
                <w:color w:val="auto"/>
                <w:szCs w:val="21"/>
                <w:highlight w:val="none"/>
              </w:rPr>
            </w:pPr>
            <w:r>
              <w:rPr>
                <w:rFonts w:hint="eastAsia" w:ascii="宋体" w:hAnsi="宋体"/>
                <w:color w:val="auto"/>
                <w:szCs w:val="21"/>
                <w:highlight w:val="none"/>
              </w:rPr>
              <w:t>品牌及规格型号、生产厂家及国别</w:t>
            </w:r>
          </w:p>
        </w:tc>
        <w:tc>
          <w:tcPr>
            <w:tcW w:w="1691" w:type="dxa"/>
            <w:vAlign w:val="center"/>
          </w:tcPr>
          <w:p w14:paraId="7E8A3BB3">
            <w:pPr>
              <w:spacing w:line="300" w:lineRule="auto"/>
              <w:jc w:val="center"/>
              <w:rPr>
                <w:rFonts w:ascii="宋体" w:hAnsi="宋体"/>
                <w:color w:val="auto"/>
                <w:szCs w:val="21"/>
                <w:highlight w:val="none"/>
              </w:rPr>
            </w:pPr>
            <w:r>
              <w:rPr>
                <w:rFonts w:hint="eastAsia" w:ascii="宋体" w:hAnsi="宋体"/>
                <w:color w:val="auto"/>
                <w:szCs w:val="21"/>
                <w:highlight w:val="none"/>
              </w:rPr>
              <w:t>技术参数及性能配置</w:t>
            </w:r>
          </w:p>
        </w:tc>
        <w:tc>
          <w:tcPr>
            <w:tcW w:w="935" w:type="dxa"/>
            <w:vAlign w:val="center"/>
          </w:tcPr>
          <w:p w14:paraId="6554B90E">
            <w:pPr>
              <w:spacing w:line="300" w:lineRule="auto"/>
              <w:jc w:val="center"/>
              <w:rPr>
                <w:rFonts w:ascii="宋体" w:hAnsi="宋体"/>
                <w:color w:val="auto"/>
                <w:szCs w:val="21"/>
                <w:highlight w:val="none"/>
              </w:rPr>
            </w:pPr>
            <w:r>
              <w:rPr>
                <w:rFonts w:hint="eastAsia" w:ascii="宋体" w:hAnsi="宋体"/>
                <w:color w:val="auto"/>
                <w:szCs w:val="21"/>
                <w:highlight w:val="none"/>
              </w:rPr>
              <w:t>质保期</w:t>
            </w:r>
          </w:p>
        </w:tc>
        <w:tc>
          <w:tcPr>
            <w:tcW w:w="847" w:type="dxa"/>
            <w:vAlign w:val="center"/>
          </w:tcPr>
          <w:p w14:paraId="26D4800C">
            <w:pPr>
              <w:spacing w:line="300" w:lineRule="auto"/>
              <w:jc w:val="center"/>
              <w:rPr>
                <w:rFonts w:ascii="宋体" w:hAnsi="宋体"/>
                <w:color w:val="auto"/>
                <w:szCs w:val="21"/>
                <w:highlight w:val="none"/>
              </w:rPr>
            </w:pPr>
            <w:r>
              <w:rPr>
                <w:rFonts w:hint="eastAsia" w:ascii="宋体" w:hAnsi="宋体"/>
                <w:color w:val="auto"/>
                <w:szCs w:val="21"/>
                <w:highlight w:val="none"/>
              </w:rPr>
              <w:t>单价（元）</w:t>
            </w:r>
          </w:p>
          <w:p w14:paraId="78705F66">
            <w:pPr>
              <w:spacing w:line="300" w:lineRule="auto"/>
              <w:jc w:val="center"/>
              <w:rPr>
                <w:rFonts w:ascii="宋体" w:hAnsi="宋体"/>
                <w:color w:val="auto"/>
                <w:szCs w:val="21"/>
                <w:highlight w:val="none"/>
              </w:rPr>
            </w:pPr>
            <w:r>
              <w:rPr>
                <w:rFonts w:hint="eastAsia" w:ascii="宋体" w:hAnsi="宋体"/>
                <w:color w:val="auto"/>
                <w:szCs w:val="21"/>
                <w:highlight w:val="none"/>
              </w:rPr>
              <w:t>②</w:t>
            </w:r>
          </w:p>
        </w:tc>
        <w:tc>
          <w:tcPr>
            <w:tcW w:w="1257" w:type="dxa"/>
            <w:vAlign w:val="center"/>
          </w:tcPr>
          <w:p w14:paraId="5C47D7BF">
            <w:pPr>
              <w:spacing w:line="300" w:lineRule="auto"/>
              <w:rPr>
                <w:rFonts w:ascii="宋体" w:hAnsi="宋体"/>
                <w:color w:val="auto"/>
                <w:szCs w:val="21"/>
                <w:highlight w:val="none"/>
              </w:rPr>
            </w:pPr>
            <w:r>
              <w:rPr>
                <w:rFonts w:hint="eastAsia" w:ascii="宋体" w:hAnsi="宋体"/>
                <w:color w:val="auto"/>
                <w:szCs w:val="21"/>
                <w:highlight w:val="none"/>
              </w:rPr>
              <w:t>单项合价（元）</w:t>
            </w:r>
          </w:p>
          <w:p w14:paraId="4F66317D">
            <w:pPr>
              <w:spacing w:line="300" w:lineRule="auto"/>
              <w:rPr>
                <w:rFonts w:ascii="宋体" w:hAnsi="宋体"/>
                <w:color w:val="auto"/>
                <w:szCs w:val="21"/>
                <w:highlight w:val="none"/>
              </w:rPr>
            </w:pPr>
            <w:r>
              <w:rPr>
                <w:rFonts w:hint="eastAsia" w:ascii="宋体" w:hAnsi="宋体"/>
                <w:color w:val="auto"/>
                <w:szCs w:val="21"/>
                <w:highlight w:val="none"/>
              </w:rPr>
              <w:t>③=①×②</w:t>
            </w:r>
          </w:p>
        </w:tc>
      </w:tr>
      <w:tr w14:paraId="2729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8" w:type="dxa"/>
            <w:vAlign w:val="center"/>
          </w:tcPr>
          <w:p w14:paraId="4127651A">
            <w:pPr>
              <w:spacing w:line="300" w:lineRule="auto"/>
              <w:jc w:val="center"/>
              <w:rPr>
                <w:rFonts w:ascii="宋体" w:hAnsi="宋体"/>
                <w:color w:val="auto"/>
                <w:szCs w:val="21"/>
                <w:highlight w:val="none"/>
              </w:rPr>
            </w:pPr>
            <w:r>
              <w:rPr>
                <w:rFonts w:hint="eastAsia" w:ascii="宋体" w:hAnsi="宋体"/>
                <w:color w:val="auto"/>
                <w:szCs w:val="21"/>
                <w:highlight w:val="none"/>
              </w:rPr>
              <w:t>1</w:t>
            </w:r>
          </w:p>
        </w:tc>
        <w:tc>
          <w:tcPr>
            <w:tcW w:w="1612" w:type="dxa"/>
            <w:vAlign w:val="center"/>
          </w:tcPr>
          <w:p w14:paraId="006AB063">
            <w:pPr>
              <w:spacing w:line="300" w:lineRule="auto"/>
              <w:rPr>
                <w:rFonts w:ascii="宋体" w:hAnsi="宋体"/>
                <w:color w:val="auto"/>
                <w:szCs w:val="21"/>
                <w:highlight w:val="none"/>
              </w:rPr>
            </w:pPr>
          </w:p>
        </w:tc>
        <w:tc>
          <w:tcPr>
            <w:tcW w:w="534" w:type="dxa"/>
            <w:vAlign w:val="center"/>
          </w:tcPr>
          <w:p w14:paraId="28FF02F3">
            <w:pPr>
              <w:spacing w:line="300" w:lineRule="auto"/>
              <w:rPr>
                <w:rFonts w:ascii="宋体" w:hAnsi="宋体"/>
                <w:color w:val="auto"/>
                <w:szCs w:val="21"/>
                <w:highlight w:val="none"/>
              </w:rPr>
            </w:pPr>
          </w:p>
        </w:tc>
        <w:tc>
          <w:tcPr>
            <w:tcW w:w="1423" w:type="dxa"/>
            <w:vAlign w:val="center"/>
          </w:tcPr>
          <w:p w14:paraId="37E11D0F">
            <w:pPr>
              <w:spacing w:line="300" w:lineRule="auto"/>
              <w:rPr>
                <w:rFonts w:ascii="宋体" w:hAnsi="宋体"/>
                <w:color w:val="auto"/>
                <w:szCs w:val="21"/>
                <w:highlight w:val="none"/>
              </w:rPr>
            </w:pPr>
          </w:p>
        </w:tc>
        <w:tc>
          <w:tcPr>
            <w:tcW w:w="1691" w:type="dxa"/>
            <w:vAlign w:val="center"/>
          </w:tcPr>
          <w:p w14:paraId="71C23533">
            <w:pPr>
              <w:spacing w:line="300" w:lineRule="auto"/>
              <w:rPr>
                <w:rFonts w:ascii="宋体" w:hAnsi="宋体"/>
                <w:color w:val="auto"/>
                <w:szCs w:val="21"/>
                <w:highlight w:val="none"/>
              </w:rPr>
            </w:pPr>
          </w:p>
        </w:tc>
        <w:tc>
          <w:tcPr>
            <w:tcW w:w="935" w:type="dxa"/>
            <w:vAlign w:val="center"/>
          </w:tcPr>
          <w:p w14:paraId="2E535E9D">
            <w:pPr>
              <w:spacing w:line="300" w:lineRule="auto"/>
              <w:rPr>
                <w:rFonts w:ascii="宋体" w:hAnsi="宋体"/>
                <w:color w:val="auto"/>
                <w:szCs w:val="21"/>
                <w:highlight w:val="none"/>
              </w:rPr>
            </w:pPr>
          </w:p>
        </w:tc>
        <w:tc>
          <w:tcPr>
            <w:tcW w:w="847" w:type="dxa"/>
            <w:vAlign w:val="center"/>
          </w:tcPr>
          <w:p w14:paraId="73458485">
            <w:pPr>
              <w:spacing w:line="300" w:lineRule="auto"/>
              <w:rPr>
                <w:rFonts w:ascii="宋体" w:hAnsi="宋体"/>
                <w:color w:val="auto"/>
                <w:szCs w:val="21"/>
                <w:highlight w:val="none"/>
              </w:rPr>
            </w:pPr>
          </w:p>
        </w:tc>
        <w:tc>
          <w:tcPr>
            <w:tcW w:w="1257" w:type="dxa"/>
            <w:vAlign w:val="center"/>
          </w:tcPr>
          <w:p w14:paraId="237696D3">
            <w:pPr>
              <w:spacing w:line="300" w:lineRule="auto"/>
              <w:rPr>
                <w:rFonts w:ascii="宋体" w:hAnsi="宋体"/>
                <w:color w:val="auto"/>
                <w:szCs w:val="21"/>
                <w:highlight w:val="none"/>
              </w:rPr>
            </w:pPr>
          </w:p>
        </w:tc>
      </w:tr>
      <w:tr w14:paraId="5E5B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8" w:type="dxa"/>
            <w:vAlign w:val="center"/>
          </w:tcPr>
          <w:p w14:paraId="75C43B75">
            <w:pPr>
              <w:spacing w:line="300" w:lineRule="auto"/>
              <w:jc w:val="center"/>
              <w:rPr>
                <w:rFonts w:ascii="宋体" w:hAnsi="宋体"/>
                <w:color w:val="auto"/>
                <w:szCs w:val="21"/>
                <w:highlight w:val="none"/>
              </w:rPr>
            </w:pPr>
            <w:r>
              <w:rPr>
                <w:rFonts w:hint="eastAsia" w:ascii="宋体" w:hAnsi="宋体"/>
                <w:color w:val="auto"/>
                <w:szCs w:val="21"/>
                <w:highlight w:val="none"/>
              </w:rPr>
              <w:t>2</w:t>
            </w:r>
          </w:p>
        </w:tc>
        <w:tc>
          <w:tcPr>
            <w:tcW w:w="1612" w:type="dxa"/>
            <w:vAlign w:val="center"/>
          </w:tcPr>
          <w:p w14:paraId="72BF0C47">
            <w:pPr>
              <w:spacing w:line="300" w:lineRule="auto"/>
              <w:rPr>
                <w:rFonts w:ascii="宋体" w:hAnsi="宋体"/>
                <w:color w:val="auto"/>
                <w:szCs w:val="21"/>
                <w:highlight w:val="none"/>
              </w:rPr>
            </w:pPr>
          </w:p>
        </w:tc>
        <w:tc>
          <w:tcPr>
            <w:tcW w:w="534" w:type="dxa"/>
            <w:vAlign w:val="center"/>
          </w:tcPr>
          <w:p w14:paraId="0B25E926">
            <w:pPr>
              <w:spacing w:line="300" w:lineRule="auto"/>
              <w:rPr>
                <w:rFonts w:ascii="宋体" w:hAnsi="宋体"/>
                <w:color w:val="auto"/>
                <w:szCs w:val="21"/>
                <w:highlight w:val="none"/>
              </w:rPr>
            </w:pPr>
          </w:p>
        </w:tc>
        <w:tc>
          <w:tcPr>
            <w:tcW w:w="1423" w:type="dxa"/>
            <w:vAlign w:val="center"/>
          </w:tcPr>
          <w:p w14:paraId="0F84634B">
            <w:pPr>
              <w:spacing w:line="300" w:lineRule="auto"/>
              <w:rPr>
                <w:rFonts w:ascii="宋体" w:hAnsi="宋体"/>
                <w:color w:val="auto"/>
                <w:szCs w:val="21"/>
                <w:highlight w:val="none"/>
              </w:rPr>
            </w:pPr>
          </w:p>
        </w:tc>
        <w:tc>
          <w:tcPr>
            <w:tcW w:w="1691" w:type="dxa"/>
            <w:vAlign w:val="center"/>
          </w:tcPr>
          <w:p w14:paraId="2BA7E40F">
            <w:pPr>
              <w:spacing w:line="300" w:lineRule="auto"/>
              <w:rPr>
                <w:rFonts w:ascii="宋体" w:hAnsi="宋体"/>
                <w:color w:val="auto"/>
                <w:szCs w:val="21"/>
                <w:highlight w:val="none"/>
              </w:rPr>
            </w:pPr>
          </w:p>
        </w:tc>
        <w:tc>
          <w:tcPr>
            <w:tcW w:w="935" w:type="dxa"/>
            <w:vAlign w:val="center"/>
          </w:tcPr>
          <w:p w14:paraId="73C03E87">
            <w:pPr>
              <w:spacing w:line="300" w:lineRule="auto"/>
              <w:rPr>
                <w:rFonts w:ascii="宋体" w:hAnsi="宋体"/>
                <w:color w:val="auto"/>
                <w:szCs w:val="21"/>
                <w:highlight w:val="none"/>
              </w:rPr>
            </w:pPr>
          </w:p>
        </w:tc>
        <w:tc>
          <w:tcPr>
            <w:tcW w:w="847" w:type="dxa"/>
            <w:vAlign w:val="center"/>
          </w:tcPr>
          <w:p w14:paraId="0C17C25B">
            <w:pPr>
              <w:spacing w:line="300" w:lineRule="auto"/>
              <w:rPr>
                <w:rFonts w:ascii="宋体" w:hAnsi="宋体"/>
                <w:color w:val="auto"/>
                <w:szCs w:val="21"/>
                <w:highlight w:val="none"/>
              </w:rPr>
            </w:pPr>
          </w:p>
        </w:tc>
        <w:tc>
          <w:tcPr>
            <w:tcW w:w="1257" w:type="dxa"/>
            <w:vAlign w:val="center"/>
          </w:tcPr>
          <w:p w14:paraId="6865CC6C">
            <w:pPr>
              <w:spacing w:line="300" w:lineRule="auto"/>
              <w:rPr>
                <w:rFonts w:ascii="宋体" w:hAnsi="宋体"/>
                <w:color w:val="auto"/>
                <w:szCs w:val="21"/>
                <w:highlight w:val="none"/>
              </w:rPr>
            </w:pPr>
          </w:p>
        </w:tc>
      </w:tr>
      <w:tr w14:paraId="2634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38" w:type="dxa"/>
            <w:vAlign w:val="center"/>
          </w:tcPr>
          <w:p w14:paraId="404182FA">
            <w:pPr>
              <w:spacing w:line="300" w:lineRule="auto"/>
              <w:jc w:val="center"/>
              <w:rPr>
                <w:rFonts w:ascii="宋体" w:hAnsi="宋体"/>
                <w:color w:val="auto"/>
                <w:szCs w:val="21"/>
                <w:highlight w:val="none"/>
              </w:rPr>
            </w:pPr>
            <w:r>
              <w:rPr>
                <w:rFonts w:hint="eastAsia" w:ascii="宋体" w:hAnsi="宋体"/>
                <w:color w:val="auto"/>
                <w:szCs w:val="21"/>
                <w:highlight w:val="none"/>
              </w:rPr>
              <w:t>……</w:t>
            </w:r>
          </w:p>
        </w:tc>
        <w:tc>
          <w:tcPr>
            <w:tcW w:w="1612" w:type="dxa"/>
            <w:vAlign w:val="center"/>
          </w:tcPr>
          <w:p w14:paraId="1FBC719B">
            <w:pPr>
              <w:spacing w:line="300" w:lineRule="auto"/>
              <w:rPr>
                <w:rFonts w:ascii="宋体" w:hAnsi="宋体"/>
                <w:color w:val="auto"/>
                <w:szCs w:val="21"/>
                <w:highlight w:val="none"/>
              </w:rPr>
            </w:pPr>
          </w:p>
        </w:tc>
        <w:tc>
          <w:tcPr>
            <w:tcW w:w="534" w:type="dxa"/>
            <w:vAlign w:val="center"/>
          </w:tcPr>
          <w:p w14:paraId="52F60D6A">
            <w:pPr>
              <w:spacing w:line="300" w:lineRule="auto"/>
              <w:rPr>
                <w:rFonts w:ascii="宋体" w:hAnsi="宋体"/>
                <w:color w:val="auto"/>
                <w:szCs w:val="21"/>
                <w:highlight w:val="none"/>
              </w:rPr>
            </w:pPr>
          </w:p>
        </w:tc>
        <w:tc>
          <w:tcPr>
            <w:tcW w:w="1423" w:type="dxa"/>
            <w:vAlign w:val="center"/>
          </w:tcPr>
          <w:p w14:paraId="6D052CF5">
            <w:pPr>
              <w:spacing w:line="300" w:lineRule="auto"/>
              <w:rPr>
                <w:rFonts w:ascii="宋体" w:hAnsi="宋体"/>
                <w:color w:val="auto"/>
                <w:szCs w:val="21"/>
                <w:highlight w:val="none"/>
              </w:rPr>
            </w:pPr>
          </w:p>
        </w:tc>
        <w:tc>
          <w:tcPr>
            <w:tcW w:w="1691" w:type="dxa"/>
            <w:vAlign w:val="center"/>
          </w:tcPr>
          <w:p w14:paraId="0C240929">
            <w:pPr>
              <w:spacing w:line="300" w:lineRule="auto"/>
              <w:rPr>
                <w:rFonts w:ascii="宋体" w:hAnsi="宋体"/>
                <w:color w:val="auto"/>
                <w:szCs w:val="21"/>
                <w:highlight w:val="none"/>
              </w:rPr>
            </w:pPr>
          </w:p>
        </w:tc>
        <w:tc>
          <w:tcPr>
            <w:tcW w:w="935" w:type="dxa"/>
            <w:vAlign w:val="center"/>
          </w:tcPr>
          <w:p w14:paraId="2771674A">
            <w:pPr>
              <w:spacing w:line="300" w:lineRule="auto"/>
              <w:rPr>
                <w:rFonts w:ascii="宋体" w:hAnsi="宋体"/>
                <w:color w:val="auto"/>
                <w:szCs w:val="21"/>
                <w:highlight w:val="none"/>
              </w:rPr>
            </w:pPr>
          </w:p>
        </w:tc>
        <w:tc>
          <w:tcPr>
            <w:tcW w:w="847" w:type="dxa"/>
            <w:vAlign w:val="center"/>
          </w:tcPr>
          <w:p w14:paraId="3BE4B830">
            <w:pPr>
              <w:spacing w:line="300" w:lineRule="auto"/>
              <w:rPr>
                <w:rFonts w:ascii="宋体" w:hAnsi="宋体"/>
                <w:color w:val="auto"/>
                <w:szCs w:val="21"/>
                <w:highlight w:val="none"/>
              </w:rPr>
            </w:pPr>
          </w:p>
        </w:tc>
        <w:tc>
          <w:tcPr>
            <w:tcW w:w="1257" w:type="dxa"/>
            <w:vAlign w:val="center"/>
          </w:tcPr>
          <w:p w14:paraId="1645DE3F">
            <w:pPr>
              <w:spacing w:line="300" w:lineRule="auto"/>
              <w:rPr>
                <w:rFonts w:ascii="宋体" w:hAnsi="宋体"/>
                <w:color w:val="auto"/>
                <w:szCs w:val="21"/>
                <w:highlight w:val="none"/>
              </w:rPr>
            </w:pPr>
          </w:p>
        </w:tc>
      </w:tr>
      <w:tr w14:paraId="58C4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8" w:type="dxa"/>
            <w:vAlign w:val="center"/>
          </w:tcPr>
          <w:p w14:paraId="385F2E47">
            <w:pPr>
              <w:spacing w:line="300" w:lineRule="auto"/>
              <w:jc w:val="center"/>
              <w:rPr>
                <w:rFonts w:ascii="宋体" w:hAnsi="宋体"/>
                <w:color w:val="auto"/>
                <w:szCs w:val="21"/>
                <w:highlight w:val="none"/>
              </w:rPr>
            </w:pPr>
            <w:r>
              <w:rPr>
                <w:rFonts w:hint="eastAsia" w:ascii="宋体" w:hAnsi="宋体"/>
                <w:color w:val="auto"/>
                <w:szCs w:val="21"/>
                <w:highlight w:val="none"/>
              </w:rPr>
              <w:t>N</w:t>
            </w:r>
          </w:p>
        </w:tc>
        <w:tc>
          <w:tcPr>
            <w:tcW w:w="1612" w:type="dxa"/>
            <w:vAlign w:val="center"/>
          </w:tcPr>
          <w:p w14:paraId="2BE959B3">
            <w:pPr>
              <w:spacing w:line="300" w:lineRule="auto"/>
              <w:rPr>
                <w:rFonts w:ascii="宋体" w:hAnsi="宋体"/>
                <w:color w:val="auto"/>
                <w:szCs w:val="21"/>
                <w:highlight w:val="none"/>
              </w:rPr>
            </w:pPr>
          </w:p>
        </w:tc>
        <w:tc>
          <w:tcPr>
            <w:tcW w:w="534" w:type="dxa"/>
            <w:vAlign w:val="center"/>
          </w:tcPr>
          <w:p w14:paraId="5901DF15">
            <w:pPr>
              <w:spacing w:line="300" w:lineRule="auto"/>
              <w:rPr>
                <w:rFonts w:ascii="宋体" w:hAnsi="宋体"/>
                <w:color w:val="auto"/>
                <w:szCs w:val="21"/>
                <w:highlight w:val="none"/>
              </w:rPr>
            </w:pPr>
          </w:p>
        </w:tc>
        <w:tc>
          <w:tcPr>
            <w:tcW w:w="1423" w:type="dxa"/>
            <w:vAlign w:val="center"/>
          </w:tcPr>
          <w:p w14:paraId="4A01897A">
            <w:pPr>
              <w:spacing w:line="300" w:lineRule="auto"/>
              <w:rPr>
                <w:rFonts w:ascii="宋体" w:hAnsi="宋体"/>
                <w:color w:val="auto"/>
                <w:szCs w:val="21"/>
                <w:highlight w:val="none"/>
              </w:rPr>
            </w:pPr>
          </w:p>
        </w:tc>
        <w:tc>
          <w:tcPr>
            <w:tcW w:w="1691" w:type="dxa"/>
            <w:vAlign w:val="center"/>
          </w:tcPr>
          <w:p w14:paraId="4D8EE957">
            <w:pPr>
              <w:spacing w:line="300" w:lineRule="auto"/>
              <w:rPr>
                <w:rFonts w:ascii="宋体" w:hAnsi="宋体"/>
                <w:color w:val="auto"/>
                <w:szCs w:val="21"/>
                <w:highlight w:val="none"/>
              </w:rPr>
            </w:pPr>
          </w:p>
        </w:tc>
        <w:tc>
          <w:tcPr>
            <w:tcW w:w="935" w:type="dxa"/>
            <w:vAlign w:val="center"/>
          </w:tcPr>
          <w:p w14:paraId="1F130646">
            <w:pPr>
              <w:spacing w:line="300" w:lineRule="auto"/>
              <w:rPr>
                <w:rFonts w:ascii="宋体" w:hAnsi="宋体"/>
                <w:color w:val="auto"/>
                <w:szCs w:val="21"/>
                <w:highlight w:val="none"/>
              </w:rPr>
            </w:pPr>
          </w:p>
        </w:tc>
        <w:tc>
          <w:tcPr>
            <w:tcW w:w="847" w:type="dxa"/>
            <w:vAlign w:val="center"/>
          </w:tcPr>
          <w:p w14:paraId="281EC921">
            <w:pPr>
              <w:spacing w:line="300" w:lineRule="auto"/>
              <w:rPr>
                <w:rFonts w:ascii="宋体" w:hAnsi="宋体"/>
                <w:color w:val="auto"/>
                <w:szCs w:val="21"/>
                <w:highlight w:val="none"/>
              </w:rPr>
            </w:pPr>
          </w:p>
        </w:tc>
        <w:tc>
          <w:tcPr>
            <w:tcW w:w="1257" w:type="dxa"/>
            <w:vAlign w:val="center"/>
          </w:tcPr>
          <w:p w14:paraId="244D112C">
            <w:pPr>
              <w:spacing w:line="300" w:lineRule="auto"/>
              <w:rPr>
                <w:rFonts w:ascii="宋体" w:hAnsi="宋体"/>
                <w:color w:val="auto"/>
                <w:szCs w:val="21"/>
                <w:highlight w:val="none"/>
              </w:rPr>
            </w:pPr>
          </w:p>
        </w:tc>
      </w:tr>
      <w:tr w14:paraId="1DB8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37" w:type="dxa"/>
            <w:gridSpan w:val="8"/>
            <w:vAlign w:val="center"/>
          </w:tcPr>
          <w:p w14:paraId="25F8191D">
            <w:pPr>
              <w:spacing w:line="300" w:lineRule="auto"/>
              <w:rPr>
                <w:rFonts w:ascii="宋体" w:hAnsi="宋体"/>
                <w:color w:val="auto"/>
                <w:szCs w:val="21"/>
                <w:highlight w:val="none"/>
              </w:rPr>
            </w:pPr>
            <w:r>
              <w:rPr>
                <w:rFonts w:hint="eastAsia" w:ascii="宋体" w:hAnsi="宋体"/>
                <w:color w:val="auto"/>
                <w:szCs w:val="21"/>
                <w:highlight w:val="none"/>
              </w:rPr>
              <w:t>总报价（含其他优惠条件）：人民币（￥）</w:t>
            </w:r>
          </w:p>
        </w:tc>
      </w:tr>
    </w:tbl>
    <w:p w14:paraId="2A8BA0CF">
      <w:pPr>
        <w:spacing w:line="300" w:lineRule="auto"/>
        <w:rPr>
          <w:rFonts w:ascii="宋体" w:hAnsi="宋体"/>
          <w:color w:val="auto"/>
          <w:szCs w:val="21"/>
          <w:highlight w:val="none"/>
        </w:rPr>
      </w:pPr>
      <w:r>
        <w:rPr>
          <w:rFonts w:hint="eastAsia" w:ascii="宋体" w:hAnsi="宋体"/>
          <w:color w:val="auto"/>
          <w:szCs w:val="21"/>
          <w:highlight w:val="none"/>
        </w:rPr>
        <w:t>注：所有价格均用人民币表示，单位为元，精确到小数点后两位数。</w:t>
      </w:r>
    </w:p>
    <w:p w14:paraId="4BAEDA76">
      <w:pPr>
        <w:pStyle w:val="10"/>
        <w:spacing w:line="300" w:lineRule="auto"/>
        <w:rPr>
          <w:rFonts w:hAnsi="宋体"/>
          <w:color w:val="auto"/>
          <w:highlight w:val="none"/>
        </w:rPr>
      </w:pPr>
    </w:p>
    <w:p w14:paraId="3E68CEE2">
      <w:pPr>
        <w:pStyle w:val="10"/>
        <w:spacing w:line="300" w:lineRule="auto"/>
        <w:rPr>
          <w:rFonts w:hAnsi="宋体"/>
          <w:color w:val="auto"/>
          <w:kern w:val="2"/>
          <w:sz w:val="21"/>
          <w:highlight w:val="none"/>
        </w:rPr>
      </w:pPr>
      <w:r>
        <w:rPr>
          <w:rFonts w:hint="eastAsia" w:hAnsi="宋体"/>
          <w:color w:val="auto"/>
          <w:kern w:val="2"/>
          <w:sz w:val="21"/>
          <w:highlight w:val="none"/>
        </w:rPr>
        <w:t xml:space="preserve">法定代表人或被授权人（签字）:              </w:t>
      </w:r>
    </w:p>
    <w:p w14:paraId="278D821A">
      <w:pPr>
        <w:pStyle w:val="10"/>
        <w:spacing w:line="300" w:lineRule="auto"/>
        <w:rPr>
          <w:rFonts w:hAnsi="宋体"/>
          <w:color w:val="auto"/>
          <w:kern w:val="2"/>
          <w:sz w:val="21"/>
          <w:highlight w:val="none"/>
        </w:rPr>
      </w:pPr>
      <w:r>
        <w:rPr>
          <w:rFonts w:hint="eastAsia" w:hAnsi="宋体"/>
          <w:color w:val="auto"/>
          <w:kern w:val="2"/>
          <w:sz w:val="21"/>
          <w:highlight w:val="none"/>
        </w:rPr>
        <w:t>供应商名称（签公章）：</w:t>
      </w:r>
    </w:p>
    <w:p w14:paraId="16240A27">
      <w:pPr>
        <w:pStyle w:val="10"/>
        <w:spacing w:line="300" w:lineRule="auto"/>
        <w:rPr>
          <w:rFonts w:hAnsi="宋体"/>
          <w:color w:val="auto"/>
          <w:kern w:val="2"/>
          <w:sz w:val="21"/>
          <w:highlight w:val="none"/>
        </w:rPr>
      </w:pPr>
      <w:r>
        <w:rPr>
          <w:rFonts w:hint="eastAsia" w:hAnsi="宋体"/>
          <w:color w:val="auto"/>
          <w:kern w:val="2"/>
          <w:sz w:val="21"/>
          <w:highlight w:val="none"/>
        </w:rPr>
        <w:t>报价时间：</w:t>
      </w:r>
      <w:r>
        <w:rPr>
          <w:rFonts w:hint="eastAsia" w:hAnsi="宋体"/>
          <w:color w:val="auto"/>
          <w:kern w:val="2"/>
          <w:sz w:val="21"/>
          <w:highlight w:val="none"/>
          <w:lang w:val="en-US" w:eastAsia="zh-CN"/>
        </w:rPr>
        <w:t xml:space="preserve">  </w:t>
      </w:r>
      <w:r>
        <w:rPr>
          <w:rFonts w:hint="eastAsia" w:hAnsi="宋体"/>
          <w:color w:val="auto"/>
          <w:kern w:val="2"/>
          <w:sz w:val="21"/>
          <w:highlight w:val="none"/>
        </w:rPr>
        <w:t>年</w:t>
      </w:r>
      <w:r>
        <w:rPr>
          <w:rFonts w:hint="eastAsia" w:hAnsi="宋体"/>
          <w:color w:val="auto"/>
          <w:kern w:val="2"/>
          <w:sz w:val="21"/>
          <w:highlight w:val="none"/>
          <w:lang w:val="en-US" w:eastAsia="zh-CN"/>
        </w:rPr>
        <w:t xml:space="preserve">  </w:t>
      </w:r>
      <w:r>
        <w:rPr>
          <w:rFonts w:hint="eastAsia" w:hAnsi="宋体"/>
          <w:color w:val="auto"/>
          <w:kern w:val="2"/>
          <w:sz w:val="21"/>
          <w:highlight w:val="none"/>
        </w:rPr>
        <w:t>月</w:t>
      </w:r>
      <w:r>
        <w:rPr>
          <w:rFonts w:hint="eastAsia" w:hAnsi="宋体"/>
          <w:color w:val="auto"/>
          <w:kern w:val="2"/>
          <w:sz w:val="21"/>
          <w:highlight w:val="none"/>
          <w:lang w:val="en-US" w:eastAsia="zh-CN"/>
        </w:rPr>
        <w:t xml:space="preserve">  </w:t>
      </w:r>
      <w:r>
        <w:rPr>
          <w:rFonts w:hint="eastAsia" w:hAnsi="宋体"/>
          <w:color w:val="auto"/>
          <w:kern w:val="2"/>
          <w:sz w:val="21"/>
          <w:highlight w:val="none"/>
        </w:rPr>
        <w:t>日</w:t>
      </w:r>
    </w:p>
    <w:p w14:paraId="3EA7D543">
      <w:pPr>
        <w:spacing w:line="360" w:lineRule="exact"/>
        <w:rPr>
          <w:rFonts w:ascii="宋体" w:hAnsi="宋体"/>
          <w:color w:val="auto"/>
          <w:szCs w:val="21"/>
          <w:highlight w:val="none"/>
        </w:rPr>
      </w:pPr>
    </w:p>
    <w:p w14:paraId="4BE31BA5">
      <w:pPr>
        <w:spacing w:line="360" w:lineRule="exact"/>
        <w:rPr>
          <w:rFonts w:ascii="宋体" w:hAnsi="宋体"/>
          <w:color w:val="auto"/>
          <w:szCs w:val="21"/>
          <w:highlight w:val="none"/>
        </w:rPr>
      </w:pPr>
    </w:p>
    <w:p w14:paraId="3DCCA41E">
      <w:pPr>
        <w:spacing w:line="360" w:lineRule="exact"/>
        <w:rPr>
          <w:rFonts w:ascii="宋体" w:hAnsi="宋体"/>
          <w:color w:val="auto"/>
          <w:szCs w:val="21"/>
          <w:highlight w:val="none"/>
        </w:rPr>
      </w:pPr>
    </w:p>
    <w:p w14:paraId="479C644E">
      <w:pPr>
        <w:spacing w:line="360" w:lineRule="exact"/>
        <w:rPr>
          <w:rFonts w:ascii="宋体" w:hAnsi="宋体"/>
          <w:color w:val="auto"/>
          <w:szCs w:val="21"/>
          <w:highlight w:val="none"/>
        </w:rPr>
      </w:pPr>
    </w:p>
    <w:p w14:paraId="3AA786D0">
      <w:pPr>
        <w:spacing w:line="360" w:lineRule="exact"/>
        <w:rPr>
          <w:rFonts w:ascii="宋体" w:hAnsi="宋体"/>
          <w:color w:val="auto"/>
          <w:szCs w:val="21"/>
          <w:highlight w:val="none"/>
        </w:rPr>
      </w:pPr>
    </w:p>
    <w:p w14:paraId="52D90FAE">
      <w:pPr>
        <w:spacing w:line="360" w:lineRule="exact"/>
        <w:rPr>
          <w:rFonts w:ascii="宋体" w:hAnsi="宋体"/>
          <w:color w:val="auto"/>
          <w:szCs w:val="21"/>
          <w:highlight w:val="none"/>
        </w:rPr>
      </w:pPr>
    </w:p>
    <w:p w14:paraId="5464B683">
      <w:pPr>
        <w:spacing w:line="360" w:lineRule="exact"/>
        <w:rPr>
          <w:rFonts w:ascii="宋体" w:hAnsi="宋体"/>
          <w:color w:val="auto"/>
          <w:szCs w:val="21"/>
          <w:highlight w:val="none"/>
        </w:rPr>
      </w:pPr>
    </w:p>
    <w:p w14:paraId="6D2E151B">
      <w:pPr>
        <w:spacing w:line="360" w:lineRule="exact"/>
        <w:rPr>
          <w:rFonts w:ascii="宋体" w:hAnsi="宋体"/>
          <w:color w:val="auto"/>
          <w:szCs w:val="21"/>
          <w:highlight w:val="none"/>
        </w:rPr>
      </w:pPr>
    </w:p>
    <w:p w14:paraId="1FB1624E">
      <w:pPr>
        <w:spacing w:line="360" w:lineRule="exact"/>
        <w:rPr>
          <w:rFonts w:ascii="宋体" w:hAnsi="宋体"/>
          <w:color w:val="auto"/>
          <w:szCs w:val="21"/>
          <w:highlight w:val="none"/>
        </w:rPr>
      </w:pPr>
    </w:p>
    <w:p w14:paraId="1E3DFBEC">
      <w:pPr>
        <w:spacing w:line="360" w:lineRule="exact"/>
        <w:rPr>
          <w:rFonts w:ascii="宋体" w:hAnsi="宋体"/>
          <w:color w:val="auto"/>
          <w:szCs w:val="21"/>
          <w:highlight w:val="none"/>
        </w:rPr>
      </w:pPr>
    </w:p>
    <w:p w14:paraId="72377D43">
      <w:pPr>
        <w:pStyle w:val="2"/>
        <w:rPr>
          <w:color w:val="auto"/>
          <w:highlight w:val="none"/>
        </w:rPr>
      </w:pPr>
    </w:p>
    <w:p w14:paraId="64A76D7F">
      <w:pPr>
        <w:spacing w:line="360" w:lineRule="exact"/>
        <w:rPr>
          <w:rFonts w:ascii="宋体" w:hAnsi="宋体"/>
          <w:color w:val="auto"/>
          <w:szCs w:val="21"/>
          <w:highlight w:val="none"/>
        </w:rPr>
      </w:pPr>
    </w:p>
    <w:p w14:paraId="327B8604">
      <w:pPr>
        <w:spacing w:line="360" w:lineRule="exact"/>
        <w:rPr>
          <w:rFonts w:ascii="宋体" w:hAnsi="宋体"/>
          <w:color w:val="auto"/>
          <w:szCs w:val="21"/>
          <w:highlight w:val="none"/>
        </w:rPr>
      </w:pPr>
    </w:p>
    <w:p w14:paraId="406720DA">
      <w:pPr>
        <w:adjustRightInd w:val="0"/>
        <w:snapToGrid w:val="0"/>
        <w:spacing w:line="300" w:lineRule="auto"/>
        <w:rPr>
          <w:rFonts w:ascii="宋体" w:hAnsi="宋体"/>
          <w:b/>
          <w:color w:val="auto"/>
          <w:szCs w:val="21"/>
          <w:highlight w:val="none"/>
        </w:rPr>
      </w:pPr>
    </w:p>
    <w:p w14:paraId="46E897DF">
      <w:pPr>
        <w:adjustRightInd w:val="0"/>
        <w:snapToGrid w:val="0"/>
        <w:spacing w:line="300" w:lineRule="auto"/>
        <w:ind w:left="-88" w:leftChars="-42"/>
        <w:jc w:val="center"/>
        <w:rPr>
          <w:rFonts w:ascii="宋体" w:hAnsi="宋体"/>
          <w:b/>
          <w:color w:val="auto"/>
          <w:sz w:val="32"/>
          <w:szCs w:val="32"/>
          <w:highlight w:val="none"/>
        </w:rPr>
      </w:pPr>
      <w:r>
        <w:rPr>
          <w:rFonts w:hint="eastAsia" w:ascii="宋体" w:hAnsi="宋体"/>
          <w:b/>
          <w:color w:val="auto"/>
          <w:sz w:val="32"/>
          <w:szCs w:val="32"/>
          <w:highlight w:val="none"/>
        </w:rPr>
        <w:t>供货清单</w:t>
      </w:r>
    </w:p>
    <w:p w14:paraId="19FBB385">
      <w:pPr>
        <w:spacing w:line="300" w:lineRule="auto"/>
        <w:rPr>
          <w:rFonts w:ascii="宋体" w:hAnsi="宋体"/>
          <w:color w:val="auto"/>
          <w:szCs w:val="21"/>
          <w:highlight w:val="none"/>
        </w:rPr>
      </w:pPr>
    </w:p>
    <w:p w14:paraId="5EE10E26">
      <w:pPr>
        <w:spacing w:line="300" w:lineRule="auto"/>
        <w:rPr>
          <w:rFonts w:ascii="宋体" w:hAnsi="宋体"/>
          <w:color w:val="auto"/>
          <w:szCs w:val="21"/>
          <w:highlight w:val="none"/>
        </w:rPr>
      </w:pPr>
      <w:r>
        <w:rPr>
          <w:rFonts w:hint="eastAsia" w:ascii="宋体" w:hAnsi="宋体"/>
          <w:color w:val="auto"/>
          <w:szCs w:val="21"/>
          <w:highlight w:val="none"/>
        </w:rPr>
        <w:t>采购项目编号:</w:t>
      </w:r>
    </w:p>
    <w:p w14:paraId="0829A07B">
      <w:pPr>
        <w:spacing w:line="300" w:lineRule="auto"/>
        <w:rPr>
          <w:rFonts w:ascii="宋体" w:hAnsi="宋体"/>
          <w:color w:val="auto"/>
          <w:szCs w:val="21"/>
          <w:highlight w:val="none"/>
        </w:rPr>
      </w:pPr>
      <w:r>
        <w:rPr>
          <w:rFonts w:hint="eastAsia" w:ascii="宋体" w:hAnsi="宋体"/>
          <w:color w:val="auto"/>
          <w:szCs w:val="21"/>
          <w:highlight w:val="none"/>
        </w:rPr>
        <w:t>采购项目名称:</w:t>
      </w:r>
    </w:p>
    <w:p w14:paraId="3A1F1156">
      <w:pPr>
        <w:spacing w:line="300" w:lineRule="auto"/>
        <w:rPr>
          <w:rFonts w:ascii="宋体" w:hAnsi="宋体"/>
          <w:color w:val="auto"/>
          <w:szCs w:val="21"/>
          <w:highlight w:val="none"/>
        </w:rPr>
      </w:pPr>
      <w:r>
        <w:rPr>
          <w:rFonts w:hint="eastAsia" w:ascii="宋体" w:hAnsi="宋体"/>
          <w:color w:val="auto"/>
          <w:szCs w:val="21"/>
          <w:highlight w:val="none"/>
        </w:rPr>
        <w:t>分标：（如有）</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1"/>
        <w:gridCol w:w="2199"/>
        <w:gridCol w:w="3423"/>
        <w:gridCol w:w="2475"/>
      </w:tblGrid>
      <w:tr w14:paraId="5968C3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431" w:type="dxa"/>
            <w:vAlign w:val="center"/>
          </w:tcPr>
          <w:p w14:paraId="16B3249B">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序号</w:t>
            </w:r>
          </w:p>
        </w:tc>
        <w:tc>
          <w:tcPr>
            <w:tcW w:w="2199" w:type="dxa"/>
            <w:vAlign w:val="center"/>
          </w:tcPr>
          <w:p w14:paraId="7C28B1C2">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货物名称</w:t>
            </w:r>
          </w:p>
        </w:tc>
        <w:tc>
          <w:tcPr>
            <w:tcW w:w="3423" w:type="dxa"/>
            <w:vAlign w:val="center"/>
          </w:tcPr>
          <w:p w14:paraId="6E275303">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品牌及规格型号</w:t>
            </w:r>
          </w:p>
        </w:tc>
        <w:tc>
          <w:tcPr>
            <w:tcW w:w="2475" w:type="dxa"/>
            <w:vAlign w:val="center"/>
          </w:tcPr>
          <w:p w14:paraId="2018DCF6">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数量</w:t>
            </w:r>
          </w:p>
        </w:tc>
      </w:tr>
      <w:tr w14:paraId="63870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2BC89F90">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1</w:t>
            </w:r>
          </w:p>
        </w:tc>
        <w:tc>
          <w:tcPr>
            <w:tcW w:w="2199" w:type="dxa"/>
            <w:vAlign w:val="center"/>
          </w:tcPr>
          <w:p w14:paraId="006CBE9B">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47F96F16">
            <w:pPr>
              <w:adjustRightInd w:val="0"/>
              <w:snapToGrid w:val="0"/>
              <w:spacing w:line="300" w:lineRule="auto"/>
              <w:jc w:val="center"/>
              <w:rPr>
                <w:rFonts w:ascii="宋体" w:hAnsi="宋体"/>
                <w:color w:val="auto"/>
                <w:szCs w:val="21"/>
                <w:highlight w:val="none"/>
              </w:rPr>
            </w:pPr>
          </w:p>
        </w:tc>
        <w:tc>
          <w:tcPr>
            <w:tcW w:w="2475" w:type="dxa"/>
            <w:vAlign w:val="center"/>
          </w:tcPr>
          <w:p w14:paraId="4AB1A3ED">
            <w:pPr>
              <w:adjustRightInd w:val="0"/>
              <w:snapToGrid w:val="0"/>
              <w:spacing w:line="300" w:lineRule="auto"/>
              <w:jc w:val="center"/>
              <w:rPr>
                <w:rFonts w:ascii="宋体" w:hAnsi="宋体"/>
                <w:color w:val="auto"/>
                <w:szCs w:val="21"/>
                <w:highlight w:val="none"/>
              </w:rPr>
            </w:pPr>
          </w:p>
        </w:tc>
      </w:tr>
      <w:tr w14:paraId="50ED04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7B0800FA">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2</w:t>
            </w:r>
          </w:p>
        </w:tc>
        <w:tc>
          <w:tcPr>
            <w:tcW w:w="2199" w:type="dxa"/>
            <w:vAlign w:val="center"/>
          </w:tcPr>
          <w:p w14:paraId="56F809BB">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6F976ACA">
            <w:pPr>
              <w:adjustRightInd w:val="0"/>
              <w:snapToGrid w:val="0"/>
              <w:spacing w:line="300" w:lineRule="auto"/>
              <w:jc w:val="center"/>
              <w:rPr>
                <w:rFonts w:ascii="宋体" w:hAnsi="宋体"/>
                <w:color w:val="auto"/>
                <w:szCs w:val="21"/>
                <w:highlight w:val="none"/>
              </w:rPr>
            </w:pPr>
          </w:p>
        </w:tc>
        <w:tc>
          <w:tcPr>
            <w:tcW w:w="2475" w:type="dxa"/>
            <w:vAlign w:val="center"/>
          </w:tcPr>
          <w:p w14:paraId="613AD7DD">
            <w:pPr>
              <w:adjustRightInd w:val="0"/>
              <w:snapToGrid w:val="0"/>
              <w:spacing w:line="300" w:lineRule="auto"/>
              <w:jc w:val="center"/>
              <w:rPr>
                <w:rFonts w:ascii="宋体" w:hAnsi="宋体"/>
                <w:color w:val="auto"/>
                <w:szCs w:val="21"/>
                <w:highlight w:val="none"/>
              </w:rPr>
            </w:pPr>
          </w:p>
        </w:tc>
      </w:tr>
      <w:tr w14:paraId="08F555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4D550B63">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3</w:t>
            </w:r>
          </w:p>
        </w:tc>
        <w:tc>
          <w:tcPr>
            <w:tcW w:w="2199" w:type="dxa"/>
            <w:vAlign w:val="center"/>
          </w:tcPr>
          <w:p w14:paraId="0FA86140">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7F21F28F">
            <w:pPr>
              <w:adjustRightInd w:val="0"/>
              <w:snapToGrid w:val="0"/>
              <w:spacing w:line="300" w:lineRule="auto"/>
              <w:jc w:val="center"/>
              <w:rPr>
                <w:rFonts w:ascii="宋体" w:hAnsi="宋体"/>
                <w:color w:val="auto"/>
                <w:szCs w:val="21"/>
                <w:highlight w:val="none"/>
              </w:rPr>
            </w:pPr>
          </w:p>
        </w:tc>
        <w:tc>
          <w:tcPr>
            <w:tcW w:w="2475" w:type="dxa"/>
            <w:vAlign w:val="center"/>
          </w:tcPr>
          <w:p w14:paraId="7B51D857">
            <w:pPr>
              <w:adjustRightInd w:val="0"/>
              <w:snapToGrid w:val="0"/>
              <w:spacing w:line="300" w:lineRule="auto"/>
              <w:jc w:val="center"/>
              <w:rPr>
                <w:rFonts w:ascii="宋体" w:hAnsi="宋体"/>
                <w:color w:val="auto"/>
                <w:szCs w:val="21"/>
                <w:highlight w:val="none"/>
              </w:rPr>
            </w:pPr>
          </w:p>
        </w:tc>
      </w:tr>
      <w:tr w14:paraId="5CE95D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0AE042F9">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4</w:t>
            </w:r>
          </w:p>
        </w:tc>
        <w:tc>
          <w:tcPr>
            <w:tcW w:w="2199" w:type="dxa"/>
            <w:vAlign w:val="center"/>
          </w:tcPr>
          <w:p w14:paraId="6B423A52">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0898291A">
            <w:pPr>
              <w:adjustRightInd w:val="0"/>
              <w:snapToGrid w:val="0"/>
              <w:spacing w:line="300" w:lineRule="auto"/>
              <w:jc w:val="center"/>
              <w:rPr>
                <w:rFonts w:ascii="宋体" w:hAnsi="宋体"/>
                <w:color w:val="auto"/>
                <w:szCs w:val="21"/>
                <w:highlight w:val="none"/>
              </w:rPr>
            </w:pPr>
          </w:p>
        </w:tc>
        <w:tc>
          <w:tcPr>
            <w:tcW w:w="2475" w:type="dxa"/>
            <w:vAlign w:val="center"/>
          </w:tcPr>
          <w:p w14:paraId="69E88DF6">
            <w:pPr>
              <w:adjustRightInd w:val="0"/>
              <w:snapToGrid w:val="0"/>
              <w:spacing w:line="300" w:lineRule="auto"/>
              <w:jc w:val="center"/>
              <w:rPr>
                <w:rFonts w:ascii="宋体" w:hAnsi="宋体"/>
                <w:color w:val="auto"/>
                <w:szCs w:val="21"/>
                <w:highlight w:val="none"/>
              </w:rPr>
            </w:pPr>
          </w:p>
        </w:tc>
      </w:tr>
      <w:tr w14:paraId="0DEB26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6C307D90">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5</w:t>
            </w:r>
          </w:p>
        </w:tc>
        <w:tc>
          <w:tcPr>
            <w:tcW w:w="2199" w:type="dxa"/>
            <w:vAlign w:val="center"/>
          </w:tcPr>
          <w:p w14:paraId="177F7018">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52D9F9A4">
            <w:pPr>
              <w:adjustRightInd w:val="0"/>
              <w:snapToGrid w:val="0"/>
              <w:spacing w:line="300" w:lineRule="auto"/>
              <w:jc w:val="center"/>
              <w:rPr>
                <w:rFonts w:ascii="宋体" w:hAnsi="宋体"/>
                <w:color w:val="auto"/>
                <w:szCs w:val="21"/>
                <w:highlight w:val="none"/>
              </w:rPr>
            </w:pPr>
          </w:p>
        </w:tc>
        <w:tc>
          <w:tcPr>
            <w:tcW w:w="2475" w:type="dxa"/>
            <w:vAlign w:val="center"/>
          </w:tcPr>
          <w:p w14:paraId="755E714E">
            <w:pPr>
              <w:adjustRightInd w:val="0"/>
              <w:snapToGrid w:val="0"/>
              <w:spacing w:line="300" w:lineRule="auto"/>
              <w:jc w:val="center"/>
              <w:rPr>
                <w:rFonts w:ascii="宋体" w:hAnsi="宋体"/>
                <w:color w:val="auto"/>
                <w:szCs w:val="21"/>
                <w:highlight w:val="none"/>
              </w:rPr>
            </w:pPr>
          </w:p>
        </w:tc>
      </w:tr>
      <w:tr w14:paraId="5CE0D4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549371BC">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w:t>
            </w:r>
          </w:p>
        </w:tc>
        <w:tc>
          <w:tcPr>
            <w:tcW w:w="2199" w:type="dxa"/>
            <w:vAlign w:val="center"/>
          </w:tcPr>
          <w:p w14:paraId="425079EA">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531B9661">
            <w:pPr>
              <w:adjustRightInd w:val="0"/>
              <w:snapToGrid w:val="0"/>
              <w:spacing w:line="300" w:lineRule="auto"/>
              <w:jc w:val="center"/>
              <w:rPr>
                <w:rFonts w:ascii="宋体" w:hAnsi="宋体"/>
                <w:color w:val="auto"/>
                <w:szCs w:val="21"/>
                <w:highlight w:val="none"/>
              </w:rPr>
            </w:pPr>
          </w:p>
        </w:tc>
        <w:tc>
          <w:tcPr>
            <w:tcW w:w="2475" w:type="dxa"/>
            <w:vAlign w:val="center"/>
          </w:tcPr>
          <w:p w14:paraId="68768D29">
            <w:pPr>
              <w:adjustRightInd w:val="0"/>
              <w:snapToGrid w:val="0"/>
              <w:spacing w:line="300" w:lineRule="auto"/>
              <w:jc w:val="center"/>
              <w:rPr>
                <w:rFonts w:ascii="宋体" w:hAnsi="宋体"/>
                <w:color w:val="auto"/>
                <w:szCs w:val="21"/>
                <w:highlight w:val="none"/>
              </w:rPr>
            </w:pPr>
          </w:p>
        </w:tc>
      </w:tr>
    </w:tbl>
    <w:p w14:paraId="1BC3225C">
      <w:pPr>
        <w:tabs>
          <w:tab w:val="left" w:pos="1065"/>
        </w:tabs>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ab/>
      </w:r>
    </w:p>
    <w:p w14:paraId="6077B77F">
      <w:pPr>
        <w:adjustRightInd w:val="0"/>
        <w:snapToGrid w:val="0"/>
        <w:spacing w:line="300" w:lineRule="auto"/>
        <w:ind w:left="993" w:hanging="993"/>
        <w:rPr>
          <w:rFonts w:ascii="宋体" w:hAnsi="宋体"/>
          <w:color w:val="auto"/>
          <w:szCs w:val="21"/>
          <w:highlight w:val="none"/>
        </w:rPr>
      </w:pPr>
      <w:r>
        <w:rPr>
          <w:rFonts w:hint="eastAsia" w:ascii="宋体" w:hAnsi="宋体"/>
          <w:color w:val="auto"/>
          <w:szCs w:val="21"/>
          <w:highlight w:val="none"/>
        </w:rPr>
        <w:t>说明：1.提供所投设备详细的供货范围，包括主机、主要配件及生产厂家、软件系统、备品备件等。</w:t>
      </w:r>
    </w:p>
    <w:p w14:paraId="2CA64464">
      <w:pPr>
        <w:adjustRightInd w:val="0"/>
        <w:snapToGrid w:val="0"/>
        <w:spacing w:line="300" w:lineRule="auto"/>
        <w:rPr>
          <w:rFonts w:ascii="宋体" w:hAnsi="宋体"/>
          <w:color w:val="auto"/>
          <w:szCs w:val="21"/>
          <w:highlight w:val="none"/>
        </w:rPr>
      </w:pPr>
    </w:p>
    <w:p w14:paraId="0787E0CA">
      <w:pPr>
        <w:adjustRightInd w:val="0"/>
        <w:snapToGrid w:val="0"/>
        <w:spacing w:line="300" w:lineRule="auto"/>
        <w:rPr>
          <w:rFonts w:ascii="宋体" w:hAnsi="宋体"/>
          <w:color w:val="auto"/>
          <w:szCs w:val="21"/>
          <w:highlight w:val="none"/>
        </w:rPr>
      </w:pPr>
    </w:p>
    <w:p w14:paraId="0D02A301">
      <w:pPr>
        <w:pStyle w:val="10"/>
        <w:spacing w:line="360" w:lineRule="auto"/>
        <w:ind w:firstLine="3885" w:firstLineChars="1850"/>
        <w:rPr>
          <w:rFonts w:hAnsi="宋体"/>
          <w:color w:val="auto"/>
          <w:kern w:val="2"/>
          <w:sz w:val="21"/>
          <w:highlight w:val="none"/>
        </w:rPr>
      </w:pPr>
      <w:r>
        <w:rPr>
          <w:rFonts w:hint="eastAsia" w:hAnsi="宋体"/>
          <w:color w:val="auto"/>
          <w:kern w:val="2"/>
          <w:sz w:val="21"/>
          <w:highlight w:val="none"/>
        </w:rPr>
        <w:t xml:space="preserve">法定代表人或被授权人（签字）:              </w:t>
      </w:r>
    </w:p>
    <w:p w14:paraId="7CCDAD71">
      <w:pPr>
        <w:pStyle w:val="10"/>
        <w:spacing w:line="360" w:lineRule="auto"/>
        <w:ind w:firstLine="4830" w:firstLineChars="2300"/>
        <w:rPr>
          <w:rFonts w:hAnsi="宋体"/>
          <w:color w:val="auto"/>
          <w:kern w:val="2"/>
          <w:sz w:val="21"/>
          <w:highlight w:val="none"/>
        </w:rPr>
      </w:pPr>
      <w:r>
        <w:rPr>
          <w:rFonts w:hint="eastAsia" w:hAnsi="宋体"/>
          <w:color w:val="auto"/>
          <w:kern w:val="2"/>
          <w:sz w:val="21"/>
          <w:highlight w:val="none"/>
        </w:rPr>
        <w:t>供应商名称（签公章）：</w:t>
      </w:r>
    </w:p>
    <w:p w14:paraId="1A864C1E">
      <w:pPr>
        <w:spacing w:line="360" w:lineRule="exact"/>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0F0A02D5">
      <w:pPr>
        <w:spacing w:line="360" w:lineRule="exact"/>
        <w:rPr>
          <w:rFonts w:ascii="宋体" w:hAnsi="宋体"/>
          <w:b/>
          <w:color w:val="auto"/>
          <w:szCs w:val="21"/>
          <w:highlight w:val="none"/>
        </w:rPr>
      </w:pPr>
      <w:r>
        <w:rPr>
          <w:rFonts w:ascii="宋体" w:hAnsi="宋体"/>
          <w:color w:val="auto"/>
          <w:szCs w:val="21"/>
          <w:highlight w:val="none"/>
        </w:rPr>
        <w:br w:type="page"/>
      </w:r>
    </w:p>
    <w:p w14:paraId="043A0C26">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技术响应、偏离情况说明表</w:t>
      </w:r>
    </w:p>
    <w:p w14:paraId="00FD5119">
      <w:pPr>
        <w:spacing w:line="300" w:lineRule="auto"/>
        <w:rPr>
          <w:rFonts w:ascii="宋体" w:hAnsi="宋体"/>
          <w:color w:val="auto"/>
          <w:szCs w:val="21"/>
          <w:highlight w:val="none"/>
        </w:rPr>
      </w:pPr>
    </w:p>
    <w:p w14:paraId="6D3F3B80">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14:paraId="603382FA">
      <w:pPr>
        <w:spacing w:line="300" w:lineRule="auto"/>
        <w:rPr>
          <w:rFonts w:ascii="宋体" w:hAnsi="宋体"/>
          <w:color w:val="auto"/>
          <w:szCs w:val="21"/>
          <w:highlight w:val="none"/>
        </w:rPr>
      </w:pPr>
      <w:r>
        <w:rPr>
          <w:rFonts w:hint="eastAsia" w:ascii="宋体" w:hAnsi="宋体"/>
          <w:color w:val="auto"/>
          <w:szCs w:val="21"/>
          <w:highlight w:val="none"/>
        </w:rPr>
        <w:t>采购项目名称:</w:t>
      </w:r>
    </w:p>
    <w:p w14:paraId="31B5640A">
      <w:pPr>
        <w:spacing w:line="300" w:lineRule="auto"/>
        <w:rPr>
          <w:rFonts w:ascii="宋体" w:hAnsi="宋体"/>
          <w:color w:val="auto"/>
          <w:szCs w:val="21"/>
          <w:highlight w:val="none"/>
          <w:u w:val="single"/>
        </w:rPr>
      </w:pPr>
      <w:r>
        <w:rPr>
          <w:rFonts w:hint="eastAsia" w:ascii="宋体" w:hAnsi="宋体"/>
          <w:color w:val="auto"/>
          <w:szCs w:val="21"/>
          <w:highlight w:val="none"/>
        </w:rPr>
        <w:t>分标号：（如有）</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4"/>
        <w:gridCol w:w="1317"/>
        <w:gridCol w:w="1937"/>
        <w:gridCol w:w="1863"/>
        <w:gridCol w:w="1350"/>
        <w:gridCol w:w="1000"/>
        <w:gridCol w:w="1502"/>
      </w:tblGrid>
      <w:tr w14:paraId="39FEB3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4" w:space="0"/>
              <w:left w:val="single" w:color="auto" w:sz="4" w:space="0"/>
              <w:bottom w:val="single" w:color="auto" w:sz="6" w:space="0"/>
              <w:right w:val="single" w:color="auto" w:sz="6" w:space="0"/>
            </w:tcBorders>
            <w:vAlign w:val="center"/>
          </w:tcPr>
          <w:p w14:paraId="7427860E">
            <w:pPr>
              <w:pStyle w:val="8"/>
              <w:spacing w:line="300" w:lineRule="auto"/>
              <w:ind w:firstLine="0" w:firstLineChars="0"/>
              <w:jc w:val="center"/>
              <w:rPr>
                <w:rFonts w:ascii="宋体" w:hAnsi="宋体" w:eastAsia="宋体"/>
                <w:color w:val="auto"/>
                <w:kern w:val="2"/>
                <w:sz w:val="21"/>
                <w:szCs w:val="21"/>
                <w:highlight w:val="none"/>
              </w:rPr>
            </w:pPr>
            <w:bookmarkStart w:id="2" w:name="_Toc173211900"/>
            <w:bookmarkStart w:id="3" w:name="_Toc295404981"/>
            <w:bookmarkStart w:id="4" w:name="_Toc373333689"/>
            <w:bookmarkStart w:id="5" w:name="_Toc301781611"/>
            <w:bookmarkStart w:id="6" w:name="_Toc254970729"/>
            <w:bookmarkStart w:id="7" w:name="_Toc254970588"/>
            <w:bookmarkStart w:id="8" w:name="_Toc383699906"/>
            <w:bookmarkStart w:id="9" w:name="_Toc297193185"/>
            <w:bookmarkStart w:id="10" w:name="_Toc173066401"/>
            <w:r>
              <w:rPr>
                <w:rFonts w:hint="eastAsia" w:ascii="宋体" w:hAnsi="宋体" w:eastAsia="宋体"/>
                <w:color w:val="auto"/>
                <w:sz w:val="21"/>
                <w:szCs w:val="21"/>
                <w:highlight w:val="none"/>
              </w:rPr>
              <w:t>序号</w:t>
            </w:r>
            <w:bookmarkEnd w:id="2"/>
            <w:bookmarkEnd w:id="3"/>
            <w:bookmarkEnd w:id="4"/>
            <w:bookmarkEnd w:id="5"/>
            <w:bookmarkEnd w:id="6"/>
            <w:bookmarkEnd w:id="7"/>
            <w:bookmarkEnd w:id="8"/>
            <w:bookmarkEnd w:id="9"/>
            <w:bookmarkEnd w:id="10"/>
          </w:p>
        </w:tc>
        <w:tc>
          <w:tcPr>
            <w:tcW w:w="1317" w:type="dxa"/>
            <w:tcBorders>
              <w:top w:val="single" w:color="auto" w:sz="4" w:space="0"/>
              <w:left w:val="single" w:color="auto" w:sz="6" w:space="0"/>
              <w:bottom w:val="single" w:color="auto" w:sz="6" w:space="0"/>
              <w:right w:val="single" w:color="auto" w:sz="6" w:space="0"/>
            </w:tcBorders>
            <w:vAlign w:val="center"/>
          </w:tcPr>
          <w:p w14:paraId="5E1B7962">
            <w:pPr>
              <w:pStyle w:val="8"/>
              <w:spacing w:line="300" w:lineRule="auto"/>
              <w:ind w:firstLine="0" w:firstLineChars="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货物名称</w:t>
            </w:r>
          </w:p>
        </w:tc>
        <w:tc>
          <w:tcPr>
            <w:tcW w:w="1937" w:type="dxa"/>
            <w:tcBorders>
              <w:top w:val="single" w:color="auto" w:sz="4" w:space="0"/>
              <w:left w:val="single" w:color="auto" w:sz="6" w:space="0"/>
              <w:bottom w:val="single" w:color="auto" w:sz="6" w:space="0"/>
              <w:right w:val="single" w:color="auto" w:sz="6" w:space="0"/>
            </w:tcBorders>
            <w:vAlign w:val="center"/>
          </w:tcPr>
          <w:p w14:paraId="6D7F76EB">
            <w:pPr>
              <w:pStyle w:val="8"/>
              <w:spacing w:line="300" w:lineRule="auto"/>
              <w:ind w:firstLine="0" w:firstLineChars="0"/>
              <w:jc w:val="center"/>
              <w:rPr>
                <w:rFonts w:ascii="宋体" w:hAnsi="宋体" w:eastAsia="宋体"/>
                <w:color w:val="auto"/>
                <w:kern w:val="2"/>
                <w:sz w:val="21"/>
                <w:szCs w:val="21"/>
                <w:highlight w:val="none"/>
              </w:rPr>
            </w:pPr>
            <w:bookmarkStart w:id="11" w:name="_Toc254970730"/>
            <w:bookmarkStart w:id="12" w:name="_Toc301781612"/>
            <w:bookmarkStart w:id="13" w:name="_Toc173066402"/>
            <w:bookmarkStart w:id="14" w:name="_Toc297193186"/>
            <w:bookmarkStart w:id="15" w:name="_Toc254970589"/>
            <w:bookmarkStart w:id="16" w:name="_Toc373333690"/>
            <w:bookmarkStart w:id="17" w:name="_Toc295404982"/>
            <w:bookmarkStart w:id="18" w:name="_Toc383699907"/>
            <w:bookmarkStart w:id="19" w:name="_Toc173211901"/>
            <w:r>
              <w:rPr>
                <w:rFonts w:hint="eastAsia" w:hAnsi="宋体"/>
                <w:color w:val="auto"/>
                <w:sz w:val="21"/>
                <w:szCs w:val="21"/>
                <w:highlight w:val="none"/>
                <w:lang w:eastAsia="zh-CN"/>
              </w:rPr>
              <w:t>院内招标</w:t>
            </w:r>
            <w:r>
              <w:rPr>
                <w:rFonts w:hint="eastAsia" w:ascii="宋体" w:hAnsi="宋体" w:eastAsia="宋体"/>
                <w:color w:val="auto"/>
                <w:sz w:val="21"/>
                <w:szCs w:val="21"/>
                <w:highlight w:val="none"/>
              </w:rPr>
              <w:t>要求</w:t>
            </w:r>
            <w:bookmarkEnd w:id="11"/>
            <w:bookmarkEnd w:id="12"/>
            <w:bookmarkEnd w:id="13"/>
            <w:bookmarkEnd w:id="14"/>
            <w:bookmarkEnd w:id="15"/>
            <w:bookmarkEnd w:id="16"/>
            <w:bookmarkEnd w:id="17"/>
            <w:bookmarkEnd w:id="18"/>
            <w:bookmarkEnd w:id="19"/>
          </w:p>
        </w:tc>
        <w:tc>
          <w:tcPr>
            <w:tcW w:w="1863" w:type="dxa"/>
            <w:tcBorders>
              <w:top w:val="single" w:color="auto" w:sz="4" w:space="0"/>
              <w:left w:val="single" w:color="auto" w:sz="6" w:space="0"/>
              <w:bottom w:val="single" w:color="auto" w:sz="6" w:space="0"/>
              <w:right w:val="single" w:color="auto" w:sz="6" w:space="0"/>
            </w:tcBorders>
            <w:vAlign w:val="center"/>
          </w:tcPr>
          <w:p w14:paraId="7227F321">
            <w:pPr>
              <w:pStyle w:val="8"/>
              <w:spacing w:line="300" w:lineRule="auto"/>
              <w:ind w:firstLine="0" w:firstLineChars="0"/>
              <w:jc w:val="center"/>
              <w:rPr>
                <w:rFonts w:ascii="宋体" w:hAnsi="宋体" w:eastAsia="宋体"/>
                <w:color w:val="auto"/>
                <w:kern w:val="2"/>
                <w:sz w:val="21"/>
                <w:szCs w:val="21"/>
                <w:highlight w:val="none"/>
              </w:rPr>
            </w:pPr>
            <w:bookmarkStart w:id="20" w:name="_Toc373333691"/>
            <w:bookmarkStart w:id="21" w:name="_Toc254970731"/>
            <w:bookmarkStart w:id="22" w:name="_Toc383699908"/>
            <w:bookmarkStart w:id="23" w:name="_Toc297193187"/>
            <w:bookmarkStart w:id="24" w:name="_Toc295404983"/>
            <w:bookmarkStart w:id="25" w:name="_Toc173066403"/>
            <w:bookmarkStart w:id="26" w:name="_Toc173211902"/>
            <w:bookmarkStart w:id="27" w:name="_Toc254970590"/>
            <w:bookmarkStart w:id="28" w:name="_Toc301781613"/>
            <w:r>
              <w:rPr>
                <w:rFonts w:hint="eastAsia" w:ascii="宋体" w:hAnsi="宋体" w:eastAsia="宋体"/>
                <w:color w:val="auto"/>
                <w:sz w:val="21"/>
                <w:szCs w:val="21"/>
                <w:highlight w:val="none"/>
              </w:rPr>
              <w:t>响应文件具体响应</w:t>
            </w:r>
            <w:bookmarkEnd w:id="20"/>
            <w:bookmarkEnd w:id="21"/>
            <w:bookmarkEnd w:id="22"/>
            <w:bookmarkEnd w:id="23"/>
            <w:bookmarkEnd w:id="24"/>
            <w:bookmarkEnd w:id="25"/>
            <w:bookmarkEnd w:id="26"/>
            <w:bookmarkEnd w:id="27"/>
            <w:bookmarkEnd w:id="28"/>
            <w:r>
              <w:rPr>
                <w:rFonts w:hint="eastAsia" w:ascii="宋体" w:hAnsi="宋体" w:eastAsia="宋体"/>
                <w:color w:val="auto"/>
                <w:sz w:val="21"/>
                <w:szCs w:val="21"/>
                <w:highlight w:val="none"/>
              </w:rPr>
              <w:t>内容</w:t>
            </w:r>
          </w:p>
        </w:tc>
        <w:tc>
          <w:tcPr>
            <w:tcW w:w="1350" w:type="dxa"/>
            <w:tcBorders>
              <w:top w:val="single" w:color="auto" w:sz="4" w:space="0"/>
              <w:left w:val="single" w:color="auto" w:sz="6" w:space="0"/>
              <w:bottom w:val="single" w:color="auto" w:sz="6" w:space="0"/>
              <w:right w:val="single" w:color="auto" w:sz="6" w:space="0"/>
            </w:tcBorders>
            <w:vAlign w:val="center"/>
          </w:tcPr>
          <w:p w14:paraId="4A3CEA1E">
            <w:pPr>
              <w:pStyle w:val="8"/>
              <w:spacing w:line="300" w:lineRule="auto"/>
              <w:ind w:firstLine="0" w:firstLineChars="0"/>
              <w:jc w:val="center"/>
              <w:rPr>
                <w:rFonts w:ascii="宋体" w:hAnsi="宋体" w:eastAsia="宋体"/>
                <w:color w:val="auto"/>
                <w:kern w:val="2"/>
                <w:sz w:val="21"/>
                <w:szCs w:val="21"/>
                <w:highlight w:val="none"/>
              </w:rPr>
            </w:pPr>
            <w:bookmarkStart w:id="29" w:name="_Toc254970591"/>
            <w:bookmarkStart w:id="30" w:name="_Toc173211903"/>
            <w:bookmarkStart w:id="31" w:name="_Toc383699909"/>
            <w:bookmarkStart w:id="32" w:name="_Toc301781614"/>
            <w:bookmarkStart w:id="33" w:name="_Toc295404984"/>
            <w:bookmarkStart w:id="34" w:name="_Toc373333692"/>
            <w:bookmarkStart w:id="35" w:name="_Toc254970732"/>
            <w:bookmarkStart w:id="36" w:name="_Toc297193188"/>
            <w:bookmarkStart w:id="37" w:name="_Toc173066404"/>
            <w:r>
              <w:rPr>
                <w:rFonts w:hint="eastAsia" w:ascii="宋体" w:hAnsi="宋体" w:eastAsia="宋体"/>
                <w:color w:val="auto"/>
                <w:sz w:val="21"/>
                <w:szCs w:val="21"/>
                <w:highlight w:val="none"/>
              </w:rPr>
              <w:t>响应/偏离</w:t>
            </w:r>
            <w:bookmarkEnd w:id="29"/>
            <w:bookmarkEnd w:id="30"/>
            <w:bookmarkEnd w:id="31"/>
            <w:bookmarkEnd w:id="32"/>
            <w:bookmarkEnd w:id="33"/>
            <w:bookmarkEnd w:id="34"/>
            <w:bookmarkEnd w:id="35"/>
            <w:bookmarkEnd w:id="36"/>
            <w:bookmarkEnd w:id="37"/>
          </w:p>
        </w:tc>
        <w:tc>
          <w:tcPr>
            <w:tcW w:w="1000" w:type="dxa"/>
            <w:tcBorders>
              <w:top w:val="single" w:color="auto" w:sz="4" w:space="0"/>
              <w:left w:val="single" w:color="auto" w:sz="6" w:space="0"/>
              <w:bottom w:val="single" w:color="auto" w:sz="6" w:space="0"/>
              <w:right w:val="single" w:color="auto" w:sz="4" w:space="0"/>
            </w:tcBorders>
            <w:vAlign w:val="center"/>
          </w:tcPr>
          <w:p w14:paraId="324A66E6">
            <w:pPr>
              <w:pStyle w:val="8"/>
              <w:spacing w:line="300" w:lineRule="auto"/>
              <w:ind w:firstLine="0" w:firstLineChars="0"/>
              <w:jc w:val="center"/>
              <w:rPr>
                <w:rFonts w:ascii="宋体" w:hAnsi="宋体" w:eastAsia="宋体"/>
                <w:color w:val="auto"/>
                <w:kern w:val="2"/>
                <w:sz w:val="21"/>
                <w:szCs w:val="21"/>
                <w:highlight w:val="none"/>
              </w:rPr>
            </w:pPr>
            <w:bookmarkStart w:id="38" w:name="_Toc173211904"/>
            <w:bookmarkStart w:id="39" w:name="_Toc254970592"/>
            <w:bookmarkStart w:id="40" w:name="_Toc295404985"/>
            <w:bookmarkStart w:id="41" w:name="_Toc373333693"/>
            <w:bookmarkStart w:id="42" w:name="_Toc297193189"/>
            <w:bookmarkStart w:id="43" w:name="_Toc254970733"/>
            <w:bookmarkStart w:id="44" w:name="_Toc173066405"/>
            <w:bookmarkStart w:id="45" w:name="_Toc383699910"/>
            <w:bookmarkStart w:id="46" w:name="_Toc301781615"/>
            <w:r>
              <w:rPr>
                <w:rFonts w:hint="eastAsia" w:ascii="宋体" w:hAnsi="宋体" w:eastAsia="宋体"/>
                <w:color w:val="auto"/>
                <w:sz w:val="21"/>
                <w:szCs w:val="21"/>
                <w:highlight w:val="none"/>
              </w:rPr>
              <w:t>说明</w:t>
            </w:r>
            <w:bookmarkEnd w:id="38"/>
            <w:bookmarkEnd w:id="39"/>
            <w:bookmarkEnd w:id="40"/>
            <w:bookmarkEnd w:id="41"/>
            <w:bookmarkEnd w:id="42"/>
            <w:bookmarkEnd w:id="43"/>
            <w:bookmarkEnd w:id="44"/>
            <w:bookmarkEnd w:id="45"/>
            <w:bookmarkEnd w:id="46"/>
          </w:p>
        </w:tc>
        <w:tc>
          <w:tcPr>
            <w:tcW w:w="1502" w:type="dxa"/>
            <w:tcBorders>
              <w:top w:val="single" w:color="auto" w:sz="4" w:space="0"/>
              <w:left w:val="single" w:color="auto" w:sz="6" w:space="0"/>
              <w:bottom w:val="single" w:color="auto" w:sz="6" w:space="0"/>
              <w:right w:val="single" w:color="auto" w:sz="4" w:space="0"/>
            </w:tcBorders>
            <w:vAlign w:val="center"/>
          </w:tcPr>
          <w:p w14:paraId="0A0FFD58">
            <w:pPr>
              <w:pStyle w:val="8"/>
              <w:spacing w:line="300" w:lineRule="auto"/>
              <w:ind w:firstLine="0" w:firstLineChars="0"/>
              <w:jc w:val="center"/>
              <w:rPr>
                <w:rFonts w:hint="default" w:ascii="宋体" w:hAnsi="宋体" w:eastAsia="宋体"/>
                <w:color w:val="auto"/>
                <w:sz w:val="21"/>
                <w:szCs w:val="21"/>
                <w:highlight w:val="none"/>
                <w:lang w:val="en-US" w:eastAsia="zh-CN"/>
              </w:rPr>
            </w:pPr>
            <w:r>
              <w:rPr>
                <w:rFonts w:hint="eastAsia" w:hAnsi="宋体"/>
                <w:color w:val="auto"/>
                <w:sz w:val="21"/>
                <w:szCs w:val="21"/>
                <w:highlight w:val="none"/>
                <w:lang w:val="en-US" w:eastAsia="zh-CN"/>
              </w:rPr>
              <w:t>证明材料（页码）</w:t>
            </w:r>
          </w:p>
        </w:tc>
      </w:tr>
      <w:tr w14:paraId="30EAD7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0DA82B58">
            <w:pPr>
              <w:pStyle w:val="8"/>
              <w:spacing w:line="300" w:lineRule="auto"/>
              <w:ind w:firstLine="0" w:firstLineChars="0"/>
              <w:jc w:val="center"/>
              <w:rPr>
                <w:rFonts w:ascii="宋体" w:hAnsi="宋体" w:eastAsia="宋体"/>
                <w:color w:val="auto"/>
                <w:kern w:val="2"/>
                <w:sz w:val="21"/>
                <w:szCs w:val="21"/>
                <w:highlight w:val="none"/>
              </w:rPr>
            </w:pPr>
            <w:bookmarkStart w:id="47" w:name="_Toc173211905"/>
            <w:bookmarkStart w:id="48" w:name="_Toc254970593"/>
            <w:bookmarkStart w:id="49" w:name="_Toc295404986"/>
            <w:bookmarkStart w:id="50" w:name="_Toc173066406"/>
            <w:bookmarkStart w:id="51" w:name="_Toc383699911"/>
            <w:bookmarkStart w:id="52" w:name="_Toc297193190"/>
            <w:bookmarkStart w:id="53" w:name="_Toc254970734"/>
            <w:bookmarkStart w:id="54" w:name="_Toc301781616"/>
            <w:bookmarkStart w:id="55" w:name="_Toc373333694"/>
            <w:r>
              <w:rPr>
                <w:rFonts w:hint="eastAsia" w:ascii="宋体" w:hAnsi="宋体" w:eastAsia="宋体"/>
                <w:color w:val="auto"/>
                <w:sz w:val="21"/>
                <w:szCs w:val="21"/>
                <w:highlight w:val="none"/>
              </w:rPr>
              <w:t>1</w:t>
            </w:r>
            <w:bookmarkEnd w:id="47"/>
            <w:bookmarkEnd w:id="48"/>
            <w:bookmarkEnd w:id="49"/>
            <w:bookmarkEnd w:id="50"/>
            <w:bookmarkEnd w:id="51"/>
            <w:bookmarkEnd w:id="52"/>
            <w:bookmarkEnd w:id="53"/>
            <w:bookmarkEnd w:id="54"/>
            <w:bookmarkEnd w:id="55"/>
          </w:p>
        </w:tc>
        <w:tc>
          <w:tcPr>
            <w:tcW w:w="1317" w:type="dxa"/>
            <w:tcBorders>
              <w:top w:val="single" w:color="auto" w:sz="6" w:space="0"/>
              <w:left w:val="single" w:color="auto" w:sz="6" w:space="0"/>
              <w:bottom w:val="single" w:color="auto" w:sz="6" w:space="0"/>
              <w:right w:val="single" w:color="auto" w:sz="6" w:space="0"/>
            </w:tcBorders>
          </w:tcPr>
          <w:p w14:paraId="50B5644C">
            <w:pPr>
              <w:pStyle w:val="8"/>
              <w:spacing w:line="300" w:lineRule="auto"/>
              <w:ind w:firstLine="0" w:firstLineChars="0"/>
              <w:rPr>
                <w:rFonts w:ascii="宋体" w:hAnsi="宋体" w:eastAsia="宋体"/>
                <w:color w:val="auto"/>
                <w:kern w:val="2"/>
                <w:sz w:val="21"/>
                <w:szCs w:val="21"/>
                <w:highlight w:val="none"/>
              </w:rPr>
            </w:pPr>
          </w:p>
        </w:tc>
        <w:tc>
          <w:tcPr>
            <w:tcW w:w="1937" w:type="dxa"/>
            <w:tcBorders>
              <w:top w:val="single" w:color="auto" w:sz="6" w:space="0"/>
              <w:left w:val="single" w:color="auto" w:sz="6" w:space="0"/>
              <w:bottom w:val="single" w:color="auto" w:sz="6" w:space="0"/>
              <w:right w:val="single" w:color="auto" w:sz="6" w:space="0"/>
            </w:tcBorders>
            <w:vAlign w:val="center"/>
          </w:tcPr>
          <w:p w14:paraId="0E57A921">
            <w:pPr>
              <w:pStyle w:val="8"/>
              <w:spacing w:line="300" w:lineRule="auto"/>
              <w:ind w:firstLine="0" w:firstLineChars="0"/>
              <w:rPr>
                <w:rFonts w:ascii="宋体" w:hAnsi="宋体" w:eastAsia="宋体"/>
                <w:color w:val="auto"/>
                <w:kern w:val="2"/>
                <w:sz w:val="21"/>
                <w:szCs w:val="21"/>
                <w:highlight w:val="none"/>
              </w:rPr>
            </w:pPr>
          </w:p>
        </w:tc>
        <w:tc>
          <w:tcPr>
            <w:tcW w:w="1863" w:type="dxa"/>
            <w:tcBorders>
              <w:top w:val="single" w:color="auto" w:sz="6" w:space="0"/>
              <w:left w:val="single" w:color="auto" w:sz="6" w:space="0"/>
              <w:bottom w:val="single" w:color="auto" w:sz="6" w:space="0"/>
              <w:right w:val="single" w:color="auto" w:sz="6" w:space="0"/>
            </w:tcBorders>
            <w:vAlign w:val="center"/>
          </w:tcPr>
          <w:p w14:paraId="5647BC75">
            <w:pPr>
              <w:pStyle w:val="8"/>
              <w:spacing w:line="300" w:lineRule="auto"/>
              <w:ind w:firstLine="0" w:firstLineChars="0"/>
              <w:rPr>
                <w:rFonts w:ascii="宋体" w:hAnsi="宋体" w:eastAsia="宋体"/>
                <w:color w:val="auto"/>
                <w:kern w:val="2"/>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vAlign w:val="center"/>
          </w:tcPr>
          <w:p w14:paraId="23A74DAD">
            <w:pPr>
              <w:pStyle w:val="8"/>
              <w:spacing w:line="300" w:lineRule="auto"/>
              <w:ind w:firstLine="0" w:firstLineChars="0"/>
              <w:rPr>
                <w:rFonts w:ascii="宋体" w:hAnsi="宋体" w:eastAsia="宋体"/>
                <w:color w:val="auto"/>
                <w:kern w:val="2"/>
                <w:sz w:val="21"/>
                <w:szCs w:val="21"/>
                <w:highlight w:val="none"/>
              </w:rPr>
            </w:pPr>
          </w:p>
        </w:tc>
        <w:tc>
          <w:tcPr>
            <w:tcW w:w="1000" w:type="dxa"/>
            <w:tcBorders>
              <w:top w:val="single" w:color="auto" w:sz="6" w:space="0"/>
              <w:left w:val="single" w:color="auto" w:sz="6" w:space="0"/>
              <w:bottom w:val="single" w:color="auto" w:sz="6" w:space="0"/>
              <w:right w:val="single" w:color="auto" w:sz="4" w:space="0"/>
            </w:tcBorders>
            <w:vAlign w:val="center"/>
          </w:tcPr>
          <w:p w14:paraId="4F7CE06C">
            <w:pPr>
              <w:pStyle w:val="8"/>
              <w:spacing w:line="300" w:lineRule="auto"/>
              <w:ind w:firstLine="0" w:firstLineChars="0"/>
              <w:rPr>
                <w:rFonts w:ascii="宋体" w:hAnsi="宋体" w:eastAsia="宋体"/>
                <w:color w:val="auto"/>
                <w:kern w:val="2"/>
                <w:sz w:val="21"/>
                <w:szCs w:val="21"/>
                <w:highlight w:val="none"/>
              </w:rPr>
            </w:pPr>
          </w:p>
        </w:tc>
        <w:tc>
          <w:tcPr>
            <w:tcW w:w="1502" w:type="dxa"/>
            <w:tcBorders>
              <w:top w:val="single" w:color="auto" w:sz="6" w:space="0"/>
              <w:left w:val="single" w:color="auto" w:sz="6" w:space="0"/>
              <w:bottom w:val="single" w:color="auto" w:sz="6" w:space="0"/>
              <w:right w:val="single" w:color="auto" w:sz="4" w:space="0"/>
            </w:tcBorders>
            <w:vAlign w:val="center"/>
          </w:tcPr>
          <w:p w14:paraId="0A3CB02C">
            <w:pPr>
              <w:pStyle w:val="8"/>
              <w:spacing w:line="300" w:lineRule="auto"/>
              <w:ind w:firstLine="0" w:firstLineChars="0"/>
              <w:rPr>
                <w:rFonts w:ascii="宋体" w:hAnsi="宋体" w:eastAsia="宋体"/>
                <w:color w:val="auto"/>
                <w:kern w:val="2"/>
                <w:sz w:val="21"/>
                <w:szCs w:val="21"/>
                <w:highlight w:val="none"/>
              </w:rPr>
            </w:pPr>
          </w:p>
        </w:tc>
      </w:tr>
      <w:tr w14:paraId="4CFA9F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100E4388">
            <w:pPr>
              <w:pStyle w:val="8"/>
              <w:spacing w:line="300" w:lineRule="auto"/>
              <w:ind w:firstLine="0" w:firstLineChars="0"/>
              <w:jc w:val="center"/>
              <w:rPr>
                <w:rFonts w:ascii="宋体" w:hAnsi="宋体" w:eastAsia="宋体"/>
                <w:color w:val="auto"/>
                <w:kern w:val="2"/>
                <w:sz w:val="21"/>
                <w:szCs w:val="21"/>
                <w:highlight w:val="none"/>
              </w:rPr>
            </w:pPr>
            <w:bookmarkStart w:id="56" w:name="_Toc383699912"/>
            <w:bookmarkStart w:id="57" w:name="_Toc254970735"/>
            <w:bookmarkStart w:id="58" w:name="_Toc173066407"/>
            <w:bookmarkStart w:id="59" w:name="_Toc297193191"/>
            <w:bookmarkStart w:id="60" w:name="_Toc254970594"/>
            <w:bookmarkStart w:id="61" w:name="_Toc173211906"/>
            <w:bookmarkStart w:id="62" w:name="_Toc373333695"/>
            <w:bookmarkStart w:id="63" w:name="_Toc295404987"/>
            <w:bookmarkStart w:id="64" w:name="_Toc301781617"/>
            <w:r>
              <w:rPr>
                <w:rFonts w:hint="eastAsia" w:ascii="宋体" w:hAnsi="宋体" w:eastAsia="宋体"/>
                <w:color w:val="auto"/>
                <w:sz w:val="21"/>
                <w:szCs w:val="21"/>
                <w:highlight w:val="none"/>
              </w:rPr>
              <w:t>2</w:t>
            </w:r>
            <w:bookmarkEnd w:id="56"/>
            <w:bookmarkEnd w:id="57"/>
            <w:bookmarkEnd w:id="58"/>
            <w:bookmarkEnd w:id="59"/>
            <w:bookmarkEnd w:id="60"/>
            <w:bookmarkEnd w:id="61"/>
            <w:bookmarkEnd w:id="62"/>
            <w:bookmarkEnd w:id="63"/>
            <w:bookmarkEnd w:id="64"/>
          </w:p>
        </w:tc>
        <w:tc>
          <w:tcPr>
            <w:tcW w:w="1317" w:type="dxa"/>
            <w:tcBorders>
              <w:top w:val="single" w:color="auto" w:sz="6" w:space="0"/>
              <w:left w:val="single" w:color="auto" w:sz="6" w:space="0"/>
              <w:bottom w:val="single" w:color="auto" w:sz="6" w:space="0"/>
              <w:right w:val="single" w:color="auto" w:sz="6" w:space="0"/>
            </w:tcBorders>
          </w:tcPr>
          <w:p w14:paraId="6AA37B5C">
            <w:pPr>
              <w:pStyle w:val="8"/>
              <w:spacing w:line="300" w:lineRule="auto"/>
              <w:ind w:firstLine="0" w:firstLineChars="0"/>
              <w:rPr>
                <w:rFonts w:ascii="宋体" w:hAnsi="宋体" w:eastAsia="宋体"/>
                <w:color w:val="auto"/>
                <w:kern w:val="2"/>
                <w:sz w:val="21"/>
                <w:szCs w:val="21"/>
                <w:highlight w:val="none"/>
              </w:rPr>
            </w:pPr>
          </w:p>
        </w:tc>
        <w:tc>
          <w:tcPr>
            <w:tcW w:w="1937" w:type="dxa"/>
            <w:tcBorders>
              <w:top w:val="single" w:color="auto" w:sz="6" w:space="0"/>
              <w:left w:val="single" w:color="auto" w:sz="6" w:space="0"/>
              <w:bottom w:val="single" w:color="auto" w:sz="6" w:space="0"/>
              <w:right w:val="single" w:color="auto" w:sz="6" w:space="0"/>
            </w:tcBorders>
            <w:vAlign w:val="center"/>
          </w:tcPr>
          <w:p w14:paraId="0B46AD57">
            <w:pPr>
              <w:pStyle w:val="8"/>
              <w:spacing w:line="300" w:lineRule="auto"/>
              <w:ind w:firstLine="0" w:firstLineChars="0"/>
              <w:rPr>
                <w:rFonts w:ascii="宋体" w:hAnsi="宋体" w:eastAsia="宋体"/>
                <w:color w:val="auto"/>
                <w:kern w:val="2"/>
                <w:sz w:val="21"/>
                <w:szCs w:val="21"/>
                <w:highlight w:val="none"/>
              </w:rPr>
            </w:pPr>
          </w:p>
        </w:tc>
        <w:tc>
          <w:tcPr>
            <w:tcW w:w="1863" w:type="dxa"/>
            <w:tcBorders>
              <w:top w:val="single" w:color="auto" w:sz="6" w:space="0"/>
              <w:left w:val="single" w:color="auto" w:sz="6" w:space="0"/>
              <w:bottom w:val="single" w:color="auto" w:sz="6" w:space="0"/>
              <w:right w:val="single" w:color="auto" w:sz="6" w:space="0"/>
            </w:tcBorders>
            <w:vAlign w:val="center"/>
          </w:tcPr>
          <w:p w14:paraId="0D318888">
            <w:pPr>
              <w:pStyle w:val="8"/>
              <w:spacing w:line="300" w:lineRule="auto"/>
              <w:ind w:firstLine="0" w:firstLineChars="0"/>
              <w:rPr>
                <w:rFonts w:ascii="宋体" w:hAnsi="宋体" w:eastAsia="宋体"/>
                <w:color w:val="auto"/>
                <w:kern w:val="2"/>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vAlign w:val="center"/>
          </w:tcPr>
          <w:p w14:paraId="7FC54A7F">
            <w:pPr>
              <w:pStyle w:val="8"/>
              <w:spacing w:line="300" w:lineRule="auto"/>
              <w:ind w:firstLine="0" w:firstLineChars="0"/>
              <w:rPr>
                <w:rFonts w:ascii="宋体" w:hAnsi="宋体" w:eastAsia="宋体"/>
                <w:color w:val="auto"/>
                <w:kern w:val="2"/>
                <w:sz w:val="21"/>
                <w:szCs w:val="21"/>
                <w:highlight w:val="none"/>
              </w:rPr>
            </w:pPr>
          </w:p>
        </w:tc>
        <w:tc>
          <w:tcPr>
            <w:tcW w:w="1000" w:type="dxa"/>
            <w:tcBorders>
              <w:top w:val="single" w:color="auto" w:sz="6" w:space="0"/>
              <w:left w:val="single" w:color="auto" w:sz="6" w:space="0"/>
              <w:bottom w:val="single" w:color="auto" w:sz="6" w:space="0"/>
              <w:right w:val="single" w:color="auto" w:sz="4" w:space="0"/>
            </w:tcBorders>
            <w:vAlign w:val="center"/>
          </w:tcPr>
          <w:p w14:paraId="76EBABB2">
            <w:pPr>
              <w:pStyle w:val="8"/>
              <w:spacing w:line="300" w:lineRule="auto"/>
              <w:ind w:firstLine="0" w:firstLineChars="0"/>
              <w:rPr>
                <w:rFonts w:ascii="宋体" w:hAnsi="宋体" w:eastAsia="宋体"/>
                <w:color w:val="auto"/>
                <w:kern w:val="2"/>
                <w:sz w:val="21"/>
                <w:szCs w:val="21"/>
                <w:highlight w:val="none"/>
              </w:rPr>
            </w:pPr>
          </w:p>
        </w:tc>
        <w:tc>
          <w:tcPr>
            <w:tcW w:w="1502" w:type="dxa"/>
            <w:tcBorders>
              <w:top w:val="single" w:color="auto" w:sz="6" w:space="0"/>
              <w:left w:val="single" w:color="auto" w:sz="6" w:space="0"/>
              <w:bottom w:val="single" w:color="auto" w:sz="6" w:space="0"/>
              <w:right w:val="single" w:color="auto" w:sz="4" w:space="0"/>
            </w:tcBorders>
            <w:vAlign w:val="center"/>
          </w:tcPr>
          <w:p w14:paraId="5574277F">
            <w:pPr>
              <w:pStyle w:val="8"/>
              <w:spacing w:line="300" w:lineRule="auto"/>
              <w:ind w:firstLine="0" w:firstLineChars="0"/>
              <w:rPr>
                <w:rFonts w:ascii="宋体" w:hAnsi="宋体" w:eastAsia="宋体"/>
                <w:color w:val="auto"/>
                <w:kern w:val="2"/>
                <w:sz w:val="21"/>
                <w:szCs w:val="21"/>
                <w:highlight w:val="none"/>
              </w:rPr>
            </w:pPr>
          </w:p>
        </w:tc>
      </w:tr>
      <w:tr w14:paraId="6B1567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41039E3C">
            <w:pPr>
              <w:pStyle w:val="8"/>
              <w:spacing w:line="300" w:lineRule="auto"/>
              <w:ind w:firstLine="0" w:firstLineChars="0"/>
              <w:jc w:val="center"/>
              <w:rPr>
                <w:rFonts w:ascii="宋体" w:hAnsi="宋体" w:eastAsia="宋体"/>
                <w:color w:val="auto"/>
                <w:kern w:val="2"/>
                <w:sz w:val="21"/>
                <w:szCs w:val="21"/>
                <w:highlight w:val="none"/>
              </w:rPr>
            </w:pPr>
            <w:bookmarkStart w:id="65" w:name="_Toc173066408"/>
            <w:bookmarkStart w:id="66" w:name="_Toc254970595"/>
            <w:bookmarkStart w:id="67" w:name="_Toc373333696"/>
            <w:bookmarkStart w:id="68" w:name="_Toc383699913"/>
            <w:bookmarkStart w:id="69" w:name="_Toc297193192"/>
            <w:bookmarkStart w:id="70" w:name="_Toc295404988"/>
            <w:bookmarkStart w:id="71" w:name="_Toc173211907"/>
            <w:bookmarkStart w:id="72" w:name="_Toc301781618"/>
            <w:bookmarkStart w:id="73" w:name="_Toc254970736"/>
            <w:r>
              <w:rPr>
                <w:rFonts w:hint="eastAsia" w:ascii="宋体" w:hAnsi="宋体" w:eastAsia="宋体"/>
                <w:color w:val="auto"/>
                <w:sz w:val="21"/>
                <w:szCs w:val="21"/>
                <w:highlight w:val="none"/>
              </w:rPr>
              <w:t>3</w:t>
            </w:r>
            <w:bookmarkEnd w:id="65"/>
            <w:bookmarkEnd w:id="66"/>
            <w:bookmarkEnd w:id="67"/>
            <w:bookmarkEnd w:id="68"/>
            <w:bookmarkEnd w:id="69"/>
            <w:bookmarkEnd w:id="70"/>
            <w:bookmarkEnd w:id="71"/>
            <w:bookmarkEnd w:id="72"/>
            <w:bookmarkEnd w:id="73"/>
          </w:p>
        </w:tc>
        <w:tc>
          <w:tcPr>
            <w:tcW w:w="1317" w:type="dxa"/>
            <w:tcBorders>
              <w:top w:val="single" w:color="auto" w:sz="6" w:space="0"/>
              <w:left w:val="single" w:color="auto" w:sz="6" w:space="0"/>
              <w:bottom w:val="single" w:color="auto" w:sz="6" w:space="0"/>
              <w:right w:val="single" w:color="auto" w:sz="6" w:space="0"/>
            </w:tcBorders>
          </w:tcPr>
          <w:p w14:paraId="759C6D4F">
            <w:pPr>
              <w:pStyle w:val="8"/>
              <w:spacing w:line="300" w:lineRule="auto"/>
              <w:ind w:firstLine="0" w:firstLineChars="0"/>
              <w:rPr>
                <w:rFonts w:ascii="宋体" w:hAnsi="宋体" w:eastAsia="宋体"/>
                <w:color w:val="auto"/>
                <w:kern w:val="2"/>
                <w:sz w:val="21"/>
                <w:szCs w:val="21"/>
                <w:highlight w:val="none"/>
              </w:rPr>
            </w:pPr>
          </w:p>
        </w:tc>
        <w:tc>
          <w:tcPr>
            <w:tcW w:w="1937" w:type="dxa"/>
            <w:tcBorders>
              <w:top w:val="single" w:color="auto" w:sz="6" w:space="0"/>
              <w:left w:val="single" w:color="auto" w:sz="6" w:space="0"/>
              <w:bottom w:val="single" w:color="auto" w:sz="6" w:space="0"/>
              <w:right w:val="single" w:color="auto" w:sz="6" w:space="0"/>
            </w:tcBorders>
            <w:vAlign w:val="center"/>
          </w:tcPr>
          <w:p w14:paraId="10D34E09">
            <w:pPr>
              <w:pStyle w:val="8"/>
              <w:spacing w:line="300" w:lineRule="auto"/>
              <w:ind w:firstLine="0" w:firstLineChars="0"/>
              <w:rPr>
                <w:rFonts w:ascii="宋体" w:hAnsi="宋体" w:eastAsia="宋体"/>
                <w:color w:val="auto"/>
                <w:kern w:val="2"/>
                <w:sz w:val="21"/>
                <w:szCs w:val="21"/>
                <w:highlight w:val="none"/>
              </w:rPr>
            </w:pPr>
          </w:p>
        </w:tc>
        <w:tc>
          <w:tcPr>
            <w:tcW w:w="1863" w:type="dxa"/>
            <w:tcBorders>
              <w:top w:val="single" w:color="auto" w:sz="6" w:space="0"/>
              <w:left w:val="single" w:color="auto" w:sz="6" w:space="0"/>
              <w:bottom w:val="single" w:color="auto" w:sz="6" w:space="0"/>
              <w:right w:val="single" w:color="auto" w:sz="6" w:space="0"/>
            </w:tcBorders>
            <w:vAlign w:val="center"/>
          </w:tcPr>
          <w:p w14:paraId="46CD9295">
            <w:pPr>
              <w:pStyle w:val="8"/>
              <w:spacing w:line="300" w:lineRule="auto"/>
              <w:ind w:firstLine="0" w:firstLineChars="0"/>
              <w:rPr>
                <w:rFonts w:ascii="宋体" w:hAnsi="宋体" w:eastAsia="宋体"/>
                <w:color w:val="auto"/>
                <w:kern w:val="2"/>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vAlign w:val="center"/>
          </w:tcPr>
          <w:p w14:paraId="60ABF2DC">
            <w:pPr>
              <w:pStyle w:val="8"/>
              <w:spacing w:line="300" w:lineRule="auto"/>
              <w:ind w:firstLine="0" w:firstLineChars="0"/>
              <w:rPr>
                <w:rFonts w:ascii="宋体" w:hAnsi="宋体" w:eastAsia="宋体"/>
                <w:color w:val="auto"/>
                <w:kern w:val="2"/>
                <w:sz w:val="21"/>
                <w:szCs w:val="21"/>
                <w:highlight w:val="none"/>
              </w:rPr>
            </w:pPr>
          </w:p>
        </w:tc>
        <w:tc>
          <w:tcPr>
            <w:tcW w:w="1000" w:type="dxa"/>
            <w:tcBorders>
              <w:top w:val="single" w:color="auto" w:sz="6" w:space="0"/>
              <w:left w:val="single" w:color="auto" w:sz="6" w:space="0"/>
              <w:bottom w:val="single" w:color="auto" w:sz="6" w:space="0"/>
              <w:right w:val="single" w:color="auto" w:sz="4" w:space="0"/>
            </w:tcBorders>
            <w:vAlign w:val="center"/>
          </w:tcPr>
          <w:p w14:paraId="5C868767">
            <w:pPr>
              <w:pStyle w:val="8"/>
              <w:spacing w:line="300" w:lineRule="auto"/>
              <w:ind w:firstLine="0" w:firstLineChars="0"/>
              <w:rPr>
                <w:rFonts w:ascii="宋体" w:hAnsi="宋体" w:eastAsia="宋体"/>
                <w:color w:val="auto"/>
                <w:kern w:val="2"/>
                <w:sz w:val="21"/>
                <w:szCs w:val="21"/>
                <w:highlight w:val="none"/>
              </w:rPr>
            </w:pPr>
          </w:p>
        </w:tc>
        <w:tc>
          <w:tcPr>
            <w:tcW w:w="1502" w:type="dxa"/>
            <w:tcBorders>
              <w:top w:val="single" w:color="auto" w:sz="6" w:space="0"/>
              <w:left w:val="single" w:color="auto" w:sz="6" w:space="0"/>
              <w:bottom w:val="single" w:color="auto" w:sz="6" w:space="0"/>
              <w:right w:val="single" w:color="auto" w:sz="4" w:space="0"/>
            </w:tcBorders>
            <w:vAlign w:val="center"/>
          </w:tcPr>
          <w:p w14:paraId="71173FB0">
            <w:pPr>
              <w:pStyle w:val="8"/>
              <w:spacing w:line="300" w:lineRule="auto"/>
              <w:ind w:firstLine="0" w:firstLineChars="0"/>
              <w:rPr>
                <w:rFonts w:ascii="宋体" w:hAnsi="宋体" w:eastAsia="宋体"/>
                <w:color w:val="auto"/>
                <w:kern w:val="2"/>
                <w:sz w:val="21"/>
                <w:szCs w:val="21"/>
                <w:highlight w:val="none"/>
              </w:rPr>
            </w:pPr>
          </w:p>
        </w:tc>
      </w:tr>
      <w:tr w14:paraId="21F760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142EE841">
            <w:pPr>
              <w:pStyle w:val="8"/>
              <w:spacing w:line="300" w:lineRule="auto"/>
              <w:ind w:firstLine="0" w:firstLineChars="0"/>
              <w:jc w:val="center"/>
              <w:rPr>
                <w:rFonts w:ascii="宋体" w:hAnsi="宋体" w:eastAsia="宋体"/>
                <w:color w:val="auto"/>
                <w:kern w:val="2"/>
                <w:sz w:val="21"/>
                <w:szCs w:val="21"/>
                <w:highlight w:val="none"/>
              </w:rPr>
            </w:pPr>
            <w:bookmarkStart w:id="74" w:name="_Toc383699914"/>
            <w:bookmarkStart w:id="75" w:name="_Toc173211908"/>
            <w:bookmarkStart w:id="76" w:name="_Toc254970737"/>
            <w:bookmarkStart w:id="77" w:name="_Toc301781619"/>
            <w:bookmarkStart w:id="78" w:name="_Toc254970596"/>
            <w:bookmarkStart w:id="79" w:name="_Toc295404989"/>
            <w:bookmarkStart w:id="80" w:name="_Toc373333697"/>
            <w:bookmarkStart w:id="81" w:name="_Toc173066409"/>
            <w:bookmarkStart w:id="82" w:name="_Toc297193193"/>
            <w:r>
              <w:rPr>
                <w:rFonts w:hint="eastAsia" w:ascii="宋体" w:hAnsi="宋体" w:eastAsia="宋体"/>
                <w:color w:val="auto"/>
                <w:sz w:val="21"/>
                <w:szCs w:val="21"/>
                <w:highlight w:val="none"/>
              </w:rPr>
              <w:t>4</w:t>
            </w:r>
            <w:bookmarkEnd w:id="74"/>
            <w:bookmarkEnd w:id="75"/>
            <w:bookmarkEnd w:id="76"/>
            <w:bookmarkEnd w:id="77"/>
            <w:bookmarkEnd w:id="78"/>
            <w:bookmarkEnd w:id="79"/>
            <w:bookmarkEnd w:id="80"/>
            <w:bookmarkEnd w:id="81"/>
            <w:bookmarkEnd w:id="82"/>
          </w:p>
        </w:tc>
        <w:tc>
          <w:tcPr>
            <w:tcW w:w="1317" w:type="dxa"/>
            <w:tcBorders>
              <w:top w:val="single" w:color="auto" w:sz="6" w:space="0"/>
              <w:left w:val="single" w:color="auto" w:sz="6" w:space="0"/>
              <w:bottom w:val="single" w:color="auto" w:sz="6" w:space="0"/>
              <w:right w:val="single" w:color="auto" w:sz="6" w:space="0"/>
            </w:tcBorders>
          </w:tcPr>
          <w:p w14:paraId="3699C091">
            <w:pPr>
              <w:pStyle w:val="8"/>
              <w:spacing w:line="300" w:lineRule="auto"/>
              <w:ind w:firstLine="0" w:firstLineChars="0"/>
              <w:rPr>
                <w:rFonts w:ascii="宋体" w:hAnsi="宋体" w:eastAsia="宋体"/>
                <w:color w:val="auto"/>
                <w:kern w:val="2"/>
                <w:sz w:val="21"/>
                <w:szCs w:val="21"/>
                <w:highlight w:val="none"/>
              </w:rPr>
            </w:pPr>
          </w:p>
        </w:tc>
        <w:tc>
          <w:tcPr>
            <w:tcW w:w="1937" w:type="dxa"/>
            <w:tcBorders>
              <w:top w:val="single" w:color="auto" w:sz="6" w:space="0"/>
              <w:left w:val="single" w:color="auto" w:sz="6" w:space="0"/>
              <w:bottom w:val="single" w:color="auto" w:sz="6" w:space="0"/>
              <w:right w:val="single" w:color="auto" w:sz="6" w:space="0"/>
            </w:tcBorders>
            <w:vAlign w:val="center"/>
          </w:tcPr>
          <w:p w14:paraId="6D173C17">
            <w:pPr>
              <w:pStyle w:val="8"/>
              <w:spacing w:line="300" w:lineRule="auto"/>
              <w:ind w:firstLine="0" w:firstLineChars="0"/>
              <w:rPr>
                <w:rFonts w:ascii="宋体" w:hAnsi="宋体" w:eastAsia="宋体"/>
                <w:color w:val="auto"/>
                <w:kern w:val="2"/>
                <w:sz w:val="21"/>
                <w:szCs w:val="21"/>
                <w:highlight w:val="none"/>
              </w:rPr>
            </w:pPr>
          </w:p>
        </w:tc>
        <w:tc>
          <w:tcPr>
            <w:tcW w:w="1863" w:type="dxa"/>
            <w:tcBorders>
              <w:top w:val="single" w:color="auto" w:sz="6" w:space="0"/>
              <w:left w:val="single" w:color="auto" w:sz="6" w:space="0"/>
              <w:bottom w:val="single" w:color="auto" w:sz="6" w:space="0"/>
              <w:right w:val="single" w:color="auto" w:sz="6" w:space="0"/>
            </w:tcBorders>
            <w:vAlign w:val="center"/>
          </w:tcPr>
          <w:p w14:paraId="68BD1988">
            <w:pPr>
              <w:pStyle w:val="8"/>
              <w:spacing w:line="300" w:lineRule="auto"/>
              <w:ind w:firstLine="0" w:firstLineChars="0"/>
              <w:rPr>
                <w:rFonts w:ascii="宋体" w:hAnsi="宋体" w:eastAsia="宋体"/>
                <w:color w:val="auto"/>
                <w:kern w:val="2"/>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vAlign w:val="center"/>
          </w:tcPr>
          <w:p w14:paraId="13D0501D">
            <w:pPr>
              <w:pStyle w:val="8"/>
              <w:spacing w:line="300" w:lineRule="auto"/>
              <w:ind w:firstLine="0" w:firstLineChars="0"/>
              <w:rPr>
                <w:rFonts w:ascii="宋体" w:hAnsi="宋体" w:eastAsia="宋体"/>
                <w:color w:val="auto"/>
                <w:kern w:val="2"/>
                <w:sz w:val="21"/>
                <w:szCs w:val="21"/>
                <w:highlight w:val="none"/>
              </w:rPr>
            </w:pPr>
          </w:p>
        </w:tc>
        <w:tc>
          <w:tcPr>
            <w:tcW w:w="1000" w:type="dxa"/>
            <w:tcBorders>
              <w:top w:val="single" w:color="auto" w:sz="6" w:space="0"/>
              <w:left w:val="single" w:color="auto" w:sz="6" w:space="0"/>
              <w:bottom w:val="single" w:color="auto" w:sz="6" w:space="0"/>
              <w:right w:val="single" w:color="auto" w:sz="4" w:space="0"/>
            </w:tcBorders>
            <w:vAlign w:val="center"/>
          </w:tcPr>
          <w:p w14:paraId="45C59DB5">
            <w:pPr>
              <w:pStyle w:val="8"/>
              <w:spacing w:line="300" w:lineRule="auto"/>
              <w:ind w:firstLine="0" w:firstLineChars="0"/>
              <w:rPr>
                <w:rFonts w:ascii="宋体" w:hAnsi="宋体" w:eastAsia="宋体"/>
                <w:color w:val="auto"/>
                <w:kern w:val="2"/>
                <w:sz w:val="21"/>
                <w:szCs w:val="21"/>
                <w:highlight w:val="none"/>
              </w:rPr>
            </w:pPr>
          </w:p>
        </w:tc>
        <w:tc>
          <w:tcPr>
            <w:tcW w:w="1502" w:type="dxa"/>
            <w:tcBorders>
              <w:top w:val="single" w:color="auto" w:sz="6" w:space="0"/>
              <w:left w:val="single" w:color="auto" w:sz="6" w:space="0"/>
              <w:bottom w:val="single" w:color="auto" w:sz="6" w:space="0"/>
              <w:right w:val="single" w:color="auto" w:sz="4" w:space="0"/>
            </w:tcBorders>
            <w:vAlign w:val="center"/>
          </w:tcPr>
          <w:p w14:paraId="3D149111">
            <w:pPr>
              <w:pStyle w:val="8"/>
              <w:spacing w:line="300" w:lineRule="auto"/>
              <w:ind w:firstLine="0" w:firstLineChars="0"/>
              <w:rPr>
                <w:rFonts w:ascii="宋体" w:hAnsi="宋体" w:eastAsia="宋体"/>
                <w:color w:val="auto"/>
                <w:kern w:val="2"/>
                <w:sz w:val="21"/>
                <w:szCs w:val="21"/>
                <w:highlight w:val="none"/>
              </w:rPr>
            </w:pPr>
          </w:p>
        </w:tc>
      </w:tr>
      <w:tr w14:paraId="29A875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2F936D90">
            <w:pPr>
              <w:pStyle w:val="8"/>
              <w:spacing w:line="300" w:lineRule="auto"/>
              <w:ind w:firstLine="0" w:firstLineChars="0"/>
              <w:jc w:val="center"/>
              <w:rPr>
                <w:rFonts w:ascii="宋体" w:hAnsi="宋体" w:eastAsia="宋体"/>
                <w:color w:val="auto"/>
                <w:kern w:val="2"/>
                <w:sz w:val="21"/>
                <w:szCs w:val="21"/>
                <w:highlight w:val="none"/>
              </w:rPr>
            </w:pPr>
            <w:bookmarkStart w:id="83" w:name="_Toc373333698"/>
            <w:bookmarkStart w:id="84" w:name="_Toc173211909"/>
            <w:bookmarkStart w:id="85" w:name="_Toc254970597"/>
            <w:bookmarkStart w:id="86" w:name="_Toc173066410"/>
            <w:bookmarkStart w:id="87" w:name="_Toc297193194"/>
            <w:bookmarkStart w:id="88" w:name="_Toc295404990"/>
            <w:bookmarkStart w:id="89" w:name="_Toc254970738"/>
            <w:bookmarkStart w:id="90" w:name="_Toc383699915"/>
            <w:bookmarkStart w:id="91" w:name="_Toc301781620"/>
            <w:r>
              <w:rPr>
                <w:rFonts w:hint="eastAsia" w:ascii="宋体" w:hAnsi="宋体" w:eastAsia="宋体"/>
                <w:color w:val="auto"/>
                <w:sz w:val="21"/>
                <w:szCs w:val="21"/>
                <w:highlight w:val="none"/>
              </w:rPr>
              <w:t>5</w:t>
            </w:r>
            <w:bookmarkEnd w:id="83"/>
            <w:bookmarkEnd w:id="84"/>
            <w:bookmarkEnd w:id="85"/>
            <w:bookmarkEnd w:id="86"/>
            <w:bookmarkEnd w:id="87"/>
            <w:bookmarkEnd w:id="88"/>
            <w:bookmarkEnd w:id="89"/>
            <w:bookmarkEnd w:id="90"/>
            <w:bookmarkEnd w:id="91"/>
          </w:p>
        </w:tc>
        <w:tc>
          <w:tcPr>
            <w:tcW w:w="1317" w:type="dxa"/>
            <w:tcBorders>
              <w:top w:val="single" w:color="auto" w:sz="6" w:space="0"/>
              <w:left w:val="single" w:color="auto" w:sz="6" w:space="0"/>
              <w:bottom w:val="single" w:color="auto" w:sz="6" w:space="0"/>
              <w:right w:val="single" w:color="auto" w:sz="6" w:space="0"/>
            </w:tcBorders>
          </w:tcPr>
          <w:p w14:paraId="27C91010">
            <w:pPr>
              <w:pStyle w:val="8"/>
              <w:spacing w:line="300" w:lineRule="auto"/>
              <w:ind w:firstLine="0" w:firstLineChars="0"/>
              <w:rPr>
                <w:rFonts w:ascii="宋体" w:hAnsi="宋体" w:eastAsia="宋体"/>
                <w:color w:val="auto"/>
                <w:kern w:val="2"/>
                <w:sz w:val="21"/>
                <w:szCs w:val="21"/>
                <w:highlight w:val="none"/>
              </w:rPr>
            </w:pPr>
          </w:p>
        </w:tc>
        <w:tc>
          <w:tcPr>
            <w:tcW w:w="1937" w:type="dxa"/>
            <w:tcBorders>
              <w:top w:val="single" w:color="auto" w:sz="6" w:space="0"/>
              <w:left w:val="single" w:color="auto" w:sz="6" w:space="0"/>
              <w:bottom w:val="single" w:color="auto" w:sz="6" w:space="0"/>
              <w:right w:val="single" w:color="auto" w:sz="6" w:space="0"/>
            </w:tcBorders>
            <w:vAlign w:val="center"/>
          </w:tcPr>
          <w:p w14:paraId="5DA85F34">
            <w:pPr>
              <w:pStyle w:val="8"/>
              <w:spacing w:line="300" w:lineRule="auto"/>
              <w:ind w:firstLine="0" w:firstLineChars="0"/>
              <w:rPr>
                <w:rFonts w:ascii="宋体" w:hAnsi="宋体" w:eastAsia="宋体"/>
                <w:color w:val="auto"/>
                <w:kern w:val="2"/>
                <w:sz w:val="21"/>
                <w:szCs w:val="21"/>
                <w:highlight w:val="none"/>
              </w:rPr>
            </w:pPr>
          </w:p>
        </w:tc>
        <w:tc>
          <w:tcPr>
            <w:tcW w:w="1863" w:type="dxa"/>
            <w:tcBorders>
              <w:top w:val="single" w:color="auto" w:sz="6" w:space="0"/>
              <w:left w:val="single" w:color="auto" w:sz="6" w:space="0"/>
              <w:bottom w:val="single" w:color="auto" w:sz="6" w:space="0"/>
              <w:right w:val="single" w:color="auto" w:sz="6" w:space="0"/>
            </w:tcBorders>
            <w:vAlign w:val="center"/>
          </w:tcPr>
          <w:p w14:paraId="7B548565">
            <w:pPr>
              <w:pStyle w:val="8"/>
              <w:spacing w:line="300" w:lineRule="auto"/>
              <w:ind w:firstLine="0" w:firstLineChars="0"/>
              <w:rPr>
                <w:rFonts w:ascii="宋体" w:hAnsi="宋体" w:eastAsia="宋体"/>
                <w:color w:val="auto"/>
                <w:kern w:val="2"/>
                <w:sz w:val="21"/>
                <w:szCs w:val="21"/>
                <w:highlight w:val="none"/>
              </w:rPr>
            </w:pPr>
          </w:p>
        </w:tc>
        <w:tc>
          <w:tcPr>
            <w:tcW w:w="1350" w:type="dxa"/>
            <w:tcBorders>
              <w:top w:val="single" w:color="auto" w:sz="6" w:space="0"/>
              <w:left w:val="single" w:color="auto" w:sz="6" w:space="0"/>
              <w:bottom w:val="single" w:color="auto" w:sz="6" w:space="0"/>
              <w:right w:val="single" w:color="auto" w:sz="6" w:space="0"/>
            </w:tcBorders>
            <w:vAlign w:val="center"/>
          </w:tcPr>
          <w:p w14:paraId="5B86757B">
            <w:pPr>
              <w:pStyle w:val="8"/>
              <w:spacing w:line="300" w:lineRule="auto"/>
              <w:ind w:firstLine="0" w:firstLineChars="0"/>
              <w:rPr>
                <w:rFonts w:ascii="宋体" w:hAnsi="宋体" w:eastAsia="宋体"/>
                <w:color w:val="auto"/>
                <w:kern w:val="2"/>
                <w:sz w:val="21"/>
                <w:szCs w:val="21"/>
                <w:highlight w:val="none"/>
              </w:rPr>
            </w:pPr>
          </w:p>
        </w:tc>
        <w:tc>
          <w:tcPr>
            <w:tcW w:w="1000" w:type="dxa"/>
            <w:tcBorders>
              <w:top w:val="single" w:color="auto" w:sz="6" w:space="0"/>
              <w:left w:val="single" w:color="auto" w:sz="6" w:space="0"/>
              <w:bottom w:val="single" w:color="auto" w:sz="6" w:space="0"/>
              <w:right w:val="single" w:color="auto" w:sz="4" w:space="0"/>
            </w:tcBorders>
            <w:vAlign w:val="center"/>
          </w:tcPr>
          <w:p w14:paraId="70EC3D99">
            <w:pPr>
              <w:pStyle w:val="8"/>
              <w:spacing w:line="300" w:lineRule="auto"/>
              <w:ind w:firstLine="0" w:firstLineChars="0"/>
              <w:rPr>
                <w:rFonts w:ascii="宋体" w:hAnsi="宋体" w:eastAsia="宋体"/>
                <w:color w:val="auto"/>
                <w:kern w:val="2"/>
                <w:sz w:val="21"/>
                <w:szCs w:val="21"/>
                <w:highlight w:val="none"/>
              </w:rPr>
            </w:pPr>
          </w:p>
        </w:tc>
        <w:tc>
          <w:tcPr>
            <w:tcW w:w="1502" w:type="dxa"/>
            <w:tcBorders>
              <w:top w:val="single" w:color="auto" w:sz="6" w:space="0"/>
              <w:left w:val="single" w:color="auto" w:sz="6" w:space="0"/>
              <w:bottom w:val="single" w:color="auto" w:sz="6" w:space="0"/>
              <w:right w:val="single" w:color="auto" w:sz="4" w:space="0"/>
            </w:tcBorders>
            <w:vAlign w:val="center"/>
          </w:tcPr>
          <w:p w14:paraId="173989FF">
            <w:pPr>
              <w:pStyle w:val="8"/>
              <w:spacing w:line="300" w:lineRule="auto"/>
              <w:ind w:firstLine="0" w:firstLineChars="0"/>
              <w:rPr>
                <w:rFonts w:ascii="宋体" w:hAnsi="宋体" w:eastAsia="宋体"/>
                <w:color w:val="auto"/>
                <w:kern w:val="2"/>
                <w:sz w:val="21"/>
                <w:szCs w:val="21"/>
                <w:highlight w:val="none"/>
              </w:rPr>
            </w:pPr>
          </w:p>
        </w:tc>
      </w:tr>
      <w:tr w14:paraId="6B89FC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14" w:type="dxa"/>
            <w:tcBorders>
              <w:top w:val="single" w:color="auto" w:sz="6" w:space="0"/>
              <w:left w:val="single" w:color="auto" w:sz="4" w:space="0"/>
              <w:bottom w:val="single" w:color="auto" w:sz="4" w:space="0"/>
              <w:right w:val="single" w:color="auto" w:sz="6" w:space="0"/>
            </w:tcBorders>
            <w:vAlign w:val="center"/>
          </w:tcPr>
          <w:p w14:paraId="69B96D35">
            <w:pPr>
              <w:pStyle w:val="8"/>
              <w:spacing w:line="300" w:lineRule="auto"/>
              <w:ind w:firstLine="0" w:firstLineChars="0"/>
              <w:jc w:val="center"/>
              <w:rPr>
                <w:rFonts w:ascii="宋体" w:hAnsi="宋体" w:eastAsia="宋体"/>
                <w:color w:val="auto"/>
                <w:kern w:val="2"/>
                <w:sz w:val="21"/>
                <w:szCs w:val="21"/>
                <w:highlight w:val="none"/>
              </w:rPr>
            </w:pPr>
            <w:bookmarkStart w:id="92" w:name="_Toc254970602"/>
            <w:bookmarkStart w:id="93" w:name="_Toc295404991"/>
            <w:bookmarkStart w:id="94" w:name="_Toc297193195"/>
            <w:bookmarkStart w:id="95" w:name="_Toc254970743"/>
            <w:bookmarkStart w:id="96" w:name="_Toc301781621"/>
            <w:bookmarkStart w:id="97" w:name="_Toc373333699"/>
            <w:bookmarkStart w:id="98" w:name="_Toc173066415"/>
            <w:bookmarkStart w:id="99" w:name="_Toc383699916"/>
            <w:bookmarkStart w:id="100" w:name="_Toc173211914"/>
            <w:r>
              <w:rPr>
                <w:rFonts w:hint="eastAsia" w:ascii="宋体" w:hAnsi="宋体" w:eastAsia="宋体"/>
                <w:color w:val="auto"/>
                <w:sz w:val="21"/>
                <w:szCs w:val="21"/>
                <w:highlight w:val="none"/>
              </w:rPr>
              <w:t>…</w:t>
            </w:r>
            <w:bookmarkEnd w:id="92"/>
            <w:bookmarkEnd w:id="93"/>
            <w:bookmarkEnd w:id="94"/>
            <w:bookmarkEnd w:id="95"/>
            <w:bookmarkEnd w:id="96"/>
            <w:bookmarkEnd w:id="97"/>
            <w:bookmarkEnd w:id="98"/>
            <w:bookmarkEnd w:id="99"/>
            <w:bookmarkEnd w:id="100"/>
          </w:p>
        </w:tc>
        <w:tc>
          <w:tcPr>
            <w:tcW w:w="1317" w:type="dxa"/>
            <w:tcBorders>
              <w:top w:val="single" w:color="auto" w:sz="6" w:space="0"/>
              <w:left w:val="single" w:color="auto" w:sz="6" w:space="0"/>
              <w:bottom w:val="single" w:color="auto" w:sz="4" w:space="0"/>
              <w:right w:val="single" w:color="auto" w:sz="6" w:space="0"/>
            </w:tcBorders>
          </w:tcPr>
          <w:p w14:paraId="7F1895ED">
            <w:pPr>
              <w:pStyle w:val="8"/>
              <w:spacing w:line="300" w:lineRule="auto"/>
              <w:ind w:firstLine="0" w:firstLineChars="0"/>
              <w:rPr>
                <w:rFonts w:ascii="宋体" w:hAnsi="宋体" w:eastAsia="宋体"/>
                <w:color w:val="auto"/>
                <w:kern w:val="2"/>
                <w:sz w:val="21"/>
                <w:szCs w:val="21"/>
                <w:highlight w:val="none"/>
              </w:rPr>
            </w:pPr>
          </w:p>
        </w:tc>
        <w:tc>
          <w:tcPr>
            <w:tcW w:w="1937" w:type="dxa"/>
            <w:tcBorders>
              <w:top w:val="single" w:color="auto" w:sz="6" w:space="0"/>
              <w:left w:val="single" w:color="auto" w:sz="6" w:space="0"/>
              <w:bottom w:val="single" w:color="auto" w:sz="4" w:space="0"/>
              <w:right w:val="single" w:color="auto" w:sz="6" w:space="0"/>
            </w:tcBorders>
            <w:vAlign w:val="center"/>
          </w:tcPr>
          <w:p w14:paraId="5C810622">
            <w:pPr>
              <w:pStyle w:val="8"/>
              <w:spacing w:line="300" w:lineRule="auto"/>
              <w:ind w:firstLine="0" w:firstLineChars="0"/>
              <w:rPr>
                <w:rFonts w:ascii="宋体" w:hAnsi="宋体" w:eastAsia="宋体"/>
                <w:color w:val="auto"/>
                <w:kern w:val="2"/>
                <w:sz w:val="21"/>
                <w:szCs w:val="21"/>
                <w:highlight w:val="none"/>
              </w:rPr>
            </w:pPr>
          </w:p>
        </w:tc>
        <w:tc>
          <w:tcPr>
            <w:tcW w:w="1863" w:type="dxa"/>
            <w:tcBorders>
              <w:top w:val="single" w:color="auto" w:sz="6" w:space="0"/>
              <w:left w:val="single" w:color="auto" w:sz="6" w:space="0"/>
              <w:bottom w:val="single" w:color="auto" w:sz="4" w:space="0"/>
              <w:right w:val="single" w:color="auto" w:sz="6" w:space="0"/>
            </w:tcBorders>
            <w:vAlign w:val="center"/>
          </w:tcPr>
          <w:p w14:paraId="50B95605">
            <w:pPr>
              <w:pStyle w:val="8"/>
              <w:spacing w:line="300" w:lineRule="auto"/>
              <w:ind w:firstLine="0" w:firstLineChars="0"/>
              <w:rPr>
                <w:rFonts w:ascii="宋体" w:hAnsi="宋体" w:eastAsia="宋体"/>
                <w:color w:val="auto"/>
                <w:kern w:val="2"/>
                <w:sz w:val="21"/>
                <w:szCs w:val="21"/>
                <w:highlight w:val="none"/>
              </w:rPr>
            </w:pPr>
          </w:p>
        </w:tc>
        <w:tc>
          <w:tcPr>
            <w:tcW w:w="1350" w:type="dxa"/>
            <w:tcBorders>
              <w:top w:val="single" w:color="auto" w:sz="6" w:space="0"/>
              <w:left w:val="single" w:color="auto" w:sz="6" w:space="0"/>
              <w:bottom w:val="single" w:color="auto" w:sz="4" w:space="0"/>
              <w:right w:val="single" w:color="auto" w:sz="4" w:space="0"/>
            </w:tcBorders>
            <w:vAlign w:val="center"/>
          </w:tcPr>
          <w:p w14:paraId="07643636">
            <w:pPr>
              <w:pStyle w:val="8"/>
              <w:spacing w:line="300" w:lineRule="auto"/>
              <w:ind w:firstLine="0" w:firstLineChars="0"/>
              <w:rPr>
                <w:rFonts w:ascii="宋体" w:hAnsi="宋体" w:eastAsia="宋体"/>
                <w:color w:val="auto"/>
                <w:kern w:val="2"/>
                <w:sz w:val="21"/>
                <w:szCs w:val="21"/>
                <w:highlight w:val="none"/>
              </w:rPr>
            </w:pPr>
          </w:p>
        </w:tc>
        <w:tc>
          <w:tcPr>
            <w:tcW w:w="1000" w:type="dxa"/>
            <w:tcBorders>
              <w:top w:val="single" w:color="auto" w:sz="6" w:space="0"/>
              <w:left w:val="single" w:color="auto" w:sz="4" w:space="0"/>
              <w:bottom w:val="single" w:color="auto" w:sz="4" w:space="0"/>
              <w:right w:val="single" w:color="auto" w:sz="4" w:space="0"/>
            </w:tcBorders>
            <w:vAlign w:val="center"/>
          </w:tcPr>
          <w:p w14:paraId="2C12421B">
            <w:pPr>
              <w:pStyle w:val="8"/>
              <w:spacing w:line="300" w:lineRule="auto"/>
              <w:ind w:firstLine="0" w:firstLineChars="0"/>
              <w:rPr>
                <w:rFonts w:ascii="宋体" w:hAnsi="宋体" w:eastAsia="宋体"/>
                <w:color w:val="auto"/>
                <w:kern w:val="2"/>
                <w:sz w:val="21"/>
                <w:szCs w:val="21"/>
                <w:highlight w:val="none"/>
              </w:rPr>
            </w:pPr>
          </w:p>
        </w:tc>
        <w:tc>
          <w:tcPr>
            <w:tcW w:w="1502" w:type="dxa"/>
            <w:tcBorders>
              <w:top w:val="single" w:color="auto" w:sz="6" w:space="0"/>
              <w:left w:val="single" w:color="auto" w:sz="4" w:space="0"/>
              <w:bottom w:val="single" w:color="auto" w:sz="4" w:space="0"/>
              <w:right w:val="single" w:color="auto" w:sz="4" w:space="0"/>
            </w:tcBorders>
            <w:vAlign w:val="center"/>
          </w:tcPr>
          <w:p w14:paraId="11BB7928">
            <w:pPr>
              <w:pStyle w:val="8"/>
              <w:spacing w:line="300" w:lineRule="auto"/>
              <w:ind w:firstLine="0" w:firstLineChars="0"/>
              <w:rPr>
                <w:rFonts w:ascii="宋体" w:hAnsi="宋体" w:eastAsia="宋体"/>
                <w:color w:val="auto"/>
                <w:kern w:val="2"/>
                <w:sz w:val="21"/>
                <w:szCs w:val="21"/>
                <w:highlight w:val="none"/>
              </w:rPr>
            </w:pPr>
          </w:p>
        </w:tc>
      </w:tr>
    </w:tbl>
    <w:p w14:paraId="2A793B72">
      <w:pPr>
        <w:adjustRightInd w:val="0"/>
        <w:snapToGrid w:val="0"/>
        <w:spacing w:line="300" w:lineRule="auto"/>
        <w:rPr>
          <w:rFonts w:ascii="宋体" w:hAnsi="宋体"/>
          <w:color w:val="auto"/>
          <w:szCs w:val="21"/>
          <w:highlight w:val="none"/>
        </w:rPr>
      </w:pPr>
    </w:p>
    <w:p w14:paraId="2392F925">
      <w:pPr>
        <w:pStyle w:val="8"/>
        <w:spacing w:line="30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说明：应对照</w:t>
      </w:r>
      <w:r>
        <w:rPr>
          <w:rFonts w:hint="eastAsia" w:hAnsi="宋体"/>
          <w:color w:val="auto"/>
          <w:sz w:val="21"/>
          <w:szCs w:val="21"/>
          <w:highlight w:val="none"/>
          <w:lang w:eastAsia="zh-CN"/>
        </w:rPr>
        <w:t>院内招标</w:t>
      </w:r>
      <w:r>
        <w:rPr>
          <w:rFonts w:hint="eastAsia" w:ascii="宋体" w:hAnsi="宋体" w:eastAsia="宋体"/>
          <w:color w:val="auto"/>
          <w:sz w:val="21"/>
          <w:szCs w:val="21"/>
          <w:highlight w:val="none"/>
        </w:rPr>
        <w:t>“第三章项目需求”，逐条说明所提供货物和服务已对</w:t>
      </w:r>
      <w:r>
        <w:rPr>
          <w:rFonts w:hint="eastAsia" w:hAnsi="宋体"/>
          <w:color w:val="auto"/>
          <w:sz w:val="21"/>
          <w:szCs w:val="21"/>
          <w:highlight w:val="none"/>
          <w:lang w:eastAsia="zh-CN"/>
        </w:rPr>
        <w:t>院内招标</w:t>
      </w:r>
      <w:r>
        <w:rPr>
          <w:rFonts w:hint="eastAsia" w:ascii="宋体" w:hAnsi="宋体" w:eastAsia="宋体"/>
          <w:color w:val="auto"/>
          <w:sz w:val="21"/>
          <w:szCs w:val="21"/>
          <w:highlight w:val="none"/>
        </w:rPr>
        <w:t>的技术规格做出了实质性的响应，并申明与技术规格条文的响应和偏离。如果仅注明“符合”、“满足”，将导致谈判被拒绝。</w:t>
      </w:r>
    </w:p>
    <w:p w14:paraId="2A2D3FF1">
      <w:pPr>
        <w:pStyle w:val="10"/>
        <w:spacing w:line="300" w:lineRule="auto"/>
        <w:rPr>
          <w:rFonts w:hAnsi="宋体"/>
          <w:color w:val="auto"/>
          <w:sz w:val="21"/>
          <w:highlight w:val="none"/>
        </w:rPr>
      </w:pPr>
    </w:p>
    <w:p w14:paraId="2C3EE651">
      <w:pPr>
        <w:pStyle w:val="10"/>
        <w:spacing w:line="300" w:lineRule="auto"/>
        <w:ind w:firstLine="1470" w:firstLineChars="700"/>
        <w:rPr>
          <w:rFonts w:hAnsi="宋体"/>
          <w:color w:val="auto"/>
          <w:highlight w:val="none"/>
        </w:rPr>
      </w:pPr>
      <w:r>
        <w:rPr>
          <w:rFonts w:hint="eastAsia" w:hAnsi="宋体"/>
          <w:color w:val="auto"/>
          <w:highlight w:val="none"/>
        </w:rPr>
        <w:t>法定代表人或被授权人签字:</w:t>
      </w:r>
    </w:p>
    <w:p w14:paraId="5FA14CA6">
      <w:pPr>
        <w:pStyle w:val="10"/>
        <w:spacing w:line="300" w:lineRule="auto"/>
        <w:ind w:firstLine="4935" w:firstLineChars="2350"/>
        <w:rPr>
          <w:rFonts w:hint="eastAsia" w:hAnsi="宋体"/>
          <w:color w:val="auto"/>
          <w:highlight w:val="none"/>
        </w:rPr>
      </w:pPr>
    </w:p>
    <w:p w14:paraId="096FBC22">
      <w:pPr>
        <w:pStyle w:val="10"/>
        <w:spacing w:line="300" w:lineRule="auto"/>
        <w:ind w:firstLine="4935" w:firstLineChars="2350"/>
        <w:rPr>
          <w:rFonts w:hint="eastAsia" w:hAnsi="宋体"/>
          <w:color w:val="auto"/>
          <w:highlight w:val="none"/>
        </w:rPr>
      </w:pPr>
    </w:p>
    <w:p w14:paraId="2CE0BC17">
      <w:pPr>
        <w:pStyle w:val="10"/>
        <w:spacing w:line="300" w:lineRule="auto"/>
        <w:ind w:firstLine="4935" w:firstLineChars="2350"/>
        <w:rPr>
          <w:rFonts w:hAnsi="宋体"/>
          <w:color w:val="auto"/>
          <w:highlight w:val="none"/>
          <w:u w:val="single"/>
        </w:rPr>
      </w:pP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1B578DC4">
      <w:pPr>
        <w:adjustRightInd w:val="0"/>
        <w:snapToGrid w:val="0"/>
        <w:spacing w:line="360" w:lineRule="auto"/>
        <w:ind w:right="120"/>
        <w:jc w:val="right"/>
        <w:rPr>
          <w:rFonts w:ascii="宋体" w:hAnsi="宋体"/>
          <w:color w:val="auto"/>
          <w:szCs w:val="21"/>
          <w:highlight w:val="none"/>
          <w:u w:val="single"/>
        </w:rPr>
      </w:pPr>
    </w:p>
    <w:p w14:paraId="3256849E">
      <w:pPr>
        <w:snapToGrid w:val="0"/>
        <w:spacing w:before="120" w:beforeLines="50" w:after="50"/>
        <w:jc w:val="left"/>
        <w:rPr>
          <w:rFonts w:ascii="宋体" w:hAnsi="宋体"/>
          <w:b/>
          <w:color w:val="auto"/>
          <w:sz w:val="24"/>
          <w:szCs w:val="20"/>
          <w:highlight w:val="none"/>
        </w:rPr>
      </w:pPr>
      <w:r>
        <w:rPr>
          <w:rFonts w:ascii="宋体" w:hAnsi="宋体"/>
          <w:color w:val="auto"/>
          <w:szCs w:val="21"/>
          <w:highlight w:val="none"/>
        </w:rPr>
        <w:br w:type="page"/>
      </w:r>
      <w:r>
        <w:rPr>
          <w:rFonts w:hint="eastAsia" w:ascii="宋体" w:hAnsi="宋体"/>
          <w:b/>
          <w:color w:val="auto"/>
          <w:sz w:val="24"/>
          <w:highlight w:val="none"/>
        </w:rPr>
        <w:t>商务响应表格式：</w:t>
      </w:r>
    </w:p>
    <w:p w14:paraId="3D4DD227">
      <w:pPr>
        <w:spacing w:line="300" w:lineRule="auto"/>
        <w:rPr>
          <w:rFonts w:ascii="宋体" w:hAnsi="宋体"/>
          <w:color w:val="auto"/>
          <w:szCs w:val="21"/>
          <w:highlight w:val="none"/>
          <w:u w:val="single"/>
        </w:rPr>
      </w:pPr>
      <w:r>
        <w:rPr>
          <w:rFonts w:hint="eastAsia" w:ascii="宋体" w:hAnsi="宋体"/>
          <w:color w:val="auto"/>
          <w:szCs w:val="21"/>
          <w:highlight w:val="none"/>
        </w:rPr>
        <w:t>分标号:</w:t>
      </w:r>
      <w:r>
        <w:rPr>
          <w:rFonts w:hint="eastAsia" w:ascii="宋体" w:hAnsi="宋体"/>
          <w:color w:val="auto"/>
          <w:szCs w:val="21"/>
          <w:highlight w:val="none"/>
          <w:u w:val="single"/>
        </w:rPr>
        <w:t>（如有）</w:t>
      </w:r>
    </w:p>
    <w:p w14:paraId="24289AE5">
      <w:pPr>
        <w:spacing w:line="300" w:lineRule="auto"/>
        <w:rPr>
          <w:rFonts w:ascii="宋体" w:hAnsi="宋体"/>
          <w:color w:val="auto"/>
          <w:sz w:val="24"/>
          <w:highlight w:val="none"/>
        </w:rPr>
      </w:pPr>
      <w:r>
        <w:rPr>
          <w:rFonts w:hint="eastAsia" w:ascii="宋体" w:hAnsi="宋体"/>
          <w:color w:val="auto"/>
          <w:sz w:val="24"/>
          <w:highlight w:val="none"/>
        </w:rPr>
        <w:t>按商务要求填写</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14EF0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5F99B849">
            <w:pPr>
              <w:snapToGrid w:val="0"/>
              <w:spacing w:before="120" w:beforeLines="50"/>
              <w:jc w:val="center"/>
              <w:rPr>
                <w:rFonts w:ascii="宋体" w:hAnsi="宋体"/>
                <w:color w:val="auto"/>
                <w:sz w:val="24"/>
                <w:szCs w:val="20"/>
                <w:highlight w:val="none"/>
              </w:rPr>
            </w:pPr>
            <w:r>
              <w:rPr>
                <w:rFonts w:hint="eastAsia" w:ascii="宋体" w:hAnsi="宋体"/>
                <w:color w:val="auto"/>
                <w:sz w:val="24"/>
                <w:highlight w:val="none"/>
              </w:rPr>
              <w:t>项目</w:t>
            </w:r>
          </w:p>
        </w:tc>
        <w:tc>
          <w:tcPr>
            <w:tcW w:w="2970" w:type="dxa"/>
            <w:tcBorders>
              <w:top w:val="single" w:color="auto" w:sz="4" w:space="0"/>
              <w:left w:val="single" w:color="auto" w:sz="4" w:space="0"/>
              <w:bottom w:val="single" w:color="auto" w:sz="4" w:space="0"/>
              <w:right w:val="single" w:color="auto" w:sz="4" w:space="0"/>
            </w:tcBorders>
          </w:tcPr>
          <w:p w14:paraId="29EDAD13">
            <w:pPr>
              <w:snapToGrid w:val="0"/>
              <w:spacing w:before="120" w:beforeLines="50"/>
              <w:jc w:val="center"/>
              <w:rPr>
                <w:rFonts w:ascii="宋体" w:hAnsi="宋体"/>
                <w:color w:val="auto"/>
                <w:sz w:val="24"/>
                <w:szCs w:val="20"/>
                <w:highlight w:val="none"/>
              </w:rPr>
            </w:pPr>
            <w:r>
              <w:rPr>
                <w:rFonts w:hint="eastAsia" w:ascii="宋体" w:hAnsi="宋体"/>
                <w:color w:val="auto"/>
                <w:sz w:val="24"/>
                <w:highlight w:val="none"/>
              </w:rPr>
              <w:t>谈判文件要求</w:t>
            </w:r>
          </w:p>
        </w:tc>
        <w:tc>
          <w:tcPr>
            <w:tcW w:w="1510" w:type="dxa"/>
            <w:tcBorders>
              <w:top w:val="single" w:color="auto" w:sz="4" w:space="0"/>
              <w:left w:val="single" w:color="auto" w:sz="4" w:space="0"/>
              <w:bottom w:val="single" w:color="auto" w:sz="4" w:space="0"/>
              <w:right w:val="single" w:color="auto" w:sz="4" w:space="0"/>
            </w:tcBorders>
          </w:tcPr>
          <w:p w14:paraId="5771A953">
            <w:pPr>
              <w:snapToGrid w:val="0"/>
              <w:spacing w:before="120" w:beforeLines="50"/>
              <w:jc w:val="center"/>
              <w:rPr>
                <w:rFonts w:ascii="宋体" w:hAnsi="宋体"/>
                <w:color w:val="auto"/>
                <w:sz w:val="24"/>
                <w:szCs w:val="20"/>
                <w:highlight w:val="none"/>
              </w:rPr>
            </w:pPr>
            <w:r>
              <w:rPr>
                <w:rFonts w:hint="eastAsia" w:ascii="宋体" w:hAnsi="宋体"/>
                <w:color w:val="auto"/>
                <w:sz w:val="24"/>
                <w:highlight w:val="none"/>
              </w:rPr>
              <w:t>是否响应</w:t>
            </w:r>
          </w:p>
        </w:tc>
        <w:tc>
          <w:tcPr>
            <w:tcW w:w="2651" w:type="dxa"/>
            <w:tcBorders>
              <w:top w:val="single" w:color="auto" w:sz="4" w:space="0"/>
              <w:left w:val="single" w:color="auto" w:sz="4" w:space="0"/>
              <w:bottom w:val="single" w:color="auto" w:sz="4" w:space="0"/>
              <w:right w:val="single" w:color="auto" w:sz="4" w:space="0"/>
            </w:tcBorders>
          </w:tcPr>
          <w:p w14:paraId="5807D80E">
            <w:pPr>
              <w:snapToGrid w:val="0"/>
              <w:spacing w:before="120" w:beforeLines="50"/>
              <w:jc w:val="center"/>
              <w:rPr>
                <w:rFonts w:ascii="宋体" w:hAnsi="宋体"/>
                <w:color w:val="auto"/>
                <w:sz w:val="24"/>
                <w:szCs w:val="20"/>
                <w:highlight w:val="none"/>
              </w:rPr>
            </w:pPr>
            <w:r>
              <w:rPr>
                <w:rFonts w:hint="eastAsia" w:ascii="宋体" w:hAnsi="宋体"/>
                <w:color w:val="auto"/>
                <w:sz w:val="24"/>
                <w:highlight w:val="none"/>
              </w:rPr>
              <w:t>竞标人的承诺或说明</w:t>
            </w:r>
          </w:p>
        </w:tc>
      </w:tr>
      <w:tr w14:paraId="4B2E4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91" w:type="dxa"/>
            <w:tcBorders>
              <w:top w:val="single" w:color="auto" w:sz="4" w:space="0"/>
              <w:left w:val="single" w:color="auto" w:sz="4" w:space="0"/>
              <w:bottom w:val="single" w:color="auto" w:sz="4" w:space="0"/>
              <w:right w:val="single" w:color="auto" w:sz="4" w:space="0"/>
            </w:tcBorders>
          </w:tcPr>
          <w:p w14:paraId="47D84CA5">
            <w:pPr>
              <w:spacing w:line="320" w:lineRule="exact"/>
              <w:rPr>
                <w:rFonts w:ascii="宋体" w:hAnsi="宋体" w:cs="宋体"/>
                <w:color w:val="auto"/>
                <w:szCs w:val="21"/>
                <w:highlight w:val="none"/>
              </w:rPr>
            </w:pPr>
          </w:p>
        </w:tc>
        <w:tc>
          <w:tcPr>
            <w:tcW w:w="2970" w:type="dxa"/>
            <w:tcBorders>
              <w:top w:val="single" w:color="auto" w:sz="4" w:space="0"/>
              <w:left w:val="single" w:color="auto" w:sz="4" w:space="0"/>
              <w:bottom w:val="single" w:color="auto" w:sz="4" w:space="0"/>
              <w:right w:val="single" w:color="auto" w:sz="4" w:space="0"/>
            </w:tcBorders>
            <w:vAlign w:val="center"/>
          </w:tcPr>
          <w:p w14:paraId="35486167">
            <w:pPr>
              <w:rPr>
                <w:rFonts w:ascii="宋体" w:hAnsi="宋体"/>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14:paraId="2ECC3CC1">
            <w:pPr>
              <w:snapToGrid w:val="0"/>
              <w:spacing w:before="120" w:beforeLines="50"/>
              <w:jc w:val="center"/>
              <w:rPr>
                <w:rFonts w:ascii="宋体" w:hAnsi="宋体"/>
                <w:color w:val="auto"/>
                <w:sz w:val="24"/>
                <w:szCs w:val="20"/>
                <w:highlight w:val="none"/>
              </w:rPr>
            </w:pPr>
          </w:p>
        </w:tc>
        <w:tc>
          <w:tcPr>
            <w:tcW w:w="2651" w:type="dxa"/>
            <w:tcBorders>
              <w:top w:val="single" w:color="auto" w:sz="4" w:space="0"/>
              <w:left w:val="single" w:color="auto" w:sz="4" w:space="0"/>
              <w:bottom w:val="single" w:color="auto" w:sz="4" w:space="0"/>
              <w:right w:val="single" w:color="auto" w:sz="4" w:space="0"/>
            </w:tcBorders>
          </w:tcPr>
          <w:p w14:paraId="47FCA7AE">
            <w:pPr>
              <w:snapToGrid w:val="0"/>
              <w:spacing w:before="120" w:beforeLines="50"/>
              <w:jc w:val="center"/>
              <w:rPr>
                <w:rFonts w:ascii="宋体" w:hAnsi="宋体"/>
                <w:color w:val="auto"/>
                <w:sz w:val="24"/>
                <w:szCs w:val="20"/>
                <w:highlight w:val="none"/>
              </w:rPr>
            </w:pPr>
          </w:p>
        </w:tc>
      </w:tr>
      <w:tr w14:paraId="56435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7EE10FC3">
            <w:pPr>
              <w:spacing w:line="320" w:lineRule="exact"/>
              <w:rPr>
                <w:rFonts w:ascii="宋体" w:hAnsi="宋体" w:cs="宋体"/>
                <w:color w:val="auto"/>
                <w:szCs w:val="21"/>
                <w:highlight w:val="none"/>
              </w:rPr>
            </w:pPr>
          </w:p>
        </w:tc>
        <w:tc>
          <w:tcPr>
            <w:tcW w:w="2970" w:type="dxa"/>
            <w:tcBorders>
              <w:top w:val="single" w:color="auto" w:sz="4" w:space="0"/>
              <w:left w:val="single" w:color="auto" w:sz="4" w:space="0"/>
              <w:bottom w:val="single" w:color="auto" w:sz="4" w:space="0"/>
              <w:right w:val="single" w:color="auto" w:sz="4" w:space="0"/>
            </w:tcBorders>
            <w:vAlign w:val="center"/>
          </w:tcPr>
          <w:p w14:paraId="2B78B3BF">
            <w:pPr>
              <w:widowControl/>
              <w:spacing w:before="63" w:after="63"/>
              <w:jc w:val="left"/>
              <w:rPr>
                <w:rFonts w:ascii="宋体" w:hAnsi="宋体"/>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14:paraId="2B351C4A">
            <w:pPr>
              <w:snapToGrid w:val="0"/>
              <w:spacing w:before="120" w:beforeLines="50"/>
              <w:jc w:val="center"/>
              <w:rPr>
                <w:rFonts w:ascii="宋体" w:hAnsi="宋体"/>
                <w:color w:val="auto"/>
                <w:sz w:val="24"/>
                <w:szCs w:val="20"/>
                <w:highlight w:val="none"/>
              </w:rPr>
            </w:pPr>
          </w:p>
        </w:tc>
        <w:tc>
          <w:tcPr>
            <w:tcW w:w="2651" w:type="dxa"/>
            <w:tcBorders>
              <w:top w:val="single" w:color="auto" w:sz="4" w:space="0"/>
              <w:left w:val="single" w:color="auto" w:sz="4" w:space="0"/>
              <w:bottom w:val="single" w:color="auto" w:sz="4" w:space="0"/>
              <w:right w:val="single" w:color="auto" w:sz="4" w:space="0"/>
            </w:tcBorders>
          </w:tcPr>
          <w:p w14:paraId="457364F8">
            <w:pPr>
              <w:snapToGrid w:val="0"/>
              <w:spacing w:before="120" w:beforeLines="50"/>
              <w:jc w:val="center"/>
              <w:rPr>
                <w:rFonts w:ascii="宋体" w:hAnsi="宋体"/>
                <w:color w:val="auto"/>
                <w:sz w:val="24"/>
                <w:szCs w:val="20"/>
                <w:highlight w:val="none"/>
              </w:rPr>
            </w:pPr>
          </w:p>
        </w:tc>
      </w:tr>
      <w:tr w14:paraId="1B599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7303C6E">
            <w:pPr>
              <w:spacing w:line="320" w:lineRule="exact"/>
              <w:rPr>
                <w:rFonts w:ascii="宋体" w:hAnsi="宋体" w:cs="宋体"/>
                <w:color w:val="auto"/>
                <w:szCs w:val="21"/>
                <w:highlight w:val="none"/>
              </w:rPr>
            </w:pPr>
          </w:p>
        </w:tc>
        <w:tc>
          <w:tcPr>
            <w:tcW w:w="2970" w:type="dxa"/>
            <w:tcBorders>
              <w:top w:val="single" w:color="auto" w:sz="4" w:space="0"/>
              <w:left w:val="single" w:color="auto" w:sz="4" w:space="0"/>
              <w:bottom w:val="single" w:color="auto" w:sz="4" w:space="0"/>
              <w:right w:val="single" w:color="auto" w:sz="4" w:space="0"/>
            </w:tcBorders>
            <w:vAlign w:val="center"/>
          </w:tcPr>
          <w:p w14:paraId="3F5FF66C">
            <w:pPr>
              <w:tabs>
                <w:tab w:val="left" w:pos="1815"/>
              </w:tabs>
              <w:spacing w:line="400" w:lineRule="exact"/>
              <w:rPr>
                <w:color w:val="auto"/>
                <w:highlight w:val="none"/>
              </w:rPr>
            </w:pPr>
          </w:p>
        </w:tc>
        <w:tc>
          <w:tcPr>
            <w:tcW w:w="1510" w:type="dxa"/>
            <w:tcBorders>
              <w:top w:val="single" w:color="auto" w:sz="4" w:space="0"/>
              <w:left w:val="single" w:color="auto" w:sz="4" w:space="0"/>
              <w:bottom w:val="single" w:color="auto" w:sz="4" w:space="0"/>
              <w:right w:val="single" w:color="auto" w:sz="4" w:space="0"/>
            </w:tcBorders>
          </w:tcPr>
          <w:p w14:paraId="75E62158">
            <w:pPr>
              <w:snapToGrid w:val="0"/>
              <w:spacing w:before="120" w:beforeLines="50"/>
              <w:ind w:left="43"/>
              <w:jc w:val="center"/>
              <w:rPr>
                <w:rFonts w:ascii="宋体" w:hAnsi="宋体"/>
                <w:color w:val="auto"/>
                <w:sz w:val="24"/>
                <w:szCs w:val="20"/>
                <w:highlight w:val="none"/>
              </w:rPr>
            </w:pPr>
          </w:p>
        </w:tc>
        <w:tc>
          <w:tcPr>
            <w:tcW w:w="2651" w:type="dxa"/>
            <w:tcBorders>
              <w:top w:val="single" w:color="auto" w:sz="4" w:space="0"/>
              <w:left w:val="single" w:color="auto" w:sz="4" w:space="0"/>
              <w:bottom w:val="single" w:color="auto" w:sz="4" w:space="0"/>
              <w:right w:val="single" w:color="auto" w:sz="4" w:space="0"/>
            </w:tcBorders>
          </w:tcPr>
          <w:p w14:paraId="296EBB8D">
            <w:pPr>
              <w:snapToGrid w:val="0"/>
              <w:spacing w:before="120" w:beforeLines="50"/>
              <w:ind w:left="43"/>
              <w:jc w:val="center"/>
              <w:rPr>
                <w:rFonts w:ascii="宋体" w:hAnsi="宋体"/>
                <w:color w:val="auto"/>
                <w:sz w:val="24"/>
                <w:szCs w:val="20"/>
                <w:highlight w:val="none"/>
              </w:rPr>
            </w:pPr>
          </w:p>
        </w:tc>
      </w:tr>
      <w:tr w14:paraId="1883E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4F674283">
            <w:pPr>
              <w:spacing w:line="320" w:lineRule="exact"/>
              <w:rPr>
                <w:rFonts w:ascii="宋体" w:hAnsi="宋体" w:cs="宋体"/>
                <w:color w:val="auto"/>
                <w:szCs w:val="21"/>
                <w:highlight w:val="none"/>
              </w:rPr>
            </w:pPr>
          </w:p>
        </w:tc>
        <w:tc>
          <w:tcPr>
            <w:tcW w:w="2970" w:type="dxa"/>
            <w:tcBorders>
              <w:top w:val="single" w:color="auto" w:sz="4" w:space="0"/>
              <w:left w:val="single" w:color="auto" w:sz="4" w:space="0"/>
              <w:bottom w:val="single" w:color="auto" w:sz="4" w:space="0"/>
              <w:right w:val="single" w:color="auto" w:sz="4" w:space="0"/>
            </w:tcBorders>
            <w:vAlign w:val="center"/>
          </w:tcPr>
          <w:p w14:paraId="3E5AB48F">
            <w:pPr>
              <w:rPr>
                <w:rFonts w:ascii="宋体" w:hAnsi="宋体"/>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14:paraId="0F98C99E">
            <w:pPr>
              <w:snapToGrid w:val="0"/>
              <w:spacing w:before="120" w:beforeLines="50"/>
              <w:jc w:val="center"/>
              <w:rPr>
                <w:rFonts w:ascii="宋体" w:hAnsi="宋体"/>
                <w:color w:val="auto"/>
                <w:sz w:val="24"/>
                <w:szCs w:val="20"/>
                <w:highlight w:val="none"/>
              </w:rPr>
            </w:pPr>
          </w:p>
        </w:tc>
        <w:tc>
          <w:tcPr>
            <w:tcW w:w="2651" w:type="dxa"/>
            <w:tcBorders>
              <w:top w:val="single" w:color="auto" w:sz="4" w:space="0"/>
              <w:left w:val="single" w:color="auto" w:sz="4" w:space="0"/>
              <w:bottom w:val="single" w:color="auto" w:sz="4" w:space="0"/>
              <w:right w:val="single" w:color="auto" w:sz="4" w:space="0"/>
            </w:tcBorders>
          </w:tcPr>
          <w:p w14:paraId="3A92D537">
            <w:pPr>
              <w:snapToGrid w:val="0"/>
              <w:spacing w:before="120" w:beforeLines="50"/>
              <w:jc w:val="center"/>
              <w:rPr>
                <w:rFonts w:ascii="宋体" w:hAnsi="宋体"/>
                <w:color w:val="auto"/>
                <w:sz w:val="24"/>
                <w:szCs w:val="20"/>
                <w:highlight w:val="none"/>
              </w:rPr>
            </w:pPr>
          </w:p>
        </w:tc>
      </w:tr>
    </w:tbl>
    <w:p w14:paraId="3DBCD5B0">
      <w:pPr>
        <w:pStyle w:val="8"/>
        <w:spacing w:line="30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说明：竞标人应对商务要求逐条响应并列出自己的承诺或说明。</w:t>
      </w:r>
    </w:p>
    <w:p w14:paraId="2510A02B">
      <w:pPr>
        <w:snapToGrid w:val="0"/>
        <w:spacing w:before="50" w:after="50"/>
        <w:rPr>
          <w:rFonts w:ascii="宋体" w:hAnsi="宋体"/>
          <w:color w:val="auto"/>
          <w:spacing w:val="20"/>
          <w:sz w:val="24"/>
          <w:highlight w:val="none"/>
        </w:rPr>
      </w:pPr>
    </w:p>
    <w:p w14:paraId="1B5C9EA8">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 xml:space="preserve">法定代表人或被授权人（签字）:              </w:t>
      </w:r>
    </w:p>
    <w:p w14:paraId="07BFE600">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供应商名称（签公章）：</w:t>
      </w:r>
    </w:p>
    <w:p w14:paraId="2EE5ACD8">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日期：年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5C5F0FC1">
      <w:pPr>
        <w:spacing w:line="300" w:lineRule="auto"/>
        <w:rPr>
          <w:rFonts w:ascii="宋体" w:hAnsi="宋体"/>
          <w:color w:val="auto"/>
          <w:szCs w:val="21"/>
          <w:highlight w:val="none"/>
        </w:rPr>
      </w:pPr>
    </w:p>
    <w:p w14:paraId="3E697D84">
      <w:pPr>
        <w:spacing w:line="300" w:lineRule="auto"/>
        <w:rPr>
          <w:rFonts w:ascii="宋体" w:hAnsi="宋体"/>
          <w:color w:val="auto"/>
          <w:szCs w:val="21"/>
          <w:highlight w:val="none"/>
        </w:rPr>
      </w:pPr>
    </w:p>
    <w:p w14:paraId="46070721">
      <w:pPr>
        <w:spacing w:line="300" w:lineRule="auto"/>
        <w:rPr>
          <w:rFonts w:ascii="宋体" w:hAnsi="宋体"/>
          <w:color w:val="auto"/>
          <w:szCs w:val="21"/>
          <w:highlight w:val="none"/>
        </w:rPr>
      </w:pPr>
    </w:p>
    <w:p w14:paraId="5855B74A">
      <w:pPr>
        <w:spacing w:line="300" w:lineRule="auto"/>
        <w:rPr>
          <w:rFonts w:ascii="宋体" w:hAnsi="宋体"/>
          <w:color w:val="auto"/>
          <w:szCs w:val="21"/>
          <w:highlight w:val="none"/>
        </w:rPr>
      </w:pPr>
    </w:p>
    <w:p w14:paraId="755256FE">
      <w:pPr>
        <w:spacing w:line="300" w:lineRule="auto"/>
        <w:rPr>
          <w:rFonts w:ascii="宋体" w:hAnsi="宋体"/>
          <w:color w:val="auto"/>
          <w:szCs w:val="21"/>
          <w:highlight w:val="none"/>
        </w:rPr>
      </w:pPr>
    </w:p>
    <w:p w14:paraId="3FBD3193">
      <w:pPr>
        <w:spacing w:line="300" w:lineRule="auto"/>
        <w:rPr>
          <w:rFonts w:ascii="宋体" w:hAnsi="宋体"/>
          <w:color w:val="auto"/>
          <w:szCs w:val="21"/>
          <w:highlight w:val="none"/>
        </w:rPr>
      </w:pPr>
    </w:p>
    <w:p w14:paraId="76891A2E">
      <w:pPr>
        <w:spacing w:line="300" w:lineRule="auto"/>
        <w:rPr>
          <w:rFonts w:ascii="宋体" w:hAnsi="宋体"/>
          <w:color w:val="auto"/>
          <w:szCs w:val="21"/>
          <w:highlight w:val="none"/>
        </w:rPr>
      </w:pPr>
    </w:p>
    <w:p w14:paraId="7C2F2783">
      <w:pPr>
        <w:spacing w:line="300" w:lineRule="auto"/>
        <w:rPr>
          <w:rFonts w:ascii="宋体" w:hAnsi="宋体"/>
          <w:color w:val="auto"/>
          <w:szCs w:val="21"/>
          <w:highlight w:val="none"/>
        </w:rPr>
      </w:pPr>
    </w:p>
    <w:p w14:paraId="6DCB720B">
      <w:pPr>
        <w:spacing w:line="300" w:lineRule="auto"/>
        <w:rPr>
          <w:rFonts w:ascii="宋体" w:hAnsi="宋体"/>
          <w:color w:val="auto"/>
          <w:szCs w:val="21"/>
          <w:highlight w:val="none"/>
        </w:rPr>
      </w:pPr>
    </w:p>
    <w:p w14:paraId="75111B2C">
      <w:pPr>
        <w:spacing w:line="300" w:lineRule="auto"/>
        <w:rPr>
          <w:rFonts w:ascii="宋体" w:hAnsi="宋体"/>
          <w:color w:val="auto"/>
          <w:szCs w:val="21"/>
          <w:highlight w:val="none"/>
        </w:rPr>
      </w:pPr>
    </w:p>
    <w:p w14:paraId="35ECC6A7">
      <w:pPr>
        <w:spacing w:line="300" w:lineRule="auto"/>
        <w:rPr>
          <w:rFonts w:ascii="宋体" w:hAnsi="宋体"/>
          <w:color w:val="auto"/>
          <w:szCs w:val="21"/>
          <w:highlight w:val="none"/>
        </w:rPr>
      </w:pPr>
    </w:p>
    <w:p w14:paraId="6835B8C8">
      <w:pPr>
        <w:spacing w:line="300" w:lineRule="auto"/>
        <w:rPr>
          <w:rFonts w:ascii="宋体" w:hAnsi="宋体"/>
          <w:color w:val="auto"/>
          <w:szCs w:val="21"/>
          <w:highlight w:val="none"/>
        </w:rPr>
      </w:pPr>
    </w:p>
    <w:p w14:paraId="7B51319B">
      <w:pPr>
        <w:spacing w:line="300" w:lineRule="auto"/>
        <w:rPr>
          <w:rFonts w:ascii="宋体" w:hAnsi="宋体"/>
          <w:color w:val="auto"/>
          <w:szCs w:val="21"/>
          <w:highlight w:val="none"/>
        </w:rPr>
      </w:pPr>
    </w:p>
    <w:p w14:paraId="275709ED">
      <w:pPr>
        <w:spacing w:line="300" w:lineRule="auto"/>
        <w:rPr>
          <w:rFonts w:ascii="宋体" w:hAnsi="宋体"/>
          <w:color w:val="auto"/>
          <w:szCs w:val="21"/>
          <w:highlight w:val="none"/>
        </w:rPr>
      </w:pPr>
    </w:p>
    <w:p w14:paraId="5959023E">
      <w:pPr>
        <w:spacing w:line="300" w:lineRule="auto"/>
        <w:rPr>
          <w:rFonts w:ascii="宋体" w:hAnsi="宋体"/>
          <w:color w:val="auto"/>
          <w:szCs w:val="21"/>
          <w:highlight w:val="none"/>
        </w:rPr>
      </w:pPr>
    </w:p>
    <w:p w14:paraId="277872D9">
      <w:pPr>
        <w:spacing w:line="300" w:lineRule="auto"/>
        <w:rPr>
          <w:rFonts w:ascii="宋体" w:hAnsi="宋体"/>
          <w:color w:val="auto"/>
          <w:szCs w:val="21"/>
          <w:highlight w:val="none"/>
        </w:rPr>
      </w:pPr>
    </w:p>
    <w:p w14:paraId="70C69975">
      <w:pPr>
        <w:spacing w:line="300" w:lineRule="auto"/>
        <w:rPr>
          <w:rFonts w:ascii="宋体" w:hAnsi="宋体"/>
          <w:color w:val="auto"/>
          <w:szCs w:val="21"/>
          <w:highlight w:val="none"/>
        </w:rPr>
      </w:pPr>
    </w:p>
    <w:p w14:paraId="2B589C3B">
      <w:pPr>
        <w:autoSpaceDE w:val="0"/>
        <w:autoSpaceDN w:val="0"/>
        <w:spacing w:line="300" w:lineRule="auto"/>
        <w:rPr>
          <w:rFonts w:ascii="宋体" w:hAnsi="宋体"/>
          <w:color w:val="auto"/>
          <w:szCs w:val="21"/>
          <w:highlight w:val="none"/>
        </w:rPr>
      </w:pPr>
    </w:p>
    <w:p w14:paraId="33B7306B">
      <w:pPr>
        <w:autoSpaceDE w:val="0"/>
        <w:autoSpaceDN w:val="0"/>
        <w:spacing w:line="300" w:lineRule="auto"/>
        <w:ind w:left="480" w:hanging="480"/>
        <w:jc w:val="center"/>
        <w:rPr>
          <w:b/>
          <w:bCs/>
          <w:color w:val="auto"/>
          <w:kern w:val="0"/>
          <w:sz w:val="30"/>
          <w:szCs w:val="30"/>
          <w:highlight w:val="none"/>
        </w:rPr>
      </w:pPr>
      <w:r>
        <w:rPr>
          <w:rFonts w:hint="eastAsia"/>
          <w:b/>
          <w:bCs/>
          <w:color w:val="auto"/>
          <w:kern w:val="0"/>
          <w:sz w:val="30"/>
          <w:szCs w:val="30"/>
          <w:highlight w:val="none"/>
        </w:rPr>
        <w:t>售后服务方案</w:t>
      </w:r>
    </w:p>
    <w:p w14:paraId="617E90F8">
      <w:pPr>
        <w:autoSpaceDE w:val="0"/>
        <w:autoSpaceDN w:val="0"/>
        <w:spacing w:line="300" w:lineRule="auto"/>
        <w:ind w:left="480" w:hanging="480"/>
        <w:jc w:val="center"/>
        <w:rPr>
          <w:rFonts w:hAnsi="宋体"/>
          <w:color w:val="auto"/>
          <w:highlight w:val="none"/>
        </w:rPr>
      </w:pPr>
      <w:r>
        <w:rPr>
          <w:rFonts w:hint="eastAsia" w:hAnsi="宋体"/>
          <w:color w:val="auto"/>
          <w:highlight w:val="none"/>
        </w:rPr>
        <w:t>由供应商按本项目</w:t>
      </w:r>
      <w:r>
        <w:rPr>
          <w:rFonts w:hint="eastAsia" w:hAnsi="宋体"/>
          <w:color w:val="auto"/>
          <w:highlight w:val="none"/>
          <w:lang w:eastAsia="zh-CN"/>
        </w:rPr>
        <w:t>院内招标</w:t>
      </w:r>
      <w:r>
        <w:rPr>
          <w:rFonts w:hint="eastAsia" w:hAnsi="宋体"/>
          <w:color w:val="auto"/>
          <w:highlight w:val="none"/>
        </w:rPr>
        <w:t>第三章“项目需求”自行编写。</w:t>
      </w:r>
    </w:p>
    <w:p w14:paraId="696C8FB6">
      <w:pPr>
        <w:autoSpaceDE w:val="0"/>
        <w:autoSpaceDN w:val="0"/>
        <w:spacing w:line="300" w:lineRule="auto"/>
        <w:ind w:left="480" w:hanging="480"/>
        <w:rPr>
          <w:rFonts w:hAnsi="宋体"/>
          <w:color w:val="auto"/>
          <w:highlight w:val="none"/>
        </w:rPr>
      </w:pPr>
    </w:p>
    <w:p w14:paraId="63980516">
      <w:pPr>
        <w:autoSpaceDE w:val="0"/>
        <w:autoSpaceDN w:val="0"/>
        <w:spacing w:line="300" w:lineRule="auto"/>
        <w:ind w:left="480" w:hanging="480"/>
        <w:rPr>
          <w:rFonts w:hAnsi="宋体"/>
          <w:color w:val="auto"/>
          <w:highlight w:val="none"/>
        </w:rPr>
      </w:pPr>
    </w:p>
    <w:p w14:paraId="304FB265">
      <w:pPr>
        <w:autoSpaceDE w:val="0"/>
        <w:autoSpaceDN w:val="0"/>
        <w:spacing w:line="300" w:lineRule="auto"/>
        <w:ind w:left="480" w:hanging="480"/>
        <w:rPr>
          <w:rFonts w:hAnsi="宋体"/>
          <w:color w:val="auto"/>
          <w:highlight w:val="none"/>
        </w:rPr>
      </w:pPr>
    </w:p>
    <w:p w14:paraId="6CE1AEA6">
      <w:pPr>
        <w:autoSpaceDE w:val="0"/>
        <w:autoSpaceDN w:val="0"/>
        <w:spacing w:line="300" w:lineRule="auto"/>
        <w:ind w:left="480" w:hanging="480"/>
        <w:rPr>
          <w:rFonts w:hAnsi="宋体"/>
          <w:color w:val="auto"/>
          <w:highlight w:val="none"/>
        </w:rPr>
      </w:pPr>
    </w:p>
    <w:p w14:paraId="54F2BA2B">
      <w:pPr>
        <w:autoSpaceDE w:val="0"/>
        <w:autoSpaceDN w:val="0"/>
        <w:spacing w:line="300" w:lineRule="auto"/>
        <w:ind w:left="480" w:hanging="480"/>
        <w:rPr>
          <w:rFonts w:hAnsi="宋体"/>
          <w:color w:val="auto"/>
          <w:highlight w:val="none"/>
        </w:rPr>
      </w:pPr>
    </w:p>
    <w:p w14:paraId="0C23AE3D">
      <w:pPr>
        <w:autoSpaceDE w:val="0"/>
        <w:autoSpaceDN w:val="0"/>
        <w:spacing w:line="300" w:lineRule="auto"/>
        <w:ind w:left="480" w:hanging="480"/>
        <w:rPr>
          <w:rFonts w:hAnsi="宋体"/>
          <w:color w:val="auto"/>
          <w:highlight w:val="none"/>
        </w:rPr>
      </w:pPr>
    </w:p>
    <w:p w14:paraId="3FB48344">
      <w:pPr>
        <w:autoSpaceDE w:val="0"/>
        <w:autoSpaceDN w:val="0"/>
        <w:spacing w:line="300" w:lineRule="auto"/>
        <w:ind w:left="480" w:hanging="480"/>
        <w:rPr>
          <w:rFonts w:hAnsi="宋体"/>
          <w:color w:val="auto"/>
          <w:highlight w:val="none"/>
        </w:rPr>
      </w:pPr>
    </w:p>
    <w:p w14:paraId="342D15FC">
      <w:pPr>
        <w:autoSpaceDE w:val="0"/>
        <w:autoSpaceDN w:val="0"/>
        <w:spacing w:line="300" w:lineRule="auto"/>
        <w:ind w:left="480" w:hanging="480"/>
        <w:rPr>
          <w:rFonts w:hAnsi="宋体"/>
          <w:color w:val="auto"/>
          <w:highlight w:val="none"/>
        </w:rPr>
      </w:pPr>
    </w:p>
    <w:p w14:paraId="5516BB06">
      <w:pPr>
        <w:autoSpaceDE w:val="0"/>
        <w:autoSpaceDN w:val="0"/>
        <w:spacing w:line="300" w:lineRule="auto"/>
        <w:ind w:left="480" w:hanging="480"/>
        <w:rPr>
          <w:rFonts w:hAnsi="宋体"/>
          <w:color w:val="auto"/>
          <w:highlight w:val="none"/>
        </w:rPr>
      </w:pPr>
    </w:p>
    <w:p w14:paraId="4D0FCF41">
      <w:pPr>
        <w:autoSpaceDE w:val="0"/>
        <w:autoSpaceDN w:val="0"/>
        <w:spacing w:line="300" w:lineRule="auto"/>
        <w:ind w:left="480" w:hanging="480"/>
        <w:rPr>
          <w:rFonts w:hAnsi="宋体"/>
          <w:color w:val="auto"/>
          <w:highlight w:val="none"/>
        </w:rPr>
      </w:pPr>
    </w:p>
    <w:p w14:paraId="79651254">
      <w:pPr>
        <w:autoSpaceDE w:val="0"/>
        <w:autoSpaceDN w:val="0"/>
        <w:spacing w:line="300" w:lineRule="auto"/>
        <w:ind w:left="480" w:hanging="480"/>
        <w:rPr>
          <w:rFonts w:hAnsi="宋体"/>
          <w:color w:val="auto"/>
          <w:highlight w:val="none"/>
        </w:rPr>
      </w:pPr>
    </w:p>
    <w:p w14:paraId="29566DE2">
      <w:pPr>
        <w:autoSpaceDE w:val="0"/>
        <w:autoSpaceDN w:val="0"/>
        <w:spacing w:line="300" w:lineRule="auto"/>
        <w:ind w:left="480" w:hanging="480"/>
        <w:rPr>
          <w:rFonts w:ascii="宋体" w:hAnsi="宋体"/>
          <w:color w:val="auto"/>
          <w:szCs w:val="21"/>
          <w:highlight w:val="none"/>
        </w:rPr>
      </w:pPr>
    </w:p>
    <w:p w14:paraId="25FAEC60">
      <w:pPr>
        <w:autoSpaceDE w:val="0"/>
        <w:autoSpaceDN w:val="0"/>
        <w:spacing w:line="300" w:lineRule="auto"/>
        <w:ind w:left="480" w:hanging="480"/>
        <w:rPr>
          <w:rFonts w:ascii="宋体" w:hAnsi="宋体"/>
          <w:color w:val="auto"/>
          <w:szCs w:val="21"/>
          <w:highlight w:val="none"/>
        </w:rPr>
      </w:pPr>
    </w:p>
    <w:p w14:paraId="57E9F473">
      <w:pPr>
        <w:autoSpaceDE w:val="0"/>
        <w:autoSpaceDN w:val="0"/>
        <w:spacing w:line="300" w:lineRule="auto"/>
        <w:ind w:left="480" w:hanging="480"/>
        <w:rPr>
          <w:rFonts w:ascii="宋体" w:hAnsi="宋体"/>
          <w:color w:val="auto"/>
          <w:szCs w:val="21"/>
          <w:highlight w:val="none"/>
        </w:rPr>
      </w:pPr>
    </w:p>
    <w:p w14:paraId="5867DF27">
      <w:pPr>
        <w:autoSpaceDE w:val="0"/>
        <w:autoSpaceDN w:val="0"/>
        <w:spacing w:line="300" w:lineRule="auto"/>
        <w:ind w:left="480" w:hanging="480"/>
        <w:rPr>
          <w:rFonts w:ascii="宋体" w:hAnsi="宋体"/>
          <w:color w:val="auto"/>
          <w:szCs w:val="21"/>
          <w:highlight w:val="none"/>
        </w:rPr>
      </w:pPr>
    </w:p>
    <w:p w14:paraId="04A97C9C">
      <w:pPr>
        <w:autoSpaceDE w:val="0"/>
        <w:autoSpaceDN w:val="0"/>
        <w:spacing w:line="300" w:lineRule="auto"/>
        <w:ind w:left="480" w:hanging="480"/>
        <w:rPr>
          <w:rFonts w:ascii="宋体" w:hAnsi="宋体"/>
          <w:color w:val="auto"/>
          <w:szCs w:val="21"/>
          <w:highlight w:val="none"/>
        </w:rPr>
      </w:pPr>
    </w:p>
    <w:p w14:paraId="50955B8D">
      <w:pPr>
        <w:autoSpaceDE w:val="0"/>
        <w:autoSpaceDN w:val="0"/>
        <w:spacing w:line="300" w:lineRule="auto"/>
        <w:ind w:left="480" w:hanging="480"/>
        <w:rPr>
          <w:rFonts w:ascii="宋体" w:hAnsi="宋体"/>
          <w:color w:val="auto"/>
          <w:szCs w:val="21"/>
          <w:highlight w:val="none"/>
        </w:rPr>
      </w:pPr>
    </w:p>
    <w:p w14:paraId="76BB837D">
      <w:pPr>
        <w:autoSpaceDE w:val="0"/>
        <w:autoSpaceDN w:val="0"/>
        <w:spacing w:line="300" w:lineRule="auto"/>
        <w:ind w:left="480" w:hanging="480"/>
        <w:rPr>
          <w:rFonts w:ascii="宋体" w:hAnsi="宋体"/>
          <w:color w:val="auto"/>
          <w:szCs w:val="21"/>
          <w:highlight w:val="none"/>
        </w:rPr>
      </w:pPr>
    </w:p>
    <w:p w14:paraId="3C718676">
      <w:pPr>
        <w:autoSpaceDE w:val="0"/>
        <w:autoSpaceDN w:val="0"/>
        <w:spacing w:line="300" w:lineRule="auto"/>
        <w:ind w:left="480" w:hanging="480"/>
        <w:rPr>
          <w:rFonts w:ascii="宋体" w:hAnsi="宋体"/>
          <w:color w:val="auto"/>
          <w:szCs w:val="21"/>
          <w:highlight w:val="none"/>
        </w:rPr>
      </w:pPr>
    </w:p>
    <w:p w14:paraId="2CB684C4">
      <w:pPr>
        <w:autoSpaceDE w:val="0"/>
        <w:autoSpaceDN w:val="0"/>
        <w:spacing w:line="300" w:lineRule="auto"/>
        <w:ind w:left="480" w:hanging="480"/>
        <w:rPr>
          <w:rFonts w:ascii="宋体" w:hAnsi="宋体"/>
          <w:color w:val="auto"/>
          <w:szCs w:val="21"/>
          <w:highlight w:val="none"/>
        </w:rPr>
      </w:pPr>
    </w:p>
    <w:p w14:paraId="59D21A62">
      <w:pPr>
        <w:autoSpaceDE w:val="0"/>
        <w:autoSpaceDN w:val="0"/>
        <w:spacing w:line="300" w:lineRule="auto"/>
        <w:ind w:left="480" w:hanging="480"/>
        <w:rPr>
          <w:rFonts w:ascii="宋体" w:hAnsi="宋体"/>
          <w:color w:val="auto"/>
          <w:szCs w:val="21"/>
          <w:highlight w:val="none"/>
        </w:rPr>
      </w:pPr>
    </w:p>
    <w:p w14:paraId="09019C8B">
      <w:pPr>
        <w:autoSpaceDE w:val="0"/>
        <w:autoSpaceDN w:val="0"/>
        <w:spacing w:line="300" w:lineRule="auto"/>
        <w:ind w:left="480" w:hanging="480"/>
        <w:rPr>
          <w:rFonts w:ascii="宋体" w:hAnsi="宋体"/>
          <w:color w:val="auto"/>
          <w:szCs w:val="21"/>
          <w:highlight w:val="none"/>
        </w:rPr>
      </w:pPr>
    </w:p>
    <w:p w14:paraId="1F4A2719">
      <w:pPr>
        <w:pStyle w:val="10"/>
        <w:spacing w:line="360" w:lineRule="auto"/>
        <w:ind w:firstLine="3885" w:firstLineChars="1850"/>
        <w:rPr>
          <w:rFonts w:hAnsi="宋体"/>
          <w:color w:val="auto"/>
          <w:sz w:val="21"/>
          <w:highlight w:val="none"/>
          <w:u w:val="single"/>
        </w:rPr>
      </w:pPr>
      <w:r>
        <w:rPr>
          <w:rFonts w:hint="eastAsia" w:hAnsi="宋体"/>
          <w:color w:val="auto"/>
          <w:sz w:val="21"/>
          <w:highlight w:val="none"/>
        </w:rPr>
        <w:t>法定代表人或被授权人（签字）:</w:t>
      </w:r>
    </w:p>
    <w:p w14:paraId="2E9A708B">
      <w:pPr>
        <w:pStyle w:val="10"/>
        <w:spacing w:line="360" w:lineRule="auto"/>
        <w:ind w:firstLine="4830" w:firstLineChars="2300"/>
        <w:rPr>
          <w:rFonts w:hAnsi="宋体"/>
          <w:color w:val="auto"/>
          <w:sz w:val="21"/>
          <w:highlight w:val="none"/>
          <w:u w:val="single"/>
        </w:rPr>
      </w:pPr>
      <w:r>
        <w:rPr>
          <w:rFonts w:hint="eastAsia" w:hAnsi="宋体"/>
          <w:color w:val="auto"/>
          <w:sz w:val="21"/>
          <w:highlight w:val="none"/>
        </w:rPr>
        <w:t>供应商名称（签公章）：</w:t>
      </w:r>
    </w:p>
    <w:p w14:paraId="766E408A">
      <w:pPr>
        <w:adjustRightInd w:val="0"/>
        <w:snapToGrid w:val="0"/>
        <w:spacing w:line="360" w:lineRule="auto"/>
        <w:ind w:right="120"/>
        <w:jc w:val="right"/>
        <w:rPr>
          <w:rFonts w:hint="eastAsia" w:ascii="宋体" w:hAnsi="宋体"/>
          <w:color w:val="auto"/>
          <w:szCs w:val="21"/>
          <w:highlight w:val="none"/>
        </w:rPr>
      </w:pPr>
    </w:p>
    <w:p w14:paraId="13CA1F83">
      <w:pPr>
        <w:adjustRightInd w:val="0"/>
        <w:snapToGrid w:val="0"/>
        <w:spacing w:line="360" w:lineRule="auto"/>
        <w:ind w:right="120"/>
        <w:jc w:val="right"/>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36B69BEF">
      <w:pPr>
        <w:autoSpaceDE w:val="0"/>
        <w:autoSpaceDN w:val="0"/>
        <w:spacing w:line="300" w:lineRule="auto"/>
        <w:ind w:left="480" w:hanging="480"/>
        <w:rPr>
          <w:rFonts w:ascii="宋体" w:hAnsi="宋体"/>
          <w:color w:val="auto"/>
          <w:szCs w:val="21"/>
          <w:highlight w:val="none"/>
        </w:rPr>
      </w:pPr>
    </w:p>
    <w:p w14:paraId="51DE10E2">
      <w:pPr>
        <w:spacing w:line="300" w:lineRule="auto"/>
        <w:rPr>
          <w:rFonts w:ascii="宋体" w:hAnsi="宋体"/>
          <w:color w:val="auto"/>
          <w:szCs w:val="21"/>
          <w:highlight w:val="none"/>
        </w:rPr>
      </w:pPr>
      <w:r>
        <w:rPr>
          <w:rFonts w:ascii="宋体" w:hAnsi="宋体"/>
          <w:color w:val="auto"/>
          <w:szCs w:val="21"/>
          <w:highlight w:val="none"/>
        </w:rPr>
        <w:br w:type="page"/>
      </w:r>
    </w:p>
    <w:p w14:paraId="1FBDFA3A">
      <w:pPr>
        <w:spacing w:line="300" w:lineRule="auto"/>
        <w:rPr>
          <w:rFonts w:ascii="宋体" w:hAnsi="宋体"/>
          <w:b/>
          <w:color w:val="auto"/>
          <w:szCs w:val="21"/>
          <w:highlight w:val="none"/>
        </w:rPr>
      </w:pPr>
      <w:r>
        <w:rPr>
          <w:rFonts w:hint="eastAsia" w:ascii="宋体" w:hAnsi="宋体"/>
          <w:b/>
          <w:color w:val="auto"/>
          <w:szCs w:val="21"/>
          <w:highlight w:val="none"/>
        </w:rPr>
        <w:t>法定代表人身份证明及法定代表人授权书</w:t>
      </w:r>
    </w:p>
    <w:p w14:paraId="758141B5">
      <w:pPr>
        <w:spacing w:line="300" w:lineRule="auto"/>
        <w:rPr>
          <w:rFonts w:ascii="宋体" w:hAnsi="宋体"/>
          <w:b/>
          <w:color w:val="auto"/>
          <w:szCs w:val="21"/>
          <w:highlight w:val="none"/>
        </w:rPr>
      </w:pPr>
    </w:p>
    <w:p w14:paraId="70E61803">
      <w:pPr>
        <w:pStyle w:val="10"/>
        <w:spacing w:line="440" w:lineRule="exact"/>
        <w:jc w:val="center"/>
        <w:rPr>
          <w:b/>
          <w:color w:val="auto"/>
          <w:sz w:val="32"/>
          <w:szCs w:val="32"/>
          <w:highlight w:val="none"/>
        </w:rPr>
      </w:pPr>
      <w:r>
        <w:rPr>
          <w:rFonts w:hint="eastAsia"/>
          <w:b/>
          <w:color w:val="auto"/>
          <w:sz w:val="32"/>
          <w:szCs w:val="32"/>
          <w:highlight w:val="none"/>
        </w:rPr>
        <w:t>法定代表人身份证明书（格式）</w:t>
      </w:r>
    </w:p>
    <w:p w14:paraId="533A554B">
      <w:pPr>
        <w:pStyle w:val="10"/>
        <w:spacing w:line="460" w:lineRule="exact"/>
        <w:ind w:firstLine="542" w:firstLineChars="257"/>
        <w:jc w:val="center"/>
        <w:rPr>
          <w:b/>
          <w:color w:val="auto"/>
          <w:highlight w:val="none"/>
        </w:rPr>
      </w:pPr>
    </w:p>
    <w:p w14:paraId="3BC67211">
      <w:pPr>
        <w:spacing w:line="500" w:lineRule="exact"/>
        <w:rPr>
          <w:rFonts w:ascii="宋体" w:hAnsi="宋体"/>
          <w:color w:val="auto"/>
          <w:szCs w:val="21"/>
          <w:highlight w:val="none"/>
        </w:rPr>
      </w:pPr>
      <w:r>
        <w:rPr>
          <w:rFonts w:hint="eastAsia" w:ascii="宋体" w:hAnsi="宋体"/>
          <w:color w:val="auto"/>
          <w:szCs w:val="21"/>
          <w:highlight w:val="none"/>
        </w:rPr>
        <w:t>竞标人：</w:t>
      </w:r>
    </w:p>
    <w:p w14:paraId="055B85D3">
      <w:pPr>
        <w:spacing w:line="500" w:lineRule="exact"/>
        <w:rPr>
          <w:rFonts w:ascii="宋体" w:hAnsi="宋体"/>
          <w:color w:val="auto"/>
          <w:szCs w:val="21"/>
          <w:highlight w:val="none"/>
        </w:rPr>
      </w:pPr>
      <w:r>
        <w:rPr>
          <w:rFonts w:hint="eastAsia" w:ascii="宋体" w:hAnsi="宋体"/>
          <w:color w:val="auto"/>
          <w:szCs w:val="21"/>
          <w:highlight w:val="none"/>
        </w:rPr>
        <w:t>单位性质：</w:t>
      </w:r>
    </w:p>
    <w:p w14:paraId="1530185E">
      <w:pPr>
        <w:spacing w:line="500" w:lineRule="exact"/>
        <w:rPr>
          <w:rFonts w:ascii="宋体" w:hAnsi="宋体"/>
          <w:color w:val="auto"/>
          <w:szCs w:val="21"/>
          <w:highlight w:val="none"/>
        </w:rPr>
      </w:pPr>
      <w:r>
        <w:rPr>
          <w:rFonts w:hint="eastAsia" w:ascii="宋体" w:hAnsi="宋体"/>
          <w:color w:val="auto"/>
          <w:szCs w:val="21"/>
          <w:highlight w:val="none"/>
        </w:rPr>
        <w:t>地址：</w:t>
      </w:r>
    </w:p>
    <w:p w14:paraId="7C11B635">
      <w:pPr>
        <w:spacing w:line="500" w:lineRule="exact"/>
        <w:rPr>
          <w:rFonts w:ascii="宋体" w:hAnsi="宋体"/>
          <w:color w:val="auto"/>
          <w:szCs w:val="21"/>
          <w:highlight w:val="none"/>
        </w:rPr>
      </w:pPr>
      <w:r>
        <w:rPr>
          <w:rFonts w:hint="eastAsia" w:ascii="宋体" w:hAnsi="宋体"/>
          <w:color w:val="auto"/>
          <w:szCs w:val="21"/>
          <w:highlight w:val="none"/>
        </w:rPr>
        <w:t>成立时间：年月日</w:t>
      </w:r>
    </w:p>
    <w:p w14:paraId="36378F7D">
      <w:pPr>
        <w:spacing w:line="500" w:lineRule="exact"/>
        <w:rPr>
          <w:rFonts w:ascii="宋体" w:hAnsi="宋体"/>
          <w:color w:val="auto"/>
          <w:szCs w:val="21"/>
          <w:highlight w:val="none"/>
        </w:rPr>
      </w:pPr>
      <w:r>
        <w:rPr>
          <w:rFonts w:hint="eastAsia" w:ascii="宋体" w:hAnsi="宋体"/>
          <w:color w:val="auto"/>
          <w:szCs w:val="21"/>
          <w:highlight w:val="none"/>
        </w:rPr>
        <w:t>经营期限：</w:t>
      </w:r>
    </w:p>
    <w:p w14:paraId="3C63F205">
      <w:pPr>
        <w:spacing w:line="500" w:lineRule="exact"/>
        <w:rPr>
          <w:rFonts w:ascii="宋体" w:hAnsi="宋体"/>
          <w:color w:val="auto"/>
          <w:szCs w:val="21"/>
          <w:highlight w:val="none"/>
        </w:rPr>
      </w:pPr>
      <w:r>
        <w:rPr>
          <w:rFonts w:hint="eastAsia" w:ascii="宋体" w:hAnsi="宋体"/>
          <w:color w:val="auto"/>
          <w:szCs w:val="21"/>
          <w:highlight w:val="none"/>
        </w:rPr>
        <w:t>姓名：性别：</w:t>
      </w:r>
    </w:p>
    <w:p w14:paraId="4F1D415E">
      <w:pPr>
        <w:spacing w:line="500" w:lineRule="exact"/>
        <w:rPr>
          <w:rFonts w:ascii="宋体" w:hAnsi="宋体"/>
          <w:color w:val="auto"/>
          <w:szCs w:val="21"/>
          <w:highlight w:val="none"/>
          <w:u w:val="single"/>
        </w:rPr>
      </w:pPr>
      <w:r>
        <w:rPr>
          <w:rFonts w:hint="eastAsia" w:ascii="宋体" w:hAnsi="宋体"/>
          <w:color w:val="auto"/>
          <w:szCs w:val="21"/>
          <w:highlight w:val="none"/>
        </w:rPr>
        <w:t>年龄：职务：</w:t>
      </w:r>
    </w:p>
    <w:p w14:paraId="0E6BABCE">
      <w:pPr>
        <w:spacing w:line="500" w:lineRule="exact"/>
        <w:rPr>
          <w:rFonts w:ascii="宋体" w:hAnsi="宋体"/>
          <w:color w:val="auto"/>
          <w:szCs w:val="21"/>
          <w:highlight w:val="none"/>
        </w:rPr>
      </w:pPr>
      <w:r>
        <w:rPr>
          <w:rFonts w:hint="eastAsia" w:ascii="宋体" w:hAnsi="宋体"/>
          <w:color w:val="auto"/>
          <w:szCs w:val="21"/>
          <w:highlight w:val="none"/>
        </w:rPr>
        <w:t>身份证</w:t>
      </w:r>
      <w:r>
        <w:rPr>
          <w:rFonts w:hint="eastAsia"/>
          <w:color w:val="auto"/>
          <w:szCs w:val="21"/>
          <w:highlight w:val="none"/>
        </w:rPr>
        <w:t>号码：</w:t>
      </w:r>
    </w:p>
    <w:p w14:paraId="6B12CFDB">
      <w:pPr>
        <w:spacing w:line="500" w:lineRule="exact"/>
        <w:rPr>
          <w:rFonts w:ascii="宋体" w:hAnsi="宋体"/>
          <w:color w:val="auto"/>
          <w:szCs w:val="21"/>
          <w:highlight w:val="none"/>
        </w:rPr>
      </w:pPr>
      <w:r>
        <w:rPr>
          <w:rFonts w:hint="eastAsia" w:ascii="宋体" w:hAnsi="宋体"/>
          <w:color w:val="auto"/>
          <w:szCs w:val="21"/>
          <w:highlight w:val="none"/>
        </w:rPr>
        <w:t>系（供应商名称）的法定代表人。</w:t>
      </w:r>
    </w:p>
    <w:p w14:paraId="123AA4D2">
      <w:pPr>
        <w:pStyle w:val="10"/>
        <w:spacing w:line="460" w:lineRule="exact"/>
        <w:ind w:firstLine="539" w:firstLineChars="257"/>
        <w:rPr>
          <w:rFonts w:hAnsi="宋体"/>
          <w:color w:val="auto"/>
          <w:sz w:val="21"/>
          <w:highlight w:val="none"/>
        </w:rPr>
      </w:pPr>
      <w:r>
        <w:rPr>
          <w:rFonts w:hint="eastAsia" w:hAnsi="宋体"/>
          <w:color w:val="auto"/>
          <w:sz w:val="21"/>
          <w:highlight w:val="none"/>
        </w:rPr>
        <w:t>特此证明。</w:t>
      </w:r>
    </w:p>
    <w:p w14:paraId="43F1CE88">
      <w:pPr>
        <w:pStyle w:val="10"/>
        <w:spacing w:line="460" w:lineRule="exact"/>
        <w:ind w:firstLine="539" w:firstLineChars="257"/>
        <w:rPr>
          <w:color w:val="auto"/>
          <w:sz w:val="21"/>
          <w:highlight w:val="none"/>
        </w:rPr>
      </w:pPr>
      <w:r>
        <w:rPr>
          <w:rFonts w:hint="eastAsia"/>
          <w:color w:val="auto"/>
          <w:sz w:val="21"/>
          <w:highlight w:val="none"/>
        </w:rPr>
        <w:t>附：法定代表人有效的身份证正反面复印件，并加盖公章。</w:t>
      </w:r>
    </w:p>
    <w:p w14:paraId="754793A5">
      <w:pPr>
        <w:pStyle w:val="10"/>
        <w:spacing w:line="460" w:lineRule="exact"/>
        <w:ind w:firstLine="539" w:firstLineChars="257"/>
        <w:rPr>
          <w:color w:val="auto"/>
          <w:highlight w:val="none"/>
        </w:rPr>
      </w:pPr>
    </w:p>
    <w:p w14:paraId="4FD823FE">
      <w:pPr>
        <w:pStyle w:val="10"/>
        <w:spacing w:line="460" w:lineRule="exact"/>
        <w:ind w:firstLine="539" w:firstLineChars="257"/>
        <w:rPr>
          <w:color w:val="auto"/>
          <w:highlight w:val="none"/>
        </w:rPr>
      </w:pPr>
    </w:p>
    <w:p w14:paraId="31AEC700">
      <w:pPr>
        <w:pStyle w:val="10"/>
        <w:wordWrap w:val="0"/>
        <w:spacing w:line="460" w:lineRule="exact"/>
        <w:ind w:firstLine="539" w:firstLineChars="257"/>
        <w:jc w:val="right"/>
        <w:rPr>
          <w:color w:val="auto"/>
          <w:sz w:val="21"/>
          <w:highlight w:val="none"/>
        </w:rPr>
      </w:pPr>
      <w:r>
        <w:rPr>
          <w:rFonts w:hint="eastAsia"/>
          <w:color w:val="auto"/>
          <w:sz w:val="21"/>
          <w:highlight w:val="none"/>
        </w:rPr>
        <w:t>供应商：（盖单位公章）</w:t>
      </w:r>
    </w:p>
    <w:p w14:paraId="7A57FA6E">
      <w:pPr>
        <w:pStyle w:val="10"/>
        <w:spacing w:line="460" w:lineRule="exact"/>
        <w:ind w:firstLine="539" w:firstLineChars="257"/>
        <w:rPr>
          <w:color w:val="auto"/>
          <w:sz w:val="21"/>
          <w:highlight w:val="none"/>
        </w:rPr>
      </w:pPr>
    </w:p>
    <w:p w14:paraId="55B6A791">
      <w:pPr>
        <w:pStyle w:val="10"/>
        <w:spacing w:line="460" w:lineRule="exact"/>
        <w:ind w:firstLine="525" w:firstLineChars="250"/>
        <w:jc w:val="right"/>
        <w:rPr>
          <w:color w:val="auto"/>
          <w:sz w:val="21"/>
          <w:highlight w:val="none"/>
        </w:rPr>
      </w:pPr>
      <w:r>
        <w:rPr>
          <w:rFonts w:hint="eastAsia"/>
          <w:color w:val="auto"/>
          <w:sz w:val="21"/>
          <w:highlight w:val="none"/>
        </w:rPr>
        <w:t>日期：年</w:t>
      </w:r>
      <w:r>
        <w:rPr>
          <w:rFonts w:hint="eastAsia"/>
          <w:color w:val="auto"/>
          <w:sz w:val="21"/>
          <w:highlight w:val="none"/>
          <w:lang w:val="en-US" w:eastAsia="zh-CN"/>
        </w:rPr>
        <w:t xml:space="preserve"> </w:t>
      </w:r>
      <w:r>
        <w:rPr>
          <w:rFonts w:hint="eastAsia"/>
          <w:color w:val="auto"/>
          <w:sz w:val="21"/>
          <w:highlight w:val="none"/>
        </w:rPr>
        <w:t>月</w:t>
      </w:r>
      <w:r>
        <w:rPr>
          <w:rFonts w:hint="eastAsia"/>
          <w:color w:val="auto"/>
          <w:sz w:val="21"/>
          <w:highlight w:val="none"/>
          <w:lang w:val="en-US" w:eastAsia="zh-CN"/>
        </w:rPr>
        <w:t xml:space="preserve">  </w:t>
      </w:r>
      <w:r>
        <w:rPr>
          <w:rFonts w:hint="eastAsia"/>
          <w:color w:val="auto"/>
          <w:sz w:val="21"/>
          <w:highlight w:val="none"/>
        </w:rPr>
        <w:t>日</w:t>
      </w:r>
    </w:p>
    <w:p w14:paraId="30C7A928">
      <w:pPr>
        <w:pStyle w:val="10"/>
        <w:spacing w:line="460" w:lineRule="exact"/>
        <w:rPr>
          <w:color w:val="auto"/>
          <w:highlight w:val="none"/>
        </w:rPr>
      </w:pPr>
    </w:p>
    <w:p w14:paraId="755949EB">
      <w:pPr>
        <w:spacing w:line="300" w:lineRule="auto"/>
        <w:rPr>
          <w:rFonts w:ascii="宋体" w:hAnsi="宋体"/>
          <w:b/>
          <w:color w:val="auto"/>
          <w:szCs w:val="21"/>
          <w:highlight w:val="none"/>
        </w:rPr>
      </w:pPr>
      <w:r>
        <w:rPr>
          <w:rFonts w:ascii="宋体" w:hAnsi="宋体"/>
          <w:b/>
          <w:color w:val="auto"/>
          <w:szCs w:val="21"/>
          <w:highlight w:val="none"/>
        </w:rPr>
        <w:br w:type="page"/>
      </w:r>
    </w:p>
    <w:p w14:paraId="77BA4158">
      <w:pPr>
        <w:adjustRightInd w:val="0"/>
        <w:snapToGrid w:val="0"/>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法定代表人授权书</w:t>
      </w:r>
    </w:p>
    <w:p w14:paraId="2BE357D5">
      <w:pPr>
        <w:adjustRightInd w:val="0"/>
        <w:snapToGrid w:val="0"/>
        <w:spacing w:line="300" w:lineRule="auto"/>
        <w:rPr>
          <w:rFonts w:ascii="宋体" w:hAnsi="宋体"/>
          <w:color w:val="auto"/>
          <w:szCs w:val="21"/>
          <w:highlight w:val="none"/>
        </w:rPr>
      </w:pPr>
    </w:p>
    <w:p w14:paraId="023268FB">
      <w:pPr>
        <w:snapToGrid w:val="0"/>
        <w:spacing w:before="120" w:beforeLines="50" w:after="50"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hint="eastAsia" w:hAnsi="宋体"/>
          <w:color w:val="auto"/>
          <w:szCs w:val="21"/>
          <w:highlight w:val="none"/>
          <w:u w:val="single"/>
        </w:rPr>
        <w:t>广西壮族自治区江滨医院</w:t>
      </w:r>
      <w:r>
        <w:rPr>
          <w:rFonts w:hint="eastAsia" w:ascii="宋体" w:hAnsi="宋体"/>
          <w:bCs/>
          <w:color w:val="auto"/>
          <w:sz w:val="24"/>
          <w:highlight w:val="none"/>
        </w:rPr>
        <w:t>：</w:t>
      </w:r>
    </w:p>
    <w:p w14:paraId="72B5F615">
      <w:pPr>
        <w:snapToGrid w:val="0"/>
        <w:spacing w:before="120" w:beforeLines="50" w:after="50" w:line="360" w:lineRule="auto"/>
        <w:ind w:firstLine="566" w:firstLineChars="236"/>
        <w:rPr>
          <w:rFonts w:ascii="宋体" w:hAnsi="宋体"/>
          <w:color w:val="auto"/>
          <w:sz w:val="24"/>
          <w:szCs w:val="20"/>
          <w:highlight w:val="none"/>
        </w:rPr>
      </w:pPr>
      <w:r>
        <w:rPr>
          <w:rFonts w:hint="eastAsia" w:ascii="宋体" w:hAnsi="宋体"/>
          <w:color w:val="auto"/>
          <w:sz w:val="24"/>
          <w:highlight w:val="none"/>
        </w:rPr>
        <w:t>我_____（姓名）系______（供应商名称）的法定代表人，现授权委托本单位在职职工（姓名）以我方的名义参加</w:t>
      </w:r>
      <w:r>
        <w:rPr>
          <w:rFonts w:hint="eastAsia" w:ascii="宋体" w:hAnsi="宋体"/>
          <w:color w:val="auto"/>
          <w:sz w:val="24"/>
          <w:highlight w:val="none"/>
          <w:u w:val="single"/>
        </w:rPr>
        <w:t xml:space="preserve">                                              XX       </w:t>
      </w:r>
      <w:r>
        <w:rPr>
          <w:rFonts w:hint="eastAsia" w:ascii="宋体" w:hAnsi="宋体"/>
          <w:color w:val="auto"/>
          <w:sz w:val="24"/>
          <w:highlight w:val="none"/>
        </w:rPr>
        <w:t>项目(项目编号)的竞标活动，并代表我方全权办理针对上述项目的竞标、开标、评标、签约等具体事务和签署相关文件。</w:t>
      </w:r>
    </w:p>
    <w:p w14:paraId="22636C0F">
      <w:pPr>
        <w:snapToGrid w:val="0"/>
        <w:spacing w:before="120" w:beforeLines="50" w:after="50" w:line="360" w:lineRule="auto"/>
        <w:rPr>
          <w:rFonts w:ascii="宋体" w:hAnsi="宋体"/>
          <w:color w:val="auto"/>
          <w:sz w:val="24"/>
          <w:szCs w:val="20"/>
          <w:highlight w:val="none"/>
        </w:rPr>
      </w:pPr>
      <w:r>
        <w:rPr>
          <w:rFonts w:hint="eastAsia" w:ascii="宋体" w:hAnsi="宋体"/>
          <w:color w:val="auto"/>
          <w:sz w:val="24"/>
          <w:highlight w:val="none"/>
        </w:rPr>
        <w:t>我方对被授权人的签字事项负全部责任。</w:t>
      </w:r>
    </w:p>
    <w:p w14:paraId="43B374C7">
      <w:pPr>
        <w:snapToGrid w:val="0"/>
        <w:spacing w:before="120" w:beforeLines="50" w:after="50"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434DAE18">
      <w:pPr>
        <w:snapToGrid w:val="0"/>
        <w:spacing w:before="120" w:beforeLines="50" w:after="50"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02B87613">
      <w:pPr>
        <w:snapToGrid w:val="0"/>
        <w:spacing w:before="120" w:beforeLines="50" w:after="50" w:line="360" w:lineRule="auto"/>
        <w:ind w:firstLine="480"/>
        <w:rPr>
          <w:rFonts w:ascii="宋体" w:hAnsi="宋体"/>
          <w:color w:val="auto"/>
          <w:sz w:val="24"/>
          <w:highlight w:val="none"/>
        </w:rPr>
      </w:pPr>
      <w:r>
        <w:rPr>
          <w:rFonts w:hint="eastAsia" w:ascii="宋体" w:hAnsi="宋体"/>
          <w:color w:val="auto"/>
          <w:sz w:val="24"/>
          <w:highlight w:val="none"/>
        </w:rPr>
        <w:t>附：法定代表人身份证明书、法定代表人有效的身份证正反面复印件及被授权人有效的身份证正反面复印件，并加盖公章。</w:t>
      </w:r>
    </w:p>
    <w:p w14:paraId="4BE986F5">
      <w:pPr>
        <w:snapToGrid w:val="0"/>
        <w:spacing w:before="120" w:beforeLines="50" w:after="50" w:line="360" w:lineRule="auto"/>
        <w:ind w:firstLine="480"/>
        <w:rPr>
          <w:rFonts w:ascii="宋体" w:hAnsi="宋体"/>
          <w:color w:val="auto"/>
          <w:sz w:val="24"/>
          <w:szCs w:val="20"/>
          <w:highlight w:val="none"/>
        </w:rPr>
      </w:pPr>
    </w:p>
    <w:p w14:paraId="68FAB336">
      <w:pPr>
        <w:snapToGrid w:val="0"/>
        <w:spacing w:before="120" w:beforeLines="50" w:after="50" w:line="360" w:lineRule="auto"/>
        <w:rPr>
          <w:rFonts w:ascii="宋体" w:hAnsi="宋体"/>
          <w:color w:val="auto"/>
          <w:sz w:val="24"/>
          <w:szCs w:val="20"/>
          <w:highlight w:val="none"/>
        </w:rPr>
      </w:pPr>
    </w:p>
    <w:p w14:paraId="207A01C1">
      <w:pPr>
        <w:snapToGrid w:val="0"/>
        <w:spacing w:before="120" w:beforeLines="50" w:after="50" w:line="360" w:lineRule="auto"/>
        <w:rPr>
          <w:rFonts w:ascii="宋体" w:hAnsi="宋体"/>
          <w:color w:val="auto"/>
          <w:sz w:val="24"/>
          <w:highlight w:val="none"/>
          <w:u w:val="single"/>
        </w:rPr>
      </w:pPr>
      <w:r>
        <w:rPr>
          <w:rFonts w:hint="eastAsia" w:ascii="宋体" w:hAnsi="宋体"/>
          <w:color w:val="auto"/>
          <w:sz w:val="24"/>
          <w:highlight w:val="none"/>
        </w:rPr>
        <w:t>被授权人签字：法定代表人签字：</w:t>
      </w:r>
    </w:p>
    <w:p w14:paraId="730C777A">
      <w:pPr>
        <w:snapToGrid w:val="0"/>
        <w:spacing w:before="120" w:beforeLines="50" w:after="50" w:line="360" w:lineRule="auto"/>
        <w:rPr>
          <w:rFonts w:ascii="宋体" w:hAnsi="宋体"/>
          <w:color w:val="auto"/>
          <w:sz w:val="24"/>
          <w:szCs w:val="20"/>
          <w:highlight w:val="none"/>
        </w:rPr>
      </w:pPr>
      <w:r>
        <w:rPr>
          <w:rFonts w:hint="eastAsia" w:ascii="宋体" w:hAnsi="宋体"/>
          <w:color w:val="auto"/>
          <w:sz w:val="24"/>
          <w:highlight w:val="none"/>
        </w:rPr>
        <w:t>所在部门职务：职务：</w:t>
      </w:r>
    </w:p>
    <w:p w14:paraId="05F129BC">
      <w:pPr>
        <w:snapToGrid w:val="0"/>
        <w:spacing w:before="120" w:beforeLines="50" w:after="50" w:line="360" w:lineRule="auto"/>
        <w:rPr>
          <w:rFonts w:ascii="宋体" w:hAnsi="宋体"/>
          <w:color w:val="auto"/>
          <w:sz w:val="24"/>
          <w:szCs w:val="20"/>
          <w:highlight w:val="none"/>
        </w:rPr>
      </w:pPr>
      <w:r>
        <w:rPr>
          <w:rFonts w:hint="eastAsia" w:ascii="宋体" w:hAnsi="宋体"/>
          <w:color w:val="auto"/>
          <w:sz w:val="24"/>
          <w:highlight w:val="none"/>
        </w:rPr>
        <w:t>被授权人身份证号码：</w:t>
      </w:r>
    </w:p>
    <w:p w14:paraId="17195374">
      <w:pPr>
        <w:snapToGrid w:val="0"/>
        <w:spacing w:before="120" w:beforeLines="50" w:after="50" w:line="360" w:lineRule="auto"/>
        <w:jc w:val="center"/>
        <w:rPr>
          <w:rFonts w:ascii="宋体" w:hAnsi="宋体"/>
          <w:color w:val="auto"/>
          <w:sz w:val="24"/>
          <w:szCs w:val="20"/>
          <w:highlight w:val="none"/>
        </w:rPr>
      </w:pPr>
      <w:r>
        <w:rPr>
          <w:rFonts w:hint="eastAsia" w:ascii="宋体" w:hAnsi="宋体"/>
          <w:color w:val="auto"/>
          <w:sz w:val="24"/>
          <w:highlight w:val="none"/>
        </w:rPr>
        <w:t>供应商公章：</w:t>
      </w:r>
    </w:p>
    <w:p w14:paraId="21109FEA">
      <w:pPr>
        <w:autoSpaceDE w:val="0"/>
        <w:autoSpaceDN w:val="0"/>
        <w:spacing w:line="360" w:lineRule="auto"/>
        <w:ind w:left="657" w:leftChars="313" w:firstLine="3532" w:firstLineChars="1472"/>
        <w:rPr>
          <w:rFonts w:ascii="宋体" w:hAnsi="宋体"/>
          <w:color w:val="auto"/>
          <w:szCs w:val="21"/>
          <w:highlight w:val="none"/>
        </w:r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4AEBEEB4">
      <w:pPr>
        <w:pStyle w:val="5"/>
        <w:overflowPunct w:val="0"/>
        <w:spacing w:line="360" w:lineRule="auto"/>
        <w:jc w:val="center"/>
        <w:rPr>
          <w:rFonts w:ascii="宋体" w:hAnsi="宋体"/>
          <w:color w:val="auto"/>
          <w:szCs w:val="21"/>
          <w:highlight w:val="none"/>
        </w:rPr>
      </w:pPr>
      <w:r>
        <w:rPr>
          <w:rFonts w:ascii="宋体" w:hAnsi="宋体"/>
          <w:color w:val="auto"/>
          <w:szCs w:val="21"/>
          <w:highlight w:val="none"/>
        </w:rPr>
        <w:br w:type="page"/>
      </w:r>
    </w:p>
    <w:p w14:paraId="282CE2CF">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5FFB606E">
      <w:pPr>
        <w:snapToGrid w:val="0"/>
        <w:spacing w:before="120" w:beforeLines="50" w:after="50"/>
        <w:jc w:val="center"/>
        <w:rPr>
          <w:rFonts w:ascii="宋体" w:hAnsi="宋体"/>
          <w:b/>
          <w:color w:val="auto"/>
          <w:sz w:val="32"/>
          <w:szCs w:val="32"/>
          <w:highlight w:val="none"/>
        </w:rPr>
      </w:pPr>
    </w:p>
    <w:p w14:paraId="20A5B6D5">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089CD810">
      <w:pPr>
        <w:snapToGrid w:val="0"/>
        <w:spacing w:before="50" w:after="120" w:afterLines="50"/>
        <w:jc w:val="center"/>
        <w:rPr>
          <w:rFonts w:ascii="宋体" w:hAnsi="宋体"/>
          <w:b/>
          <w:color w:val="auto"/>
          <w:sz w:val="32"/>
          <w:szCs w:val="32"/>
          <w:highlight w:val="none"/>
        </w:rPr>
      </w:pPr>
    </w:p>
    <w:tbl>
      <w:tblPr>
        <w:tblStyle w:val="18"/>
        <w:tblW w:w="9171" w:type="dxa"/>
        <w:jc w:val="center"/>
        <w:shd w:val="clear" w:color="auto" w:fill="FBFBFB"/>
        <w:tblLayout w:type="fixed"/>
        <w:tblCellMar>
          <w:top w:w="0" w:type="dxa"/>
          <w:left w:w="0" w:type="dxa"/>
          <w:bottom w:w="0" w:type="dxa"/>
          <w:right w:w="0" w:type="dxa"/>
        </w:tblCellMar>
      </w:tblPr>
      <w:tblGrid>
        <w:gridCol w:w="879"/>
        <w:gridCol w:w="2653"/>
        <w:gridCol w:w="1454"/>
        <w:gridCol w:w="2715"/>
        <w:gridCol w:w="1470"/>
      </w:tblGrid>
      <w:tr w14:paraId="197581DA">
        <w:tblPrEx>
          <w:shd w:val="clear" w:color="auto" w:fill="FBFBFB"/>
          <w:tblCellMar>
            <w:top w:w="0" w:type="dxa"/>
            <w:left w:w="0" w:type="dxa"/>
            <w:bottom w:w="0" w:type="dxa"/>
            <w:right w:w="0" w:type="dxa"/>
          </w:tblCellMar>
        </w:tblPrEx>
        <w:trPr>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0C12FF">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985E3D">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27A752">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271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19DEA6">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14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D058DE">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2D3B5F9F">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E29B5">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CB513E">
            <w:pPr>
              <w:widowControl/>
              <w:spacing w:line="360" w:lineRule="auto"/>
              <w:jc w:val="center"/>
              <w:rPr>
                <w:rFonts w:ascii="宋体" w:hAnsi="宋体" w:cs="宋体"/>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B8DD77">
            <w:pPr>
              <w:widowControl/>
              <w:spacing w:line="360" w:lineRule="auto"/>
              <w:jc w:val="center"/>
              <w:rPr>
                <w:rFonts w:ascii="宋体" w:hAnsi="宋体" w:cs="宋体"/>
                <w:color w:val="auto"/>
                <w:kern w:val="0"/>
                <w:sz w:val="28"/>
                <w:szCs w:val="28"/>
                <w:highlight w:val="none"/>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0978A4">
            <w:pPr>
              <w:widowControl/>
              <w:spacing w:line="360" w:lineRule="auto"/>
              <w:jc w:val="center"/>
              <w:rPr>
                <w:rFonts w:ascii="宋体" w:hAnsi="宋体" w:cs="宋体"/>
                <w:color w:val="auto"/>
                <w:kern w:val="0"/>
                <w:sz w:val="28"/>
                <w:szCs w:val="28"/>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CA9C38">
            <w:pPr>
              <w:widowControl/>
              <w:spacing w:line="360" w:lineRule="auto"/>
              <w:jc w:val="center"/>
              <w:rPr>
                <w:rFonts w:ascii="宋体" w:hAnsi="宋体" w:cs="宋体"/>
                <w:color w:val="auto"/>
                <w:kern w:val="0"/>
                <w:sz w:val="28"/>
                <w:szCs w:val="28"/>
                <w:highlight w:val="none"/>
              </w:rPr>
            </w:pPr>
          </w:p>
        </w:tc>
      </w:tr>
      <w:tr w14:paraId="6E892B33">
        <w:tblPrEx>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EC08D2">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D74946">
            <w:pPr>
              <w:widowControl/>
              <w:spacing w:line="360" w:lineRule="auto"/>
              <w:jc w:val="center"/>
              <w:rPr>
                <w:rFonts w:ascii="宋体" w:hAnsi="宋体" w:cs="宋体"/>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D00576">
            <w:pPr>
              <w:widowControl/>
              <w:spacing w:line="360" w:lineRule="auto"/>
              <w:jc w:val="center"/>
              <w:rPr>
                <w:rFonts w:ascii="宋体" w:hAnsi="宋体" w:cs="宋体"/>
                <w:color w:val="auto"/>
                <w:kern w:val="0"/>
                <w:sz w:val="28"/>
                <w:szCs w:val="28"/>
                <w:highlight w:val="none"/>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C8A58A">
            <w:pPr>
              <w:widowControl/>
              <w:spacing w:line="360" w:lineRule="auto"/>
              <w:jc w:val="center"/>
              <w:rPr>
                <w:rFonts w:ascii="宋体" w:hAnsi="宋体" w:cs="宋体"/>
                <w:color w:val="auto"/>
                <w:kern w:val="0"/>
                <w:sz w:val="28"/>
                <w:szCs w:val="28"/>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937730">
            <w:pPr>
              <w:widowControl/>
              <w:spacing w:line="360" w:lineRule="auto"/>
              <w:jc w:val="center"/>
              <w:rPr>
                <w:rFonts w:ascii="宋体" w:hAnsi="宋体" w:cs="宋体"/>
                <w:color w:val="auto"/>
                <w:kern w:val="0"/>
                <w:sz w:val="28"/>
                <w:szCs w:val="28"/>
                <w:highlight w:val="none"/>
              </w:rPr>
            </w:pPr>
          </w:p>
        </w:tc>
      </w:tr>
      <w:tr w14:paraId="30185C23">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602C3C">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083B95">
            <w:pPr>
              <w:widowControl/>
              <w:spacing w:line="360" w:lineRule="auto"/>
              <w:jc w:val="center"/>
              <w:rPr>
                <w:rFonts w:ascii="宋体" w:hAnsi="宋体" w:cs="宋体"/>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DAFB17">
            <w:pPr>
              <w:widowControl/>
              <w:spacing w:line="360" w:lineRule="auto"/>
              <w:jc w:val="center"/>
              <w:rPr>
                <w:rFonts w:ascii="宋体" w:hAnsi="宋体" w:cs="宋体"/>
                <w:color w:val="auto"/>
                <w:kern w:val="0"/>
                <w:sz w:val="28"/>
                <w:szCs w:val="28"/>
                <w:highlight w:val="none"/>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A14EE3">
            <w:pPr>
              <w:widowControl/>
              <w:spacing w:line="360" w:lineRule="auto"/>
              <w:jc w:val="center"/>
              <w:rPr>
                <w:rFonts w:ascii="宋体" w:hAnsi="宋体" w:cs="宋体"/>
                <w:color w:val="auto"/>
                <w:kern w:val="0"/>
                <w:sz w:val="28"/>
                <w:szCs w:val="28"/>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F26722">
            <w:pPr>
              <w:widowControl/>
              <w:spacing w:line="360" w:lineRule="auto"/>
              <w:jc w:val="center"/>
              <w:rPr>
                <w:rFonts w:ascii="宋体" w:hAnsi="宋体" w:cs="宋体"/>
                <w:color w:val="auto"/>
                <w:kern w:val="0"/>
                <w:sz w:val="28"/>
                <w:szCs w:val="28"/>
                <w:highlight w:val="none"/>
              </w:rPr>
            </w:pPr>
          </w:p>
        </w:tc>
      </w:tr>
      <w:tr w14:paraId="20DFBBDF">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CC9774">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E8320E">
            <w:pPr>
              <w:widowControl/>
              <w:spacing w:line="360" w:lineRule="auto"/>
              <w:jc w:val="center"/>
              <w:rPr>
                <w:rFonts w:ascii="宋体" w:hAnsi="宋体" w:cs="宋体"/>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36ECEC">
            <w:pPr>
              <w:widowControl/>
              <w:spacing w:line="360" w:lineRule="auto"/>
              <w:jc w:val="center"/>
              <w:rPr>
                <w:rFonts w:ascii="宋体" w:hAnsi="宋体" w:cs="宋体"/>
                <w:color w:val="auto"/>
                <w:kern w:val="0"/>
                <w:sz w:val="28"/>
                <w:szCs w:val="28"/>
                <w:highlight w:val="none"/>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B09450">
            <w:pPr>
              <w:widowControl/>
              <w:spacing w:line="360" w:lineRule="auto"/>
              <w:jc w:val="center"/>
              <w:rPr>
                <w:rFonts w:ascii="宋体" w:hAnsi="宋体" w:cs="宋体"/>
                <w:color w:val="auto"/>
                <w:kern w:val="0"/>
                <w:sz w:val="28"/>
                <w:szCs w:val="28"/>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091C99">
            <w:pPr>
              <w:widowControl/>
              <w:spacing w:line="360" w:lineRule="auto"/>
              <w:jc w:val="center"/>
              <w:rPr>
                <w:rFonts w:ascii="宋体" w:hAnsi="宋体" w:cs="宋体"/>
                <w:color w:val="auto"/>
                <w:kern w:val="0"/>
                <w:sz w:val="28"/>
                <w:szCs w:val="28"/>
                <w:highlight w:val="none"/>
              </w:rPr>
            </w:pPr>
          </w:p>
        </w:tc>
      </w:tr>
    </w:tbl>
    <w:p w14:paraId="5E017298">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32D74E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3C3C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DD2D7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22F0174">
      <w:pPr>
        <w:spacing w:line="360" w:lineRule="auto"/>
        <w:ind w:firstLine="420" w:firstLineChars="200"/>
        <w:jc w:val="left"/>
        <w:rPr>
          <w:rFonts w:ascii="宋体" w:hAnsi="宋体" w:cs="宋体"/>
          <w:color w:val="auto"/>
          <w:szCs w:val="21"/>
          <w:highlight w:val="none"/>
        </w:rPr>
      </w:pPr>
    </w:p>
    <w:p w14:paraId="74EC75FC">
      <w:pPr>
        <w:spacing w:line="360" w:lineRule="auto"/>
        <w:ind w:firstLine="560" w:firstLineChars="200"/>
        <w:jc w:val="left"/>
        <w:rPr>
          <w:rFonts w:ascii="宋体" w:hAnsi="宋体" w:cs="宋体"/>
          <w:color w:val="auto"/>
          <w:sz w:val="28"/>
          <w:szCs w:val="28"/>
          <w:highlight w:val="none"/>
        </w:rPr>
      </w:pPr>
    </w:p>
    <w:p w14:paraId="527AC4A1">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5BAF16B5">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689288E9">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59C2EF5E">
      <w:pPr>
        <w:snapToGrid w:val="0"/>
        <w:jc w:val="both"/>
        <w:rPr>
          <w:rFonts w:asciiTheme="minorHAnsi" w:hAnsiTheme="minorHAnsi" w:eastAsiaTheme="minorEastAsia" w:cstheme="minorBidi"/>
          <w:color w:val="auto"/>
          <w:kern w:val="2"/>
          <w:sz w:val="21"/>
          <w:szCs w:val="22"/>
          <w:highlight w:val="none"/>
          <w:lang w:val="en-US" w:eastAsia="zh-CN" w:bidi="ar-SA"/>
        </w:rPr>
      </w:pPr>
    </w:p>
    <w:p w14:paraId="51BF3727">
      <w:pPr>
        <w:snapToGrid w:val="0"/>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7207A1E3">
      <w:pPr>
        <w:snapToGrid w:val="0"/>
        <w:jc w:val="center"/>
        <w:rPr>
          <w:rFonts w:ascii="宋体" w:hAnsi="宋体"/>
          <w:b/>
          <w:color w:val="auto"/>
          <w:sz w:val="32"/>
          <w:szCs w:val="32"/>
          <w:highlight w:val="none"/>
        </w:rPr>
      </w:pPr>
    </w:p>
    <w:tbl>
      <w:tblPr>
        <w:tblStyle w:val="18"/>
        <w:tblW w:w="8937" w:type="dxa"/>
        <w:jc w:val="center"/>
        <w:shd w:val="clear" w:color="auto" w:fill="FBFBFB"/>
        <w:tblLayout w:type="fixed"/>
        <w:tblCellMar>
          <w:top w:w="0" w:type="dxa"/>
          <w:left w:w="0" w:type="dxa"/>
          <w:bottom w:w="0" w:type="dxa"/>
          <w:right w:w="0" w:type="dxa"/>
        </w:tblCellMar>
      </w:tblPr>
      <w:tblGrid>
        <w:gridCol w:w="808"/>
        <w:gridCol w:w="2624"/>
        <w:gridCol w:w="3705"/>
        <w:gridCol w:w="1800"/>
      </w:tblGrid>
      <w:tr w14:paraId="514B156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E6EDFF4">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4044C7">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7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3B2164">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8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664038">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577E4BA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B37A5E">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9AF794">
            <w:pPr>
              <w:widowControl/>
              <w:wordWrap w:val="0"/>
              <w:spacing w:line="200" w:lineRule="atLeast"/>
              <w:jc w:val="center"/>
              <w:rPr>
                <w:rFonts w:ascii="宋体" w:hAnsi="宋体" w:cs="宋体"/>
                <w:color w:val="auto"/>
                <w:kern w:val="0"/>
                <w:sz w:val="28"/>
                <w:szCs w:val="28"/>
                <w:highlight w:val="none"/>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CE9048">
            <w:pPr>
              <w:widowControl/>
              <w:wordWrap w:val="0"/>
              <w:spacing w:line="200" w:lineRule="atLeast"/>
              <w:jc w:val="center"/>
              <w:rPr>
                <w:rFonts w:ascii="宋体" w:hAnsi="宋体" w:cs="宋体"/>
                <w:color w:val="auto"/>
                <w:kern w:val="0"/>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A32F7D">
            <w:pPr>
              <w:widowControl/>
              <w:wordWrap w:val="0"/>
              <w:spacing w:line="200" w:lineRule="atLeast"/>
              <w:jc w:val="center"/>
              <w:rPr>
                <w:rFonts w:ascii="宋体" w:hAnsi="宋体" w:cs="宋体"/>
                <w:color w:val="auto"/>
                <w:kern w:val="0"/>
                <w:sz w:val="28"/>
                <w:szCs w:val="28"/>
                <w:highlight w:val="none"/>
              </w:rPr>
            </w:pPr>
          </w:p>
        </w:tc>
      </w:tr>
      <w:tr w14:paraId="6137B27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6CB8D0">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511847">
            <w:pPr>
              <w:widowControl/>
              <w:wordWrap w:val="0"/>
              <w:spacing w:line="200" w:lineRule="atLeast"/>
              <w:jc w:val="center"/>
              <w:rPr>
                <w:rFonts w:ascii="宋体" w:hAnsi="宋体" w:cs="宋体"/>
                <w:color w:val="auto"/>
                <w:kern w:val="0"/>
                <w:sz w:val="28"/>
                <w:szCs w:val="28"/>
                <w:highlight w:val="none"/>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7BC827">
            <w:pPr>
              <w:widowControl/>
              <w:wordWrap w:val="0"/>
              <w:spacing w:line="200" w:lineRule="atLeast"/>
              <w:jc w:val="center"/>
              <w:rPr>
                <w:rFonts w:ascii="宋体" w:hAnsi="宋体" w:cs="宋体"/>
                <w:color w:val="auto"/>
                <w:kern w:val="0"/>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50EAE9">
            <w:pPr>
              <w:widowControl/>
              <w:wordWrap w:val="0"/>
              <w:spacing w:line="200" w:lineRule="atLeast"/>
              <w:jc w:val="center"/>
              <w:rPr>
                <w:rFonts w:ascii="宋体" w:hAnsi="宋体" w:cs="宋体"/>
                <w:color w:val="auto"/>
                <w:kern w:val="0"/>
                <w:sz w:val="28"/>
                <w:szCs w:val="28"/>
                <w:highlight w:val="none"/>
              </w:rPr>
            </w:pPr>
          </w:p>
        </w:tc>
      </w:tr>
      <w:tr w14:paraId="4307004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BD7271">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83140E">
            <w:pPr>
              <w:widowControl/>
              <w:wordWrap w:val="0"/>
              <w:spacing w:line="200" w:lineRule="atLeast"/>
              <w:jc w:val="center"/>
              <w:rPr>
                <w:rFonts w:ascii="宋体" w:hAnsi="宋体" w:cs="宋体"/>
                <w:color w:val="auto"/>
                <w:kern w:val="0"/>
                <w:sz w:val="28"/>
                <w:szCs w:val="28"/>
                <w:highlight w:val="none"/>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2FFFF5">
            <w:pPr>
              <w:widowControl/>
              <w:wordWrap w:val="0"/>
              <w:spacing w:line="200" w:lineRule="atLeast"/>
              <w:jc w:val="center"/>
              <w:rPr>
                <w:rFonts w:ascii="宋体" w:hAnsi="宋体" w:cs="宋体"/>
                <w:color w:val="auto"/>
                <w:kern w:val="0"/>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9A5361">
            <w:pPr>
              <w:widowControl/>
              <w:wordWrap w:val="0"/>
              <w:spacing w:line="200" w:lineRule="atLeast"/>
              <w:jc w:val="center"/>
              <w:rPr>
                <w:rFonts w:ascii="宋体" w:hAnsi="宋体" w:cs="宋体"/>
                <w:color w:val="auto"/>
                <w:kern w:val="0"/>
                <w:sz w:val="28"/>
                <w:szCs w:val="28"/>
                <w:highlight w:val="none"/>
              </w:rPr>
            </w:pPr>
          </w:p>
        </w:tc>
      </w:tr>
      <w:tr w14:paraId="190C029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4758BB">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8746D7">
            <w:pPr>
              <w:widowControl/>
              <w:wordWrap w:val="0"/>
              <w:spacing w:line="200" w:lineRule="atLeast"/>
              <w:jc w:val="center"/>
              <w:rPr>
                <w:rFonts w:ascii="宋体" w:hAnsi="宋体" w:cs="宋体"/>
                <w:color w:val="auto"/>
                <w:kern w:val="0"/>
                <w:sz w:val="28"/>
                <w:szCs w:val="28"/>
                <w:highlight w:val="none"/>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535245">
            <w:pPr>
              <w:widowControl/>
              <w:wordWrap w:val="0"/>
              <w:spacing w:line="200" w:lineRule="atLeast"/>
              <w:jc w:val="center"/>
              <w:rPr>
                <w:rFonts w:ascii="宋体" w:hAnsi="宋体" w:cs="宋体"/>
                <w:color w:val="auto"/>
                <w:kern w:val="0"/>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FB62C9">
            <w:pPr>
              <w:widowControl/>
              <w:wordWrap w:val="0"/>
              <w:spacing w:line="200" w:lineRule="atLeast"/>
              <w:jc w:val="center"/>
              <w:rPr>
                <w:rFonts w:ascii="宋体" w:hAnsi="宋体" w:cs="宋体"/>
                <w:color w:val="auto"/>
                <w:kern w:val="0"/>
                <w:sz w:val="28"/>
                <w:szCs w:val="28"/>
                <w:highlight w:val="none"/>
              </w:rPr>
            </w:pPr>
          </w:p>
        </w:tc>
      </w:tr>
    </w:tbl>
    <w:p w14:paraId="6A6E316F">
      <w:pPr>
        <w:spacing w:line="360" w:lineRule="auto"/>
        <w:jc w:val="left"/>
        <w:rPr>
          <w:rFonts w:ascii="宋体" w:hAnsi="宋体"/>
          <w:color w:val="auto"/>
          <w:sz w:val="24"/>
          <w:highlight w:val="none"/>
        </w:rPr>
      </w:pPr>
      <w:r>
        <w:rPr>
          <w:rFonts w:hint="eastAsia" w:ascii="宋体" w:hAnsi="宋体"/>
          <w:color w:val="auto"/>
          <w:sz w:val="24"/>
          <w:highlight w:val="none"/>
        </w:rPr>
        <w:t>注：</w:t>
      </w:r>
    </w:p>
    <w:p w14:paraId="305B84F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A004B9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FCA65A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1822D5E8">
      <w:pPr>
        <w:spacing w:line="360" w:lineRule="auto"/>
        <w:jc w:val="left"/>
        <w:rPr>
          <w:rFonts w:ascii="宋体" w:hAnsi="宋体"/>
          <w:color w:val="auto"/>
          <w:sz w:val="28"/>
          <w:szCs w:val="28"/>
          <w:highlight w:val="none"/>
        </w:rPr>
      </w:pPr>
    </w:p>
    <w:p w14:paraId="6D0051BE">
      <w:pPr>
        <w:spacing w:line="360" w:lineRule="auto"/>
        <w:jc w:val="left"/>
        <w:rPr>
          <w:rFonts w:ascii="宋体" w:hAnsi="宋体"/>
          <w:color w:val="auto"/>
          <w:sz w:val="28"/>
          <w:szCs w:val="28"/>
          <w:highlight w:val="none"/>
        </w:rPr>
      </w:pPr>
    </w:p>
    <w:p w14:paraId="29EEBF05">
      <w:pPr>
        <w:spacing w:line="360" w:lineRule="auto"/>
        <w:jc w:val="left"/>
        <w:rPr>
          <w:color w:val="auto"/>
          <w:sz w:val="28"/>
          <w:szCs w:val="28"/>
          <w:highlight w:val="none"/>
        </w:rPr>
      </w:pPr>
    </w:p>
    <w:p w14:paraId="5524F01B">
      <w:pPr>
        <w:spacing w:line="360" w:lineRule="auto"/>
        <w:jc w:val="left"/>
        <w:rPr>
          <w:color w:val="auto"/>
          <w:sz w:val="28"/>
          <w:szCs w:val="28"/>
          <w:highlight w:val="none"/>
        </w:rPr>
      </w:pPr>
    </w:p>
    <w:p w14:paraId="54E44D35">
      <w:pPr>
        <w:spacing w:line="360" w:lineRule="auto"/>
        <w:jc w:val="left"/>
        <w:rPr>
          <w:color w:val="auto"/>
          <w:sz w:val="28"/>
          <w:szCs w:val="28"/>
          <w:highlight w:val="none"/>
        </w:rPr>
      </w:pPr>
    </w:p>
    <w:p w14:paraId="78A956B9">
      <w:pPr>
        <w:spacing w:line="360" w:lineRule="auto"/>
        <w:jc w:val="left"/>
        <w:rPr>
          <w:rFonts w:ascii="宋体" w:hAnsi="宋体"/>
          <w:color w:val="auto"/>
          <w:sz w:val="28"/>
          <w:szCs w:val="28"/>
          <w:highlight w:val="none"/>
        </w:rPr>
      </w:pPr>
    </w:p>
    <w:p w14:paraId="171B6D3E">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638AA357">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5CEDE691">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7C2E0014">
      <w:pPr>
        <w:spacing w:line="360" w:lineRule="auto"/>
        <w:rPr>
          <w:rFonts w:hint="eastAsia" w:asciiTheme="minorEastAsia" w:hAnsiTheme="minorEastAsia"/>
          <w:color w:val="auto"/>
          <w:szCs w:val="21"/>
          <w:highlight w:val="none"/>
        </w:rPr>
      </w:pPr>
    </w:p>
    <w:p w14:paraId="37800B89">
      <w:pPr>
        <w:pStyle w:val="3"/>
        <w:jc w:val="center"/>
        <w:rPr>
          <w:b w:val="0"/>
          <w:bCs w:val="0"/>
          <w:color w:val="auto"/>
          <w:sz w:val="36"/>
          <w:highlight w:val="none"/>
        </w:rPr>
      </w:pPr>
      <w:bookmarkStart w:id="101" w:name="_Toc2344161"/>
      <w:bookmarkStart w:id="102" w:name="_Toc19031971"/>
      <w:r>
        <w:rPr>
          <w:rFonts w:hint="eastAsia"/>
          <w:color w:val="auto"/>
          <w:highlight w:val="none"/>
        </w:rPr>
        <w:t>第</w:t>
      </w:r>
      <w:r>
        <w:rPr>
          <w:rFonts w:hint="eastAsia"/>
          <w:color w:val="auto"/>
          <w:highlight w:val="none"/>
          <w:lang w:val="en-US" w:eastAsia="zh-CN"/>
        </w:rPr>
        <w:t>四</w:t>
      </w:r>
      <w:r>
        <w:rPr>
          <w:rFonts w:hint="eastAsia"/>
          <w:color w:val="auto"/>
          <w:highlight w:val="none"/>
        </w:rPr>
        <w:t>章评审方法</w:t>
      </w:r>
      <w:bookmarkEnd w:id="101"/>
      <w:bookmarkEnd w:id="102"/>
    </w:p>
    <w:p w14:paraId="67E36903">
      <w:pPr>
        <w:pStyle w:val="10"/>
        <w:tabs>
          <w:tab w:val="left" w:pos="2472"/>
        </w:tabs>
        <w:spacing w:line="460" w:lineRule="exact"/>
        <w:jc w:val="center"/>
        <w:rPr>
          <w:color w:val="auto"/>
          <w:sz w:val="28"/>
          <w:highlight w:val="none"/>
        </w:rPr>
      </w:pPr>
    </w:p>
    <w:p w14:paraId="5BC3C182">
      <w:pPr>
        <w:pStyle w:val="10"/>
        <w:tabs>
          <w:tab w:val="left" w:pos="1935"/>
        </w:tabs>
        <w:spacing w:line="400" w:lineRule="exact"/>
        <w:ind w:firstLine="422" w:firstLineChars="200"/>
        <w:rPr>
          <w:rFonts w:hint="eastAsia"/>
          <w:b/>
          <w:color w:val="auto"/>
          <w:sz w:val="21"/>
          <w:highlight w:val="none"/>
        </w:rPr>
      </w:pPr>
      <w:r>
        <w:rPr>
          <w:rFonts w:hint="eastAsia"/>
          <w:b/>
          <w:color w:val="auto"/>
          <w:sz w:val="21"/>
          <w:highlight w:val="none"/>
        </w:rPr>
        <w:t>谈判小组以</w:t>
      </w:r>
      <w:r>
        <w:rPr>
          <w:rFonts w:hint="eastAsia"/>
          <w:b/>
          <w:color w:val="auto"/>
          <w:sz w:val="21"/>
          <w:highlight w:val="none"/>
          <w:lang w:eastAsia="zh-CN"/>
        </w:rPr>
        <w:t>院内招标</w:t>
      </w:r>
      <w:r>
        <w:rPr>
          <w:rFonts w:hint="eastAsia"/>
          <w:b/>
          <w:color w:val="auto"/>
          <w:sz w:val="21"/>
          <w:highlight w:val="none"/>
        </w:rPr>
        <w:t>为依据，对响应文件进行评审，在全部满足</w:t>
      </w:r>
      <w:r>
        <w:rPr>
          <w:rFonts w:hint="eastAsia"/>
          <w:b/>
          <w:color w:val="auto"/>
          <w:sz w:val="21"/>
          <w:highlight w:val="none"/>
          <w:lang w:eastAsia="zh-CN"/>
        </w:rPr>
        <w:t>院内招标</w:t>
      </w:r>
      <w:r>
        <w:rPr>
          <w:rFonts w:hint="eastAsia"/>
          <w:b/>
          <w:color w:val="auto"/>
          <w:sz w:val="21"/>
          <w:highlight w:val="none"/>
        </w:rPr>
        <w:t>实质性要求和条件的前提下，按最后报价由低到高排列成交候选供应商顺序（报价相同时，依次按节能环保产品优先、技术指标高优先、质量保证期长优先、交货期短优先、故障响应时间短优先的顺序排列；报价相同且前述指标均相同时，由谈判小组各成员对报价相同的供应商当场投票表决，得票多者优先；按前述程序仍无法确定供应商排名顺序的，由谈判小组抽签决定），并依照次序确定成交供应商。</w:t>
      </w:r>
    </w:p>
    <w:p w14:paraId="185D14E2">
      <w:pPr>
        <w:rPr>
          <w:rFonts w:hint="eastAsia"/>
          <w:b/>
          <w:color w:val="auto"/>
          <w:sz w:val="21"/>
          <w:highlight w:val="none"/>
        </w:rPr>
      </w:pPr>
    </w:p>
    <w:p w14:paraId="22BD644D">
      <w:pPr>
        <w:rPr>
          <w:rFonts w:hint="eastAsia"/>
          <w:b/>
          <w:color w:val="auto"/>
          <w:sz w:val="21"/>
          <w:highlight w:val="none"/>
        </w:rPr>
      </w:pPr>
    </w:p>
    <w:p w14:paraId="6344B215">
      <w:pPr>
        <w:rPr>
          <w:rFonts w:hint="eastAsia"/>
          <w:b/>
          <w:color w:val="auto"/>
          <w:sz w:val="21"/>
          <w:highlight w:val="none"/>
        </w:rPr>
      </w:pPr>
    </w:p>
    <w:p w14:paraId="0CF3FD76">
      <w:pPr>
        <w:rPr>
          <w:rFonts w:hint="eastAsia"/>
          <w:b/>
          <w:color w:val="auto"/>
          <w:sz w:val="21"/>
          <w:highlight w:val="none"/>
        </w:rPr>
      </w:pPr>
    </w:p>
    <w:p w14:paraId="590F92EB">
      <w:pPr>
        <w:keepNext/>
        <w:keepLines/>
        <w:widowControl w:val="0"/>
        <w:numPr>
          <w:ilvl w:val="0"/>
          <w:numId w:val="0"/>
        </w:numPr>
        <w:spacing w:before="260" w:after="260" w:line="416" w:lineRule="auto"/>
        <w:jc w:val="center"/>
        <w:outlineLvl w:val="1"/>
        <w:rPr>
          <w:rFonts w:hint="eastAsia" w:ascii="Cambria" w:hAnsi="Cambria" w:eastAsia="宋体" w:cs="Times New Roman"/>
          <w:b/>
          <w:bCs/>
          <w:color w:val="000000"/>
          <w:kern w:val="2"/>
          <w:sz w:val="32"/>
          <w:szCs w:val="32"/>
          <w:highlight w:val="none"/>
          <w:lang w:val="en-US" w:eastAsia="zh-CN" w:bidi="ar-SA"/>
        </w:rPr>
      </w:pPr>
      <w:r>
        <w:rPr>
          <w:rFonts w:hint="eastAsia" w:ascii="Cambria" w:hAnsi="Cambria" w:eastAsia="宋体" w:cs="Times New Roman"/>
          <w:b/>
          <w:bCs/>
          <w:color w:val="000000"/>
          <w:kern w:val="2"/>
          <w:sz w:val="32"/>
          <w:szCs w:val="32"/>
          <w:highlight w:val="none"/>
          <w:lang w:val="en-US" w:eastAsia="zh-CN" w:bidi="ar-SA"/>
        </w:rPr>
        <w:t>XXXXXX采购合同</w:t>
      </w:r>
    </w:p>
    <w:p w14:paraId="575D3073">
      <w:pPr>
        <w:snapToGrid w:val="0"/>
        <w:spacing w:line="400" w:lineRule="exact"/>
        <w:ind w:left="6510" w:leftChars="-200" w:hanging="6930" w:hangingChars="3300"/>
        <w:rPr>
          <w:rFonts w:hint="eastAsia" w:ascii="宋体" w:hAnsi="宋体" w:eastAsia="宋体" w:cs="Times New Roman"/>
          <w:szCs w:val="21"/>
          <w:highlight w:val="none"/>
          <w:u w:val="single"/>
        </w:rPr>
      </w:pPr>
      <w:r>
        <w:rPr>
          <w:rFonts w:hint="eastAsia" w:ascii="宋体" w:hAnsi="宋体" w:eastAsia="宋体" w:cs="Times New Roman"/>
          <w:szCs w:val="21"/>
          <w:highlight w:val="none"/>
        </w:rPr>
        <w:t>采购单位（甲方）</w:t>
      </w:r>
      <w:r>
        <w:rPr>
          <w:rFonts w:hint="eastAsia" w:ascii="宋体" w:hAnsi="宋体" w:eastAsia="宋体" w:cs="Times New Roman"/>
          <w:szCs w:val="21"/>
          <w:highlight w:val="none"/>
          <w:u w:val="single"/>
        </w:rPr>
        <w:t>广西壮族自治区江滨医院</w:t>
      </w: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w:t>
      </w:r>
      <w:r>
        <w:rPr>
          <w:rFonts w:hint="eastAsia" w:ascii="宋体" w:hAnsi="宋体" w:eastAsia="宋体" w:cs="Times New Roman"/>
          <w:bCs/>
          <w:szCs w:val="21"/>
          <w:highlight w:val="none"/>
        </w:rPr>
        <w:t>合同编号：</w:t>
      </w:r>
      <w:r>
        <w:rPr>
          <w:rFonts w:hint="eastAsia" w:ascii="宋体" w:hAnsi="宋体" w:eastAsia="宋体" w:cs="Times New Roman"/>
          <w:bCs/>
          <w:szCs w:val="21"/>
          <w:highlight w:val="none"/>
          <w:u w:val="single"/>
        </w:rPr>
        <w:t xml:space="preserve">           </w:t>
      </w:r>
    </w:p>
    <w:p w14:paraId="3B183678">
      <w:pPr>
        <w:snapToGrid w:val="0"/>
        <w:spacing w:line="400" w:lineRule="exact"/>
        <w:ind w:left="6510" w:leftChars="-200" w:hanging="6930" w:hangingChars="3300"/>
        <w:rPr>
          <w:rFonts w:hint="eastAsia" w:ascii="宋体" w:hAnsi="宋体" w:eastAsia="宋体" w:cs="Times New Roman"/>
          <w:spacing w:val="-20"/>
          <w:szCs w:val="21"/>
          <w:highlight w:val="none"/>
        </w:rPr>
      </w:pPr>
      <w:r>
        <w:rPr>
          <w:rFonts w:hint="eastAsia" w:ascii="宋体" w:hAnsi="宋体" w:eastAsia="宋体" w:cs="Times New Roman"/>
          <w:szCs w:val="21"/>
          <w:highlight w:val="none"/>
        </w:rPr>
        <w:t>供 应 商（乙方）</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w:t>
      </w:r>
    </w:p>
    <w:p w14:paraId="4256CBA5">
      <w:pPr>
        <w:snapToGrid w:val="0"/>
        <w:spacing w:line="400" w:lineRule="exact"/>
        <w:ind w:left="6510" w:leftChars="-200" w:right="480" w:hanging="6930" w:hangingChars="3300"/>
        <w:rPr>
          <w:rFonts w:hint="eastAsia" w:ascii="宋体" w:hAnsi="宋体" w:eastAsia="宋体" w:cs="Times New Roman"/>
          <w:bCs/>
          <w:szCs w:val="21"/>
          <w:highlight w:val="none"/>
          <w:u w:val="single"/>
        </w:rPr>
      </w:pPr>
      <w:r>
        <w:rPr>
          <w:rFonts w:hint="eastAsia" w:ascii="宋体" w:hAnsi="宋体" w:eastAsia="宋体" w:cs="Times New Roman"/>
          <w:szCs w:val="21"/>
          <w:highlight w:val="none"/>
        </w:rPr>
        <w:t>签订地点</w:t>
      </w:r>
      <w:r>
        <w:rPr>
          <w:rFonts w:hint="eastAsia" w:ascii="宋体" w:hAnsi="宋体" w:eastAsia="宋体" w:cs="Times New Roman"/>
          <w:szCs w:val="21"/>
          <w:highlight w:val="none"/>
          <w:u w:val="single"/>
        </w:rPr>
        <w:t xml:space="preserve">   广西南宁                           </w:t>
      </w:r>
      <w:r>
        <w:rPr>
          <w:rFonts w:hint="eastAsia" w:ascii="宋体" w:hAnsi="宋体" w:eastAsia="宋体" w:cs="Times New Roman"/>
          <w:szCs w:val="21"/>
          <w:highlight w:val="none"/>
        </w:rPr>
        <w:t xml:space="preserve">                        </w:t>
      </w:r>
    </w:p>
    <w:p w14:paraId="63BC1D86">
      <w:pPr>
        <w:snapToGrid w:val="0"/>
        <w:spacing w:line="400" w:lineRule="exact"/>
        <w:ind w:left="6510" w:leftChars="-200" w:hanging="6930" w:hangingChars="3300"/>
        <w:rPr>
          <w:rFonts w:hint="eastAsia" w:ascii="宋体" w:hAnsi="宋体" w:eastAsia="宋体" w:cs="Times New Roman"/>
          <w:szCs w:val="21"/>
          <w:highlight w:val="none"/>
        </w:rPr>
      </w:pPr>
      <w:r>
        <w:rPr>
          <w:rFonts w:hint="eastAsia" w:ascii="宋体" w:hAnsi="宋体" w:eastAsia="宋体" w:cs="Times New Roman"/>
          <w:szCs w:val="21"/>
          <w:highlight w:val="none"/>
        </w:rPr>
        <w:t>根据《中华人民共和国</w:t>
      </w:r>
      <w:r>
        <w:rPr>
          <w:rFonts w:hint="eastAsia" w:ascii="宋体" w:hAnsi="宋体" w:eastAsia="宋体" w:cs="Times New Roman"/>
          <w:szCs w:val="21"/>
          <w:highlight w:val="none"/>
          <w:lang w:val="en-US" w:eastAsia="zh-CN"/>
        </w:rPr>
        <w:t>民法典</w:t>
      </w:r>
      <w:r>
        <w:rPr>
          <w:rFonts w:hint="eastAsia" w:ascii="宋体" w:hAnsi="宋体" w:eastAsia="宋体" w:cs="Times New Roman"/>
          <w:szCs w:val="21"/>
          <w:highlight w:val="none"/>
        </w:rPr>
        <w:t>》等法律、法规规定，甲乙双方签订本合同。</w:t>
      </w:r>
    </w:p>
    <w:p w14:paraId="35BB491F">
      <w:pPr>
        <w:snapToGrid w:val="0"/>
        <w:spacing w:line="400" w:lineRule="exact"/>
        <w:ind w:left="6537" w:leftChars="-200" w:hanging="6957" w:hangingChars="3300"/>
        <w:rPr>
          <w:rFonts w:hint="eastAsia" w:ascii="宋体" w:hAnsi="宋体" w:eastAsia="宋体" w:cs="Times New Roman"/>
          <w:b/>
          <w:szCs w:val="21"/>
          <w:highlight w:val="none"/>
        </w:rPr>
      </w:pPr>
      <w:r>
        <w:rPr>
          <w:rFonts w:hint="eastAsia" w:ascii="宋体" w:hAnsi="宋体" w:eastAsia="宋体" w:cs="Times New Roman"/>
          <w:b/>
          <w:szCs w:val="21"/>
          <w:highlight w:val="none"/>
        </w:rPr>
        <w:t>第一条　合同标的</w:t>
      </w:r>
    </w:p>
    <w:p w14:paraId="16E72D5E">
      <w:pPr>
        <w:snapToGrid w:val="0"/>
        <w:spacing w:line="400" w:lineRule="exact"/>
        <w:ind w:left="6510" w:leftChars="-200" w:hanging="6930" w:hangingChars="3300"/>
        <w:rPr>
          <w:rFonts w:hint="eastAsia" w:ascii="宋体" w:hAnsi="宋体" w:eastAsia="宋体" w:cs="Times New Roman"/>
          <w:szCs w:val="21"/>
          <w:highlight w:val="none"/>
        </w:rPr>
      </w:pPr>
      <w:r>
        <w:rPr>
          <w:rFonts w:hint="eastAsia" w:ascii="宋体" w:hAnsi="宋体" w:eastAsia="宋体" w:cs="Times New Roman"/>
          <w:szCs w:val="21"/>
          <w:highlight w:val="none"/>
        </w:rPr>
        <w:t>1、供货一览表</w:t>
      </w:r>
    </w:p>
    <w:tbl>
      <w:tblPr>
        <w:tblStyle w:val="1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20"/>
        <w:gridCol w:w="1091"/>
        <w:gridCol w:w="969"/>
        <w:gridCol w:w="1458"/>
        <w:gridCol w:w="654"/>
        <w:gridCol w:w="723"/>
        <w:gridCol w:w="1170"/>
        <w:gridCol w:w="1119"/>
      </w:tblGrid>
      <w:tr w14:paraId="4A8D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8" w:type="dxa"/>
            <w:noWrap w:val="0"/>
            <w:vAlign w:val="center"/>
          </w:tcPr>
          <w:p w14:paraId="3BE9B8BF">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序号</w:t>
            </w:r>
          </w:p>
        </w:tc>
        <w:tc>
          <w:tcPr>
            <w:tcW w:w="1720" w:type="dxa"/>
            <w:noWrap w:val="0"/>
            <w:vAlign w:val="center"/>
          </w:tcPr>
          <w:p w14:paraId="155169B6">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产品</w:t>
            </w:r>
          </w:p>
          <w:p w14:paraId="250D9682">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名称</w:t>
            </w:r>
          </w:p>
        </w:tc>
        <w:tc>
          <w:tcPr>
            <w:tcW w:w="1091" w:type="dxa"/>
            <w:noWrap w:val="0"/>
            <w:vAlign w:val="center"/>
          </w:tcPr>
          <w:p w14:paraId="16289878">
            <w:pPr>
              <w:snapToGrid w:val="0"/>
              <w:spacing w:line="400" w:lineRule="exact"/>
              <w:jc w:val="center"/>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产地</w:t>
            </w:r>
          </w:p>
          <w:p w14:paraId="147023D8">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品牌</w:t>
            </w:r>
          </w:p>
        </w:tc>
        <w:tc>
          <w:tcPr>
            <w:tcW w:w="969" w:type="dxa"/>
            <w:noWrap w:val="0"/>
            <w:vAlign w:val="center"/>
          </w:tcPr>
          <w:p w14:paraId="08C4A46A">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规格</w:t>
            </w:r>
          </w:p>
          <w:p w14:paraId="0F32D0AE">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型号</w:t>
            </w:r>
          </w:p>
        </w:tc>
        <w:tc>
          <w:tcPr>
            <w:tcW w:w="1458" w:type="dxa"/>
            <w:noWrap w:val="0"/>
            <w:vAlign w:val="center"/>
          </w:tcPr>
          <w:p w14:paraId="1737ADF7">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生产</w:t>
            </w:r>
          </w:p>
          <w:p w14:paraId="2C896FE7">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厂家</w:t>
            </w:r>
          </w:p>
        </w:tc>
        <w:tc>
          <w:tcPr>
            <w:tcW w:w="654" w:type="dxa"/>
            <w:noWrap w:val="0"/>
            <w:vAlign w:val="center"/>
          </w:tcPr>
          <w:p w14:paraId="00B9B8CD">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数量</w:t>
            </w:r>
          </w:p>
        </w:tc>
        <w:tc>
          <w:tcPr>
            <w:tcW w:w="723" w:type="dxa"/>
            <w:noWrap w:val="0"/>
            <w:vAlign w:val="center"/>
          </w:tcPr>
          <w:p w14:paraId="5AA031DF">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单位</w:t>
            </w:r>
          </w:p>
        </w:tc>
        <w:tc>
          <w:tcPr>
            <w:tcW w:w="1170" w:type="dxa"/>
            <w:noWrap w:val="0"/>
            <w:vAlign w:val="center"/>
          </w:tcPr>
          <w:p w14:paraId="550E149B">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单  价</w:t>
            </w:r>
          </w:p>
          <w:p w14:paraId="71804613">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（元）</w:t>
            </w:r>
          </w:p>
        </w:tc>
        <w:tc>
          <w:tcPr>
            <w:tcW w:w="1119" w:type="dxa"/>
            <w:noWrap w:val="0"/>
            <w:vAlign w:val="center"/>
          </w:tcPr>
          <w:p w14:paraId="169142FB">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金  额</w:t>
            </w:r>
          </w:p>
          <w:p w14:paraId="749043CF">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（元）</w:t>
            </w:r>
          </w:p>
        </w:tc>
      </w:tr>
      <w:tr w14:paraId="5897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88" w:type="dxa"/>
            <w:noWrap w:val="0"/>
            <w:vAlign w:val="center"/>
          </w:tcPr>
          <w:p w14:paraId="1FEF6C63">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1720" w:type="dxa"/>
            <w:noWrap w:val="0"/>
            <w:vAlign w:val="center"/>
          </w:tcPr>
          <w:p w14:paraId="748988B8">
            <w:pPr>
              <w:snapToGrid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 xml:space="preserve"> </w:t>
            </w:r>
          </w:p>
        </w:tc>
        <w:tc>
          <w:tcPr>
            <w:tcW w:w="1091" w:type="dxa"/>
            <w:noWrap w:val="0"/>
            <w:vAlign w:val="center"/>
          </w:tcPr>
          <w:p w14:paraId="52403B99">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 xml:space="preserve"> </w:t>
            </w:r>
          </w:p>
        </w:tc>
        <w:tc>
          <w:tcPr>
            <w:tcW w:w="969" w:type="dxa"/>
            <w:noWrap w:val="0"/>
            <w:vAlign w:val="center"/>
          </w:tcPr>
          <w:p w14:paraId="3131B531">
            <w:pPr>
              <w:snapToGrid w:val="0"/>
              <w:spacing w:line="400" w:lineRule="exact"/>
              <w:jc w:val="center"/>
              <w:rPr>
                <w:rFonts w:hint="eastAsia" w:ascii="宋体" w:hAnsi="宋体" w:eastAsia="宋体" w:cs="Times New Roman"/>
                <w:szCs w:val="21"/>
                <w:highlight w:val="none"/>
              </w:rPr>
            </w:pPr>
          </w:p>
        </w:tc>
        <w:tc>
          <w:tcPr>
            <w:tcW w:w="1458" w:type="dxa"/>
            <w:noWrap w:val="0"/>
            <w:vAlign w:val="top"/>
          </w:tcPr>
          <w:p w14:paraId="5CA053AC">
            <w:pPr>
              <w:snapToGrid w:val="0"/>
              <w:spacing w:line="400" w:lineRule="exact"/>
              <w:jc w:val="center"/>
              <w:rPr>
                <w:rFonts w:hint="eastAsia" w:ascii="宋体" w:hAnsi="宋体" w:eastAsia="宋体" w:cs="Times New Roman"/>
                <w:szCs w:val="21"/>
                <w:highlight w:val="none"/>
              </w:rPr>
            </w:pPr>
          </w:p>
        </w:tc>
        <w:tc>
          <w:tcPr>
            <w:tcW w:w="654" w:type="dxa"/>
            <w:noWrap w:val="0"/>
            <w:vAlign w:val="top"/>
          </w:tcPr>
          <w:p w14:paraId="2BBBCA22">
            <w:pPr>
              <w:snapToGrid w:val="0"/>
              <w:spacing w:line="400" w:lineRule="exact"/>
              <w:jc w:val="center"/>
              <w:rPr>
                <w:rFonts w:hint="eastAsia" w:ascii="宋体" w:hAnsi="宋体" w:eastAsia="宋体" w:cs="Times New Roman"/>
                <w:szCs w:val="21"/>
                <w:highlight w:val="none"/>
                <w:lang w:val="en-US" w:eastAsia="zh-CN"/>
              </w:rPr>
            </w:pPr>
          </w:p>
        </w:tc>
        <w:tc>
          <w:tcPr>
            <w:tcW w:w="723" w:type="dxa"/>
            <w:noWrap w:val="0"/>
            <w:vAlign w:val="top"/>
          </w:tcPr>
          <w:p w14:paraId="39AF9488">
            <w:pPr>
              <w:snapToGrid w:val="0"/>
              <w:spacing w:line="400" w:lineRule="exact"/>
              <w:jc w:val="center"/>
              <w:rPr>
                <w:rFonts w:hint="eastAsia" w:ascii="宋体" w:hAnsi="宋体" w:eastAsia="宋体" w:cs="Times New Roman"/>
                <w:szCs w:val="21"/>
                <w:highlight w:val="none"/>
                <w:lang w:val="en-US" w:eastAsia="zh-CN"/>
              </w:rPr>
            </w:pPr>
          </w:p>
        </w:tc>
        <w:tc>
          <w:tcPr>
            <w:tcW w:w="1170" w:type="dxa"/>
            <w:noWrap w:val="0"/>
            <w:vAlign w:val="center"/>
          </w:tcPr>
          <w:p w14:paraId="60A174BA">
            <w:pPr>
              <w:snapToGrid w:val="0"/>
              <w:spacing w:line="400" w:lineRule="exact"/>
              <w:jc w:val="center"/>
              <w:rPr>
                <w:rFonts w:hint="default" w:ascii="宋体" w:hAnsi="宋体" w:eastAsia="宋体" w:cs="Times New Roman"/>
                <w:szCs w:val="21"/>
                <w:highlight w:val="none"/>
                <w:lang w:val="en-US" w:eastAsia="zh-CN"/>
              </w:rPr>
            </w:pPr>
          </w:p>
        </w:tc>
        <w:tc>
          <w:tcPr>
            <w:tcW w:w="1119" w:type="dxa"/>
            <w:noWrap w:val="0"/>
            <w:vAlign w:val="center"/>
          </w:tcPr>
          <w:p w14:paraId="398A0C0B">
            <w:pPr>
              <w:snapToGrid w:val="0"/>
              <w:spacing w:line="400" w:lineRule="exact"/>
              <w:jc w:val="center"/>
              <w:rPr>
                <w:rFonts w:hint="default" w:ascii="宋体" w:hAnsi="宋体" w:eastAsia="宋体" w:cs="Times New Roman"/>
                <w:szCs w:val="21"/>
                <w:highlight w:val="none"/>
                <w:lang w:val="en-US" w:eastAsia="zh-CN"/>
              </w:rPr>
            </w:pPr>
          </w:p>
        </w:tc>
      </w:tr>
      <w:tr w14:paraId="7F6F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392" w:type="dxa"/>
            <w:gridSpan w:val="9"/>
            <w:noWrap w:val="0"/>
            <w:vAlign w:val="center"/>
          </w:tcPr>
          <w:p w14:paraId="7112CA37">
            <w:pPr>
              <w:snapToGrid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人民币合计金额（大写）：</w:t>
            </w:r>
            <w:r>
              <w:rPr>
                <w:rFonts w:hint="eastAsia" w:ascii="宋体" w:hAnsi="宋体" w:eastAsia="宋体" w:cs="Times New Roman"/>
                <w:szCs w:val="21"/>
                <w:highlight w:val="none"/>
                <w:lang w:val="en-US" w:eastAsia="zh-CN"/>
              </w:rPr>
              <w:t xml:space="preserve">              元</w:t>
            </w:r>
            <w:r>
              <w:rPr>
                <w:rFonts w:hint="eastAsia" w:ascii="宋体" w:hAnsi="宋体" w:eastAsia="宋体" w:cs="Times New Roman"/>
                <w:szCs w:val="21"/>
                <w:highlight w:val="none"/>
              </w:rPr>
              <w:t>整</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小写）：</w:t>
            </w:r>
            <w:r>
              <w:rPr>
                <w:rFonts w:ascii="Arial" w:hAnsi="Arial" w:eastAsia="宋体" w:cs="Arial"/>
                <w:szCs w:val="21"/>
                <w:highlight w:val="none"/>
              </w:rPr>
              <w:t>¥</w:t>
            </w:r>
            <w:r>
              <w:rPr>
                <w:rFonts w:hint="eastAsia" w:ascii="宋体" w:hAnsi="宋体" w:eastAsia="宋体" w:cs="Times New Roman"/>
                <w:szCs w:val="21"/>
                <w:highlight w:val="none"/>
              </w:rPr>
              <w:t xml:space="preserve">             </w:t>
            </w:r>
          </w:p>
        </w:tc>
      </w:tr>
    </w:tbl>
    <w:p w14:paraId="0F935608">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2、合同合计金额包括货物价款、税款、备件、专用工具、安装、调试、检验、技术培训</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包装、运输</w:t>
      </w:r>
      <w:r>
        <w:rPr>
          <w:rFonts w:hint="eastAsia" w:ascii="宋体" w:hAnsi="宋体" w:eastAsia="宋体" w:cs="Times New Roman"/>
          <w:szCs w:val="21"/>
          <w:highlight w:val="none"/>
          <w:lang w:val="en-US" w:eastAsia="zh-CN"/>
        </w:rPr>
        <w:t>以及接口费</w:t>
      </w:r>
      <w:r>
        <w:rPr>
          <w:rFonts w:hint="eastAsia" w:ascii="宋体" w:hAnsi="宋体" w:eastAsia="宋体" w:cs="Times New Roman"/>
          <w:szCs w:val="21"/>
          <w:highlight w:val="none"/>
        </w:rPr>
        <w:t>等全部费用。</w:t>
      </w:r>
    </w:p>
    <w:p w14:paraId="6CF34452">
      <w:pPr>
        <w:tabs>
          <w:tab w:val="left" w:pos="8820"/>
        </w:tabs>
        <w:snapToGrid w:val="0"/>
        <w:spacing w:line="400" w:lineRule="exact"/>
        <w:ind w:left="-619" w:leftChars="-295" w:right="-512" w:rightChars="-244" w:firstLine="422" w:firstLineChars="200"/>
        <w:rPr>
          <w:rFonts w:hint="eastAsia" w:ascii="宋体" w:hAnsi="宋体" w:eastAsia="宋体" w:cs="Times New Roman"/>
          <w:szCs w:val="21"/>
          <w:highlight w:val="none"/>
        </w:rPr>
      </w:pPr>
      <w:r>
        <w:rPr>
          <w:rFonts w:hint="eastAsia" w:ascii="宋体" w:hAnsi="宋体" w:eastAsia="宋体" w:cs="Times New Roman"/>
          <w:b/>
          <w:szCs w:val="21"/>
          <w:highlight w:val="none"/>
        </w:rPr>
        <w:t>第二条　质量保证</w:t>
      </w:r>
    </w:p>
    <w:p w14:paraId="027E5F71">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1、乙方所提供的货物型号、技术规格、技术参数等质量必须与竞标（或</w:t>
      </w:r>
      <w:r>
        <w:rPr>
          <w:rFonts w:hint="eastAsia" w:ascii="宋体" w:hAnsi="宋体" w:eastAsia="宋体" w:cs="Times New Roman"/>
          <w:szCs w:val="21"/>
          <w:highlight w:val="none"/>
          <w:lang w:eastAsia="zh-CN"/>
        </w:rPr>
        <w:t>院内招标</w:t>
      </w:r>
      <w:r>
        <w:rPr>
          <w:rFonts w:hint="eastAsia" w:ascii="宋体" w:hAnsi="宋体" w:eastAsia="宋体" w:cs="Times New Roman"/>
          <w:szCs w:val="21"/>
          <w:highlight w:val="none"/>
        </w:rPr>
        <w:t>）文件和承诺相一致。</w:t>
      </w:r>
    </w:p>
    <w:p w14:paraId="4EA9E209">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2、乙方所提供的货物必须是全新、未使用的原装产品，且在正常安装、使用和保养条件下，其使用寿命期内各项指标均达到质量要求。</w:t>
      </w:r>
    </w:p>
    <w:p w14:paraId="2BAC9D06">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3、未经甲方书面同意，乙方不得擅自转让、分包其应履行的合同义务。</w:t>
      </w:r>
    </w:p>
    <w:p w14:paraId="772942F4">
      <w:pPr>
        <w:tabs>
          <w:tab w:val="left" w:pos="8820"/>
        </w:tabs>
        <w:snapToGrid w:val="0"/>
        <w:spacing w:line="400" w:lineRule="exact"/>
        <w:ind w:left="-619" w:leftChars="-295" w:right="-512" w:rightChars="-244" w:firstLine="422" w:firstLineChars="200"/>
        <w:rPr>
          <w:rFonts w:hint="eastAsia" w:ascii="宋体" w:hAnsi="宋体" w:eastAsia="宋体" w:cs="Times New Roman"/>
          <w:szCs w:val="21"/>
          <w:highlight w:val="none"/>
        </w:rPr>
      </w:pPr>
      <w:r>
        <w:rPr>
          <w:rFonts w:hint="eastAsia" w:ascii="宋体" w:hAnsi="宋体" w:eastAsia="宋体" w:cs="Times New Roman"/>
          <w:b/>
          <w:szCs w:val="21"/>
          <w:highlight w:val="none"/>
        </w:rPr>
        <w:t>第三条　权</w:t>
      </w:r>
      <w:r>
        <w:rPr>
          <w:rFonts w:hint="eastAsia" w:ascii="宋体" w:hAnsi="宋体" w:eastAsia="宋体" w:cs="Times New Roman"/>
          <w:b/>
          <w:szCs w:val="21"/>
          <w:highlight w:val="none"/>
          <w:lang w:val="en-US" w:eastAsia="zh-CN"/>
        </w:rPr>
        <w:t>利</w:t>
      </w:r>
      <w:r>
        <w:rPr>
          <w:rFonts w:hint="eastAsia" w:ascii="宋体" w:hAnsi="宋体" w:eastAsia="宋体" w:cs="Times New Roman"/>
          <w:b/>
          <w:szCs w:val="21"/>
          <w:highlight w:val="none"/>
        </w:rPr>
        <w:t>保证</w:t>
      </w:r>
    </w:p>
    <w:p w14:paraId="6C3C6841">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乙方应保证所提供货物在使用时不会侵犯任何第三方的专利权、商标权、工业设计权或其他权利，也未对产品设置任何权利负担，甲方有权不受限制地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p>
    <w:p w14:paraId="5E89C908">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6938D1">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0A0423D5">
      <w:pPr>
        <w:tabs>
          <w:tab w:val="left" w:pos="8820"/>
        </w:tabs>
        <w:snapToGrid w:val="0"/>
        <w:spacing w:line="400" w:lineRule="exact"/>
        <w:ind w:left="-619" w:leftChars="-295" w:right="-512" w:rightChars="-244" w:firstLine="422" w:firstLineChars="200"/>
        <w:rPr>
          <w:rFonts w:hint="eastAsia" w:ascii="宋体" w:hAnsi="宋体" w:eastAsia="宋体" w:cs="Times New Roman"/>
          <w:szCs w:val="21"/>
          <w:highlight w:val="none"/>
        </w:rPr>
      </w:pPr>
      <w:r>
        <w:rPr>
          <w:rFonts w:hint="eastAsia" w:ascii="宋体" w:hAnsi="宋体" w:eastAsia="宋体" w:cs="Times New Roman"/>
          <w:b/>
          <w:szCs w:val="21"/>
          <w:highlight w:val="none"/>
        </w:rPr>
        <w:t>第四条　交付和验收</w:t>
      </w:r>
    </w:p>
    <w:p w14:paraId="4E920DEF">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1、交货时间：</w:t>
      </w:r>
      <w:r>
        <w:rPr>
          <w:rFonts w:hint="eastAsia" w:ascii="宋体" w:hAnsi="宋体" w:eastAsia="宋体" w:cs="Times New Roman"/>
          <w:szCs w:val="21"/>
          <w:highlight w:val="none"/>
          <w:u w:val="single"/>
        </w:rPr>
        <w:t xml:space="preserve">  合同签订后</w:t>
      </w:r>
      <w:r>
        <w:rPr>
          <w:rFonts w:hint="eastAsia" w:ascii="宋体" w:hAnsi="宋体" w:eastAsia="宋体" w:cs="Times New Roman"/>
          <w:szCs w:val="21"/>
          <w:highlight w:val="none"/>
          <w:u w:val="single"/>
          <w:lang w:val="en-US" w:eastAsia="zh-CN"/>
        </w:rPr>
        <w:t>一个月</w:t>
      </w:r>
      <w:r>
        <w:rPr>
          <w:rFonts w:hint="eastAsia" w:ascii="宋体" w:hAnsi="宋体" w:eastAsia="宋体" w:cs="Times New Roman"/>
          <w:szCs w:val="21"/>
          <w:highlight w:val="none"/>
          <w:u w:val="single"/>
        </w:rPr>
        <w:t xml:space="preserve">内  </w:t>
      </w:r>
      <w:r>
        <w:rPr>
          <w:rFonts w:hint="eastAsia" w:ascii="宋体" w:hAnsi="宋体" w:eastAsia="宋体" w:cs="Times New Roman"/>
          <w:szCs w:val="21"/>
          <w:highlight w:val="none"/>
          <w:u w:val="single"/>
          <w:lang w:eastAsia="zh-CN"/>
        </w:rPr>
        <w:t>，</w:t>
      </w:r>
      <w:r>
        <w:rPr>
          <w:rFonts w:hint="eastAsia" w:ascii="宋体" w:hAnsi="宋体" w:eastAsia="宋体" w:cs="Times New Roman"/>
          <w:szCs w:val="21"/>
          <w:highlight w:val="none"/>
        </w:rPr>
        <w:t>安装培训地点：</w:t>
      </w:r>
      <w:r>
        <w:rPr>
          <w:rFonts w:hint="eastAsia" w:ascii="宋体" w:hAnsi="宋体" w:eastAsia="宋体" w:cs="Times New Roman"/>
          <w:szCs w:val="21"/>
          <w:highlight w:val="none"/>
          <w:u w:val="single"/>
        </w:rPr>
        <w:t xml:space="preserve">   甲方指定地点    </w:t>
      </w:r>
      <w:r>
        <w:rPr>
          <w:rFonts w:hint="eastAsia" w:ascii="宋体" w:hAnsi="宋体" w:eastAsia="宋体" w:cs="Times New Roman"/>
          <w:szCs w:val="21"/>
          <w:highlight w:val="none"/>
        </w:rPr>
        <w:t>。</w:t>
      </w:r>
    </w:p>
    <w:p w14:paraId="6457F699">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2、乙方提供不符合本合同规定的货物，甲方有权拒绝接收。</w:t>
      </w:r>
    </w:p>
    <w:p w14:paraId="52EC1CBD">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乙方应将所提供货物的装箱清单、用户手册、原厂保修卡、随机资料、工具和备品、备件等交付给甲方，如有缺失应及时补齐，否则视为逾期交货。维修时长大于24小时的，提供应急方案调用应急设备给甲方免费使用。</w:t>
      </w:r>
    </w:p>
    <w:p w14:paraId="527AC216">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甲方应当在到货（安装、调试完）后7个工作日内进行验收。如涉及短期内无法发现的问题与瑕疵，甲方在检验期限内难以完成全面检验的，以上期限仅视为甲方对标的物的外观瑕疵提出异议的期限，具体期限根据甲方实际使用情况酌情延长。</w:t>
      </w:r>
    </w:p>
    <w:p w14:paraId="44164096">
      <w:pPr>
        <w:tabs>
          <w:tab w:val="left" w:pos="8820"/>
        </w:tabs>
        <w:snapToGrid w:val="0"/>
        <w:spacing w:line="400" w:lineRule="exact"/>
        <w:ind w:left="-619" w:leftChars="-295" w:right="-512" w:rightChars="-244" w:firstLine="422" w:firstLineChars="200"/>
        <w:rPr>
          <w:rFonts w:hint="eastAsia" w:ascii="宋体" w:hAnsi="宋体" w:eastAsia="宋体" w:cs="Times New Roman"/>
          <w:b/>
          <w:szCs w:val="21"/>
          <w:highlight w:val="none"/>
        </w:rPr>
      </w:pPr>
      <w:r>
        <w:rPr>
          <w:rFonts w:hint="eastAsia" w:ascii="宋体" w:hAnsi="宋体" w:eastAsia="宋体" w:cs="Times New Roman"/>
          <w:b/>
          <w:szCs w:val="21"/>
          <w:highlight w:val="none"/>
        </w:rPr>
        <w:t>第五条  售后服务、保修期</w:t>
      </w:r>
    </w:p>
    <w:p w14:paraId="7D20548D">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u w:val="single"/>
        </w:rPr>
      </w:pPr>
      <w:r>
        <w:rPr>
          <w:rFonts w:hint="eastAsia" w:ascii="宋体" w:hAnsi="宋体" w:eastAsia="宋体" w:cs="Times New Roman"/>
          <w:szCs w:val="21"/>
          <w:highlight w:val="none"/>
        </w:rPr>
        <w:t>1、货物保修期：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p>
    <w:p w14:paraId="288496E9">
      <w:pPr>
        <w:widowControl/>
        <w:tabs>
          <w:tab w:val="left" w:pos="780"/>
          <w:tab w:val="left" w:pos="8820"/>
        </w:tabs>
        <w:spacing w:line="375" w:lineRule="atLeast"/>
        <w:ind w:left="-619" w:leftChars="-295" w:right="-512" w:rightChars="-244" w:firstLine="420" w:firstLineChars="200"/>
        <w:jc w:val="left"/>
        <w:rPr>
          <w:rFonts w:hint="eastAsia" w:ascii="宋体" w:hAnsi="宋体" w:eastAsia="宋体" w:cs="宋体"/>
          <w:kern w:val="0"/>
          <w:szCs w:val="21"/>
          <w:highlight w:val="none"/>
        </w:rPr>
      </w:pPr>
      <w:r>
        <w:rPr>
          <w:rFonts w:hint="eastAsia" w:ascii="宋体" w:hAnsi="宋体" w:eastAsia="宋体" w:cs="Times New Roman"/>
          <w:szCs w:val="21"/>
          <w:highlight w:val="none"/>
        </w:rPr>
        <w:t>2、</w:t>
      </w:r>
      <w:r>
        <w:rPr>
          <w:rFonts w:hint="eastAsia" w:ascii="Calibri" w:hAnsi="Calibri" w:eastAsia="宋体" w:cs="宋体"/>
          <w:kern w:val="0"/>
          <w:szCs w:val="21"/>
          <w:highlight w:val="none"/>
        </w:rPr>
        <w:t>保修期满后乙方负责终身维护，提供优惠价格的零配件，只收配件成本费，不收维修费。</w:t>
      </w:r>
    </w:p>
    <w:p w14:paraId="2473BE46">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kern w:val="0"/>
          <w:szCs w:val="21"/>
          <w:highlight w:val="none"/>
          <w:lang w:eastAsia="zh-CN"/>
        </w:rPr>
      </w:pPr>
      <w:r>
        <w:rPr>
          <w:rFonts w:hint="eastAsia" w:ascii="Calibri" w:hAnsi="Calibri" w:eastAsia="宋体" w:cs="Times New Roman"/>
          <w:kern w:val="0"/>
          <w:szCs w:val="21"/>
          <w:highlight w:val="none"/>
        </w:rPr>
        <w:t>3、</w:t>
      </w:r>
      <w:r>
        <w:rPr>
          <w:rFonts w:ascii="Calibri" w:hAnsi="Calibri" w:eastAsia="Times New Roman" w:cs="Times New Roman"/>
          <w:kern w:val="0"/>
          <w:szCs w:val="21"/>
          <w:highlight w:val="none"/>
        </w:rPr>
        <w:t> </w:t>
      </w:r>
      <w:r>
        <w:rPr>
          <w:rFonts w:hint="eastAsia" w:ascii="Calibri" w:hAnsi="Calibri" w:eastAsia="宋体" w:cs="宋体"/>
          <w:kern w:val="0"/>
          <w:szCs w:val="21"/>
          <w:highlight w:val="none"/>
        </w:rPr>
        <w:t>乙方接到甲方的维修通知后立即响应，并在</w:t>
      </w:r>
      <w:r>
        <w:rPr>
          <w:rFonts w:ascii="Calibri" w:hAnsi="Calibri" w:eastAsia="宋体" w:cs="Times New Roman"/>
          <w:kern w:val="0"/>
          <w:szCs w:val="21"/>
          <w:highlight w:val="none"/>
        </w:rPr>
        <w:t>24</w:t>
      </w:r>
      <w:r>
        <w:rPr>
          <w:rFonts w:hint="eastAsia" w:ascii="Calibri" w:hAnsi="Calibri" w:eastAsia="宋体" w:cs="宋体"/>
          <w:kern w:val="0"/>
          <w:szCs w:val="21"/>
          <w:highlight w:val="none"/>
        </w:rPr>
        <w:t>小时内派出工程师赶到现场，按国家及行业标准对故障进行及时维修。质保期内每年3次定期回访</w:t>
      </w:r>
      <w:r>
        <w:rPr>
          <w:rFonts w:hint="eastAsia" w:ascii="Calibri" w:hAnsi="Calibri" w:eastAsia="宋体" w:cs="宋体"/>
          <w:kern w:val="0"/>
          <w:szCs w:val="21"/>
          <w:highlight w:val="none"/>
          <w:lang w:eastAsia="zh-CN"/>
        </w:rPr>
        <w:t>。乙方在接到甲方通知后拒不响应或解决故障的，甲方有权聘请第三方进行维修，由此产生的费用由乙方承担。经过甲方或第三人维修、更换后的产品，乙方继续按本合同约定承担质量保修责任。乙方未及时履行保修义务导致的损失均由乙方承担。乙方完成相应维修后，须提供维护维修报告。维护维修更换零配件的应提供使用原厂、全新零配件并经甲方确认。本条时间、日期的约定不受法定节假日影响。</w:t>
      </w:r>
    </w:p>
    <w:p w14:paraId="3405502B">
      <w:pPr>
        <w:widowControl/>
        <w:tabs>
          <w:tab w:val="left" w:pos="780"/>
          <w:tab w:val="left" w:pos="8820"/>
        </w:tabs>
        <w:spacing w:line="375" w:lineRule="atLeast"/>
        <w:ind w:left="-619" w:leftChars="-295" w:right="-512" w:rightChars="-244" w:firstLine="422" w:firstLineChars="200"/>
        <w:jc w:val="left"/>
        <w:rPr>
          <w:rFonts w:hint="eastAsia" w:ascii="Calibri" w:hAnsi="Calibri" w:eastAsia="宋体" w:cs="宋体"/>
          <w:b/>
          <w:bCs/>
          <w:kern w:val="0"/>
          <w:szCs w:val="21"/>
          <w:highlight w:val="none"/>
        </w:rPr>
      </w:pPr>
      <w:r>
        <w:rPr>
          <w:rFonts w:hint="eastAsia" w:ascii="Calibri" w:hAnsi="Calibri" w:eastAsia="宋体" w:cs="宋体"/>
          <w:b/>
          <w:bCs/>
          <w:kern w:val="0"/>
          <w:szCs w:val="21"/>
          <w:highlight w:val="none"/>
        </w:rPr>
        <w:t>第</w:t>
      </w:r>
      <w:r>
        <w:rPr>
          <w:rFonts w:hint="eastAsia" w:ascii="Calibri" w:hAnsi="Calibri" w:eastAsia="宋体" w:cs="宋体"/>
          <w:b/>
          <w:bCs/>
          <w:kern w:val="0"/>
          <w:szCs w:val="21"/>
          <w:highlight w:val="none"/>
          <w:lang w:val="en-US" w:eastAsia="zh-CN"/>
        </w:rPr>
        <w:t>六</w:t>
      </w:r>
      <w:r>
        <w:rPr>
          <w:rFonts w:hint="eastAsia" w:ascii="Calibri" w:hAnsi="Calibri" w:eastAsia="宋体" w:cs="宋体"/>
          <w:b/>
          <w:bCs/>
          <w:kern w:val="0"/>
          <w:szCs w:val="21"/>
          <w:highlight w:val="none"/>
        </w:rPr>
        <w:t>条　付款方式和保证金</w:t>
      </w:r>
    </w:p>
    <w:p w14:paraId="5D0B42C0">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color w:val="C00000"/>
          <w:kern w:val="0"/>
          <w:szCs w:val="21"/>
          <w:highlight w:val="none"/>
          <w:lang w:val="en-US" w:eastAsia="zh-CN"/>
        </w:rPr>
      </w:pPr>
      <w:r>
        <w:rPr>
          <w:rFonts w:hint="eastAsia" w:ascii="Calibri" w:hAnsi="Calibri" w:eastAsia="宋体" w:cs="宋体"/>
          <w:kern w:val="0"/>
          <w:szCs w:val="21"/>
          <w:highlight w:val="none"/>
        </w:rPr>
        <w:t>付款方式：</w:t>
      </w:r>
      <w:r>
        <w:rPr>
          <w:rFonts w:hint="eastAsia" w:ascii="Calibri" w:hAnsi="Calibri" w:eastAsia="宋体" w:cs="宋体"/>
          <w:color w:val="C00000"/>
          <w:kern w:val="0"/>
          <w:szCs w:val="21"/>
          <w:highlight w:val="none"/>
          <w:lang w:val="en-US" w:eastAsia="zh-CN"/>
        </w:rPr>
        <w:t>交货验收合格后，且收到全额发票后4个月内支付95%合同款，质保期满后经核验无质量问题支付剩余5%合同款（无息）。付款前乙方未开具发票的，甲方有权不进行支付。</w:t>
      </w:r>
    </w:p>
    <w:p w14:paraId="5A447180">
      <w:pPr>
        <w:widowControl/>
        <w:tabs>
          <w:tab w:val="left" w:pos="780"/>
          <w:tab w:val="left" w:pos="8820"/>
        </w:tabs>
        <w:spacing w:line="375" w:lineRule="atLeast"/>
        <w:ind w:left="-619" w:leftChars="-295" w:right="-512" w:rightChars="-244" w:firstLine="422" w:firstLineChars="200"/>
        <w:jc w:val="left"/>
        <w:rPr>
          <w:rFonts w:hint="eastAsia" w:ascii="Calibri" w:hAnsi="Calibri" w:eastAsia="宋体" w:cs="宋体"/>
          <w:kern w:val="0"/>
          <w:szCs w:val="21"/>
          <w:highlight w:val="none"/>
          <w:lang w:val="en-US" w:eastAsia="zh-CN"/>
        </w:rPr>
      </w:pPr>
      <w:r>
        <w:rPr>
          <w:rFonts w:hint="eastAsia" w:ascii="Calibri" w:hAnsi="Calibri" w:eastAsia="宋体" w:cs="宋体"/>
          <w:b/>
          <w:bCs/>
          <w:kern w:val="0"/>
          <w:szCs w:val="21"/>
          <w:highlight w:val="none"/>
          <w:lang w:val="en-US" w:eastAsia="zh-CN"/>
        </w:rPr>
        <w:t>第七条  货物包装、发运及运输</w:t>
      </w:r>
    </w:p>
    <w:p w14:paraId="245ECAE5">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1、乙方应在货物发运前对其进行满足运输距离、防潮、防震、防锈和防破损装卸等要求包装，以保证货物安全运达甲方指定地点。因包装、运输引起的货物损坏，由乙方自行负责。</w:t>
      </w:r>
    </w:p>
    <w:p w14:paraId="05B3A67E">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2、货物在交付甲方前发生的风险均由乙方负责。</w:t>
      </w:r>
    </w:p>
    <w:p w14:paraId="6EE2B0FD">
      <w:pPr>
        <w:tabs>
          <w:tab w:val="left" w:pos="8820"/>
        </w:tabs>
        <w:snapToGrid w:val="0"/>
        <w:spacing w:line="400" w:lineRule="exact"/>
        <w:ind w:left="-619" w:leftChars="-295" w:right="-512" w:rightChars="-244" w:firstLine="422" w:firstLineChars="200"/>
        <w:rPr>
          <w:rFonts w:hint="eastAsia" w:ascii="宋体" w:hAnsi="宋体" w:eastAsia="宋体" w:cs="Times New Roman"/>
          <w:b/>
          <w:szCs w:val="21"/>
          <w:highlight w:val="none"/>
        </w:rPr>
      </w:pPr>
      <w:r>
        <w:rPr>
          <w:rFonts w:hint="eastAsia" w:ascii="宋体" w:hAnsi="宋体" w:eastAsia="宋体" w:cs="Times New Roman"/>
          <w:b/>
          <w:szCs w:val="21"/>
          <w:highlight w:val="none"/>
        </w:rPr>
        <w:t>第</w:t>
      </w:r>
      <w:r>
        <w:rPr>
          <w:rFonts w:hint="eastAsia" w:ascii="宋体" w:hAnsi="宋体" w:eastAsia="宋体" w:cs="Times New Roman"/>
          <w:b/>
          <w:szCs w:val="21"/>
          <w:highlight w:val="none"/>
          <w:lang w:val="en-US" w:eastAsia="zh-CN"/>
        </w:rPr>
        <w:t>八</w:t>
      </w:r>
      <w:r>
        <w:rPr>
          <w:rFonts w:hint="eastAsia" w:ascii="宋体" w:hAnsi="宋体" w:eastAsia="宋体" w:cs="Times New Roman"/>
          <w:b/>
          <w:szCs w:val="21"/>
          <w:highlight w:val="none"/>
        </w:rPr>
        <w:t>条　违约责任</w:t>
      </w:r>
    </w:p>
    <w:p w14:paraId="4978D85B">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1、甲方无故不接收合同标的物，或乙方不能提供合同标的物的，违约方需按违约货款额的20%向对方赔偿。乙方所提供的货物规格、技术标准、材料等质量不合格的，应及时更换，更换不及时的按逾期交货处理。</w:t>
      </w:r>
    </w:p>
    <w:p w14:paraId="046121E3">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2、乙方提供的货物如侵犯了第三方合法权益而引发的任何纠纷或诉讼，均由乙方负责交涉并承担全部责任。</w:t>
      </w:r>
    </w:p>
    <w:p w14:paraId="6B76FBC9">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3、甲方无故延期接收货物、乙方逾期交货的，每天向对方偿付违约货款额3‰违约金，但违约金累计不得超过违约货款额5%，超过20天对方有权解除合同，违约方须另按本条第1点规定向对方赔偿损失。</w:t>
      </w:r>
    </w:p>
    <w:p w14:paraId="3809377A">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4、乙方未按本合同和竞标文件中规定的服务承诺提供售后服务的，甲方有权拒付质保金。</w:t>
      </w:r>
    </w:p>
    <w:p w14:paraId="3E253C5E">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5、任何一方存在任何违约行为的，除按合同约定承担违约责任外，还应赔偿守约方的一切经济损失，包括直接的财产损失，以及因违约造成的可能产生的预期经济损失以及守约方应对相关处罚、纠纷、诉讼支出的全部费用（包括但不限于守约方因此承担的处罚、赔偿责任、发生的当事人以及代理人差旅费、诉讼费、公告费、律师费、公证费、保全费、诉讼保全保险费、评估费、鉴定费及其他损失等）。</w:t>
      </w:r>
    </w:p>
    <w:p w14:paraId="26AE441D">
      <w:pPr>
        <w:tabs>
          <w:tab w:val="left" w:pos="8820"/>
        </w:tabs>
        <w:snapToGrid w:val="0"/>
        <w:spacing w:line="400" w:lineRule="exact"/>
        <w:ind w:left="-619" w:leftChars="-295" w:right="-512" w:rightChars="-244" w:firstLine="422" w:firstLineChars="200"/>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rPr>
        <w:t>第</w:t>
      </w:r>
      <w:r>
        <w:rPr>
          <w:rFonts w:hint="eastAsia" w:ascii="宋体" w:hAnsi="宋体" w:eastAsia="宋体" w:cs="Times New Roman"/>
          <w:b/>
          <w:szCs w:val="21"/>
          <w:highlight w:val="none"/>
          <w:lang w:val="en-US" w:eastAsia="zh-CN"/>
        </w:rPr>
        <w:t>九</w:t>
      </w:r>
      <w:r>
        <w:rPr>
          <w:rFonts w:hint="eastAsia" w:ascii="宋体" w:hAnsi="宋体" w:eastAsia="宋体" w:cs="Times New Roman"/>
          <w:b/>
          <w:szCs w:val="21"/>
          <w:highlight w:val="none"/>
        </w:rPr>
        <w:t>条　</w:t>
      </w:r>
      <w:r>
        <w:rPr>
          <w:rFonts w:hint="eastAsia" w:ascii="宋体" w:hAnsi="宋体" w:eastAsia="宋体" w:cs="Times New Roman"/>
          <w:b/>
          <w:szCs w:val="21"/>
          <w:highlight w:val="none"/>
          <w:lang w:val="en-US" w:eastAsia="zh-CN"/>
        </w:rPr>
        <w:t>其他</w:t>
      </w:r>
    </w:p>
    <w:p w14:paraId="0A98D448">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b w:val="0"/>
          <w:bCs/>
          <w:szCs w:val="21"/>
          <w:highlight w:val="none"/>
          <w:lang w:val="en-US" w:eastAsia="zh-CN"/>
        </w:rPr>
        <w:t>1、</w:t>
      </w:r>
      <w:r>
        <w:rPr>
          <w:rFonts w:hint="eastAsia" w:ascii="宋体" w:hAnsi="宋体" w:eastAsia="宋体" w:cs="Times New Roman"/>
          <w:b w:val="0"/>
          <w:bCs/>
          <w:szCs w:val="21"/>
          <w:highlight w:val="none"/>
        </w:rPr>
        <w:t>本合同</w:t>
      </w:r>
      <w:r>
        <w:rPr>
          <w:rFonts w:hint="eastAsia" w:ascii="宋体" w:hAnsi="宋体" w:eastAsia="宋体" w:cs="Times New Roman"/>
          <w:szCs w:val="21"/>
          <w:highlight w:val="none"/>
        </w:rPr>
        <w:t>一式</w:t>
      </w:r>
      <w:r>
        <w:rPr>
          <w:rFonts w:hint="eastAsia" w:ascii="宋体" w:hAnsi="宋体" w:eastAsia="宋体" w:cs="Times New Roman"/>
          <w:szCs w:val="21"/>
          <w:highlight w:val="none"/>
          <w:lang w:val="en-US" w:eastAsia="zh-CN"/>
        </w:rPr>
        <w:t>伍</w:t>
      </w:r>
      <w:r>
        <w:rPr>
          <w:rFonts w:hint="eastAsia" w:ascii="宋体" w:hAnsi="宋体" w:eastAsia="宋体" w:cs="Times New Roman"/>
          <w:szCs w:val="21"/>
          <w:highlight w:val="none"/>
        </w:rPr>
        <w:t>份，</w:t>
      </w:r>
      <w:r>
        <w:rPr>
          <w:rFonts w:hint="eastAsia" w:ascii="宋体" w:hAnsi="宋体" w:eastAsia="宋体" w:cs="Times New Roman"/>
          <w:color w:val="000000"/>
          <w:szCs w:val="21"/>
          <w:highlight w:val="none"/>
        </w:rPr>
        <w:t>甲方</w:t>
      </w:r>
      <w:r>
        <w:rPr>
          <w:rFonts w:hint="eastAsia" w:ascii="宋体" w:hAnsi="宋体" w:eastAsia="宋体" w:cs="Times New Roman"/>
          <w:color w:val="000000"/>
          <w:szCs w:val="21"/>
          <w:highlight w:val="none"/>
          <w:lang w:val="en-US" w:eastAsia="zh-CN"/>
        </w:rPr>
        <w:t>肆</w:t>
      </w:r>
      <w:r>
        <w:rPr>
          <w:rFonts w:hint="eastAsia" w:ascii="宋体" w:hAnsi="宋体" w:eastAsia="宋体" w:cs="Times New Roman"/>
          <w:color w:val="000000"/>
          <w:szCs w:val="21"/>
          <w:highlight w:val="none"/>
        </w:rPr>
        <w:t>份乙方一份，经</w:t>
      </w:r>
      <w:r>
        <w:rPr>
          <w:rFonts w:hint="eastAsia" w:ascii="宋体" w:hAnsi="宋体" w:eastAsia="宋体" w:cs="Times New Roman"/>
          <w:szCs w:val="21"/>
          <w:highlight w:val="none"/>
        </w:rPr>
        <w:t>双方法定代表人或委托代理人签字并加盖公章后生效，具有同等法律效力。</w:t>
      </w:r>
    </w:p>
    <w:p w14:paraId="2F91DB5A">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2、</w:t>
      </w:r>
      <w:r>
        <w:rPr>
          <w:rFonts w:hint="eastAsia" w:ascii="宋体" w:hAnsi="宋体" w:eastAsia="宋体" w:cs="Times New Roman"/>
          <w:b w:val="0"/>
          <w:bCs/>
          <w:szCs w:val="21"/>
          <w:highlight w:val="none"/>
        </w:rPr>
        <w:t>反商业贿赂</w:t>
      </w:r>
      <w:r>
        <w:rPr>
          <w:rFonts w:hint="eastAsia" w:ascii="宋体" w:hAnsi="宋体" w:eastAsia="宋体" w:cs="Times New Roman"/>
          <w:b w:val="0"/>
          <w:bCs/>
          <w:szCs w:val="21"/>
          <w:highlight w:val="none"/>
          <w:lang w:val="en-US" w:eastAsia="zh-CN"/>
        </w:rPr>
        <w:t xml:space="preserve">  </w:t>
      </w:r>
      <w:r>
        <w:rPr>
          <w:rFonts w:hint="eastAsia" w:ascii="宋体" w:hAnsi="宋体" w:eastAsia="宋体" w:cs="Times New Roman"/>
          <w:b w:val="0"/>
          <w:bCs/>
          <w:szCs w:val="21"/>
          <w:highlight w:val="none"/>
        </w:rPr>
        <w:t>乙方不得向甲方以及经办人、工作人员或其他相关人员提供、给予合同约定外的任何利益，包括但不限于明扣、暗扣、现金、购物卡、实物、有价证券、旅游或其他非物质性利益等，否则构成重大违约。</w:t>
      </w:r>
    </w:p>
    <w:p w14:paraId="33B5DCF0">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b w:val="0"/>
          <w:bCs/>
          <w:szCs w:val="21"/>
          <w:highlight w:val="none"/>
          <w:lang w:val="en-US" w:eastAsia="zh-CN"/>
        </w:rPr>
        <w:t>3、</w:t>
      </w:r>
      <w:r>
        <w:rPr>
          <w:rFonts w:hint="eastAsia" w:ascii="宋体" w:hAnsi="宋体" w:eastAsia="宋体" w:cs="Times New Roman"/>
          <w:b w:val="0"/>
          <w:bCs/>
          <w:szCs w:val="21"/>
          <w:highlight w:val="none"/>
        </w:rPr>
        <w:t>本合同未尽事宜由甲乙双方友好协商解决或签订补充协议予以明确，协商不成的可向甲方所在地人民法院起诉。</w:t>
      </w:r>
    </w:p>
    <w:p w14:paraId="46070507">
      <w:pPr>
        <w:rPr>
          <w:rFonts w:ascii="Calibri" w:hAnsi="Calibri" w:eastAsia="宋体" w:cs="Times New Roman"/>
        </w:rPr>
      </w:pPr>
    </w:p>
    <w:tbl>
      <w:tblPr>
        <w:tblStyle w:val="18"/>
        <w:tblpPr w:leftFromText="180" w:rightFromText="180" w:vertAnchor="text" w:horzAnchor="page" w:tblpX="1455" w:tblpY="50"/>
        <w:tblOverlap w:val="neve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820"/>
      </w:tblGrid>
      <w:tr w14:paraId="34E8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4536" w:type="dxa"/>
            <w:noWrap w:val="0"/>
            <w:vAlign w:val="center"/>
          </w:tcPr>
          <w:p w14:paraId="682D6982">
            <w:pPr>
              <w:snapToGrid w:val="0"/>
              <w:spacing w:line="400" w:lineRule="exact"/>
              <w:ind w:left="-617" w:leftChars="-294" w:right="-298" w:rightChars="-142" w:firstLine="617" w:firstLineChars="294"/>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甲方（章）：广西壮族自治区江滨医院           </w:t>
            </w:r>
          </w:p>
        </w:tc>
        <w:tc>
          <w:tcPr>
            <w:tcW w:w="4820" w:type="dxa"/>
            <w:noWrap w:val="0"/>
            <w:vAlign w:val="center"/>
          </w:tcPr>
          <w:p w14:paraId="2F6B610A">
            <w:pPr>
              <w:spacing w:line="360" w:lineRule="auto"/>
              <w:jc w:val="both"/>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乙方（章）： </w:t>
            </w:r>
            <w:r>
              <w:rPr>
                <w:rFonts w:hint="eastAsia" w:ascii="宋体" w:hAnsi="宋体" w:eastAsia="宋体" w:cs="Times New Roman"/>
                <w:szCs w:val="21"/>
                <w:highlight w:val="none"/>
                <w:lang w:val="en-US" w:eastAsia="zh-CN"/>
              </w:rPr>
              <w:t xml:space="preserve"> </w:t>
            </w:r>
          </w:p>
        </w:tc>
      </w:tr>
      <w:tr w14:paraId="1597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301D2182">
            <w:pPr>
              <w:snapToGrid w:val="0"/>
              <w:spacing w:line="400" w:lineRule="exact"/>
              <w:ind w:left="-617" w:leftChars="-294" w:right="-298" w:rightChars="-142" w:firstLine="617" w:firstLineChars="294"/>
              <w:rPr>
                <w:rFonts w:hint="eastAsia" w:ascii="宋体" w:hAnsi="宋体" w:eastAsia="宋体" w:cs="Times New Roman"/>
                <w:szCs w:val="21"/>
                <w:highlight w:val="none"/>
              </w:rPr>
            </w:pPr>
            <w:r>
              <w:rPr>
                <w:rFonts w:hint="eastAsia" w:ascii="宋体" w:hAnsi="宋体" w:eastAsia="宋体" w:cs="Times New Roman"/>
                <w:szCs w:val="21"/>
                <w:highlight w:val="none"/>
              </w:rPr>
              <w:t>单位地址：广西南宁市河堤路85号</w:t>
            </w:r>
          </w:p>
        </w:tc>
        <w:tc>
          <w:tcPr>
            <w:tcW w:w="4820" w:type="dxa"/>
            <w:noWrap w:val="0"/>
            <w:vAlign w:val="center"/>
          </w:tcPr>
          <w:p w14:paraId="2C04B645">
            <w:pPr>
              <w:snapToGrid w:val="0"/>
              <w:spacing w:line="400" w:lineRule="exact"/>
              <w:ind w:left="1058" w:leftChars="0" w:right="-15" w:rightChars="-7" w:hanging="1058" w:hangingChars="504"/>
              <w:rPr>
                <w:rFonts w:hint="eastAsia" w:ascii="宋体" w:hAnsi="宋体" w:eastAsia="宋体" w:cs="Times New Roman"/>
                <w:szCs w:val="21"/>
                <w:highlight w:val="none"/>
              </w:rPr>
            </w:pPr>
            <w:r>
              <w:rPr>
                <w:rFonts w:hint="eastAsia" w:ascii="宋体" w:hAnsi="宋体" w:eastAsia="宋体" w:cs="Times New Roman"/>
                <w:szCs w:val="21"/>
                <w:highlight w:val="none"/>
              </w:rPr>
              <w:t>单位地址：</w:t>
            </w:r>
            <w:r>
              <w:rPr>
                <w:rFonts w:hint="eastAsia" w:ascii="宋体" w:hAnsi="宋体" w:eastAsia="宋体" w:cs="Times New Roman"/>
                <w:szCs w:val="21"/>
                <w:highlight w:val="none"/>
                <w:lang w:val="en-US" w:eastAsia="zh-CN"/>
              </w:rPr>
              <w:t xml:space="preserve"> </w:t>
            </w:r>
          </w:p>
        </w:tc>
      </w:tr>
      <w:tr w14:paraId="22BE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4ABB1B9E">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法定代表人：</w:t>
            </w:r>
          </w:p>
        </w:tc>
        <w:tc>
          <w:tcPr>
            <w:tcW w:w="4820" w:type="dxa"/>
            <w:noWrap w:val="0"/>
            <w:vAlign w:val="center"/>
          </w:tcPr>
          <w:p w14:paraId="5D883075">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法定代表人：</w:t>
            </w:r>
            <w:r>
              <w:rPr>
                <w:rFonts w:hint="eastAsia" w:ascii="宋体" w:hAnsi="宋体" w:eastAsia="宋体" w:cs="Times New Roman"/>
                <w:szCs w:val="21"/>
                <w:highlight w:val="none"/>
                <w:lang w:val="en-US" w:eastAsia="zh-CN"/>
              </w:rPr>
              <w:t xml:space="preserve"> </w:t>
            </w:r>
          </w:p>
        </w:tc>
      </w:tr>
      <w:tr w14:paraId="520C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4E89BB5C">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委托代理人：</w:t>
            </w:r>
          </w:p>
        </w:tc>
        <w:tc>
          <w:tcPr>
            <w:tcW w:w="4820" w:type="dxa"/>
            <w:noWrap w:val="0"/>
            <w:vAlign w:val="center"/>
          </w:tcPr>
          <w:p w14:paraId="415251C0">
            <w:pPr>
              <w:snapToGrid w:val="0"/>
              <w:spacing w:line="400" w:lineRule="exact"/>
              <w:ind w:left="-420" w:leftChars="-200" w:right="-298" w:rightChars="-142"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委托代理人：</w:t>
            </w:r>
            <w:r>
              <w:rPr>
                <w:rFonts w:hint="eastAsia" w:ascii="宋体" w:hAnsi="宋体" w:eastAsia="宋体" w:cs="Times New Roman"/>
                <w:szCs w:val="21"/>
                <w:highlight w:val="none"/>
                <w:lang w:val="en-US" w:eastAsia="zh-CN"/>
              </w:rPr>
              <w:t xml:space="preserve"> </w:t>
            </w:r>
          </w:p>
        </w:tc>
      </w:tr>
      <w:tr w14:paraId="7A52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76C35AAF">
            <w:pPr>
              <w:snapToGrid w:val="0"/>
              <w:spacing w:line="400" w:lineRule="exact"/>
              <w:rPr>
                <w:rFonts w:hint="eastAsia" w:ascii="宋体" w:hAnsi="宋体" w:eastAsia="宋体" w:cs="Times New Roman"/>
                <w:szCs w:val="21"/>
                <w:highlight w:val="none"/>
              </w:rPr>
            </w:pPr>
            <w:r>
              <w:rPr>
                <w:rFonts w:hint="eastAsia" w:ascii="宋体" w:hAnsi="宋体" w:eastAsia="宋体" w:cs="Times New Roman"/>
                <w:szCs w:val="21"/>
              </w:rPr>
              <w:t>电话：</w:t>
            </w:r>
            <w:r>
              <w:rPr>
                <w:rFonts w:hint="eastAsia" w:ascii="宋体" w:hAnsi="宋体" w:eastAsia="宋体" w:cs="Times New Roman"/>
                <w:szCs w:val="21"/>
                <w:lang w:val="en-US" w:eastAsia="zh-CN"/>
              </w:rPr>
              <w:t>0771-2080088</w:t>
            </w:r>
          </w:p>
        </w:tc>
        <w:tc>
          <w:tcPr>
            <w:tcW w:w="4820" w:type="dxa"/>
            <w:noWrap w:val="0"/>
            <w:vAlign w:val="center"/>
          </w:tcPr>
          <w:p w14:paraId="48556BED">
            <w:pPr>
              <w:snapToGrid w:val="0"/>
              <w:spacing w:line="400" w:lineRule="exact"/>
              <w:ind w:left="-420" w:leftChars="-200" w:right="-298" w:rightChars="-142"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电话：</w:t>
            </w:r>
            <w:r>
              <w:rPr>
                <w:rFonts w:hint="eastAsia" w:ascii="宋体" w:hAnsi="宋体" w:eastAsia="宋体" w:cs="Times New Roman"/>
                <w:szCs w:val="21"/>
                <w:highlight w:val="none"/>
                <w:lang w:val="en-US" w:eastAsia="zh-CN"/>
              </w:rPr>
              <w:t xml:space="preserve"> </w:t>
            </w:r>
          </w:p>
        </w:tc>
      </w:tr>
      <w:tr w14:paraId="4E2F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7B80D41A">
            <w:pPr>
              <w:snapToGrid w:val="0"/>
              <w:spacing w:line="400" w:lineRule="exact"/>
              <w:rPr>
                <w:rFonts w:hint="eastAsia" w:ascii="宋体" w:hAnsi="宋体" w:eastAsia="宋体" w:cs="Times New Roman"/>
                <w:strike/>
                <w:szCs w:val="21"/>
                <w:highlight w:val="none"/>
              </w:rPr>
            </w:pPr>
            <w:r>
              <w:rPr>
                <w:rFonts w:hint="eastAsia" w:ascii="宋体" w:hAnsi="宋体" w:eastAsia="宋体" w:cs="Times New Roman"/>
                <w:szCs w:val="21"/>
              </w:rPr>
              <w:t>开户银行：</w:t>
            </w:r>
            <w:r>
              <w:rPr>
                <w:rFonts w:hint="eastAsia" w:ascii="宋体" w:hAnsi="宋体" w:eastAsia="宋体" w:cs="Times New Roman"/>
                <w:szCs w:val="21"/>
                <w:lang w:val="en-US" w:eastAsia="zh-CN"/>
              </w:rPr>
              <w:t>交通银行南宁分行青秀山支行</w:t>
            </w:r>
          </w:p>
        </w:tc>
        <w:tc>
          <w:tcPr>
            <w:tcW w:w="4820" w:type="dxa"/>
            <w:noWrap w:val="0"/>
            <w:vAlign w:val="center"/>
          </w:tcPr>
          <w:p w14:paraId="2DFB5149">
            <w:pPr>
              <w:snapToGrid w:val="0"/>
              <w:spacing w:line="400" w:lineRule="exact"/>
              <w:ind w:left="1257" w:leftChars="0" w:right="-15" w:rightChars="-7" w:hanging="1257" w:hangingChars="599"/>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开户银行： </w:t>
            </w:r>
            <w:r>
              <w:rPr>
                <w:rFonts w:hint="eastAsia" w:ascii="宋体" w:hAnsi="宋体" w:eastAsia="宋体" w:cs="Times New Roman"/>
                <w:szCs w:val="21"/>
                <w:highlight w:val="none"/>
                <w:lang w:val="en-US" w:eastAsia="zh-CN"/>
              </w:rPr>
              <w:t xml:space="preserve"> </w:t>
            </w:r>
          </w:p>
        </w:tc>
      </w:tr>
      <w:tr w14:paraId="245B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0AD81559">
            <w:pPr>
              <w:spacing w:line="220" w:lineRule="atLeast"/>
              <w:rPr>
                <w:rFonts w:hint="eastAsia" w:ascii="宋体" w:hAnsi="宋体" w:eastAsia="宋体" w:cs="Times New Roman"/>
                <w:strike/>
                <w:szCs w:val="21"/>
                <w:highlight w:val="none"/>
              </w:rPr>
            </w:pPr>
            <w:r>
              <w:rPr>
                <w:rFonts w:hint="eastAsia" w:ascii="宋体" w:hAnsi="宋体" w:eastAsia="宋体" w:cs="Times New Roman"/>
                <w:szCs w:val="21"/>
              </w:rPr>
              <w:t>账号：</w:t>
            </w:r>
            <w:r>
              <w:rPr>
                <w:rFonts w:hint="eastAsia" w:ascii="宋体" w:hAnsi="宋体" w:eastAsia="宋体" w:cs="Times New Roman"/>
                <w:szCs w:val="21"/>
                <w:lang w:val="en-US" w:eastAsia="zh-CN"/>
              </w:rPr>
              <w:t>451060505018010027923</w:t>
            </w:r>
          </w:p>
        </w:tc>
        <w:tc>
          <w:tcPr>
            <w:tcW w:w="4820" w:type="dxa"/>
            <w:noWrap w:val="0"/>
            <w:vAlign w:val="center"/>
          </w:tcPr>
          <w:p w14:paraId="5175D3D3">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账号：</w:t>
            </w:r>
            <w:r>
              <w:rPr>
                <w:rFonts w:hint="eastAsia" w:ascii="宋体" w:hAnsi="宋体" w:eastAsia="宋体" w:cs="Times New Roman"/>
                <w:szCs w:val="21"/>
                <w:highlight w:val="none"/>
                <w:lang w:val="en-US" w:eastAsia="zh-CN"/>
              </w:rPr>
              <w:t xml:space="preserve"> </w:t>
            </w:r>
          </w:p>
        </w:tc>
      </w:tr>
      <w:tr w14:paraId="05F1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51B5A5C2">
            <w:pPr>
              <w:snapToGrid w:val="0"/>
              <w:spacing w:line="400" w:lineRule="exact"/>
              <w:rPr>
                <w:rFonts w:hint="eastAsia" w:ascii="宋体" w:hAnsi="宋体" w:eastAsia="宋体" w:cs="Times New Roman"/>
                <w:strike/>
                <w:szCs w:val="21"/>
                <w:highlight w:val="none"/>
              </w:rPr>
            </w:pPr>
            <w:r>
              <w:rPr>
                <w:rFonts w:hint="eastAsia" w:ascii="宋体" w:hAnsi="宋体" w:eastAsia="宋体" w:cs="Times New Roman"/>
                <w:szCs w:val="21"/>
              </w:rPr>
              <w:t>邮政编码：</w:t>
            </w:r>
            <w:r>
              <w:rPr>
                <w:rFonts w:hint="eastAsia" w:ascii="宋体" w:hAnsi="宋体" w:eastAsia="宋体" w:cs="Times New Roman"/>
                <w:szCs w:val="21"/>
                <w:lang w:val="en-US" w:eastAsia="zh-CN"/>
              </w:rPr>
              <w:t>530021</w:t>
            </w:r>
          </w:p>
        </w:tc>
        <w:tc>
          <w:tcPr>
            <w:tcW w:w="4820" w:type="dxa"/>
            <w:noWrap w:val="0"/>
            <w:vAlign w:val="center"/>
          </w:tcPr>
          <w:p w14:paraId="15F9671C">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邮政编码：</w:t>
            </w:r>
          </w:p>
        </w:tc>
      </w:tr>
      <w:tr w14:paraId="7E56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36" w:type="dxa"/>
            <w:noWrap w:val="0"/>
            <w:vAlign w:val="center"/>
          </w:tcPr>
          <w:p w14:paraId="521E6DB5">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签订日期：　　　　年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月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日</w:t>
            </w:r>
          </w:p>
        </w:tc>
        <w:tc>
          <w:tcPr>
            <w:tcW w:w="4820" w:type="dxa"/>
            <w:noWrap w:val="0"/>
            <w:vAlign w:val="center"/>
          </w:tcPr>
          <w:p w14:paraId="7F6065FD">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签订日期：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年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月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日</w:t>
            </w:r>
          </w:p>
        </w:tc>
      </w:tr>
    </w:tbl>
    <w:p w14:paraId="3F4DD0C2">
      <w:pPr>
        <w:rPr>
          <w:rFonts w:ascii="Calibri" w:hAnsi="Calibri" w:eastAsia="宋体" w:cs="Times New Roman"/>
        </w:rPr>
      </w:pPr>
    </w:p>
    <w:p w14:paraId="1247B590">
      <w:pPr>
        <w:rPr>
          <w:rFonts w:hint="eastAsia"/>
          <w:b/>
          <w:color w:val="auto"/>
          <w:sz w:val="21"/>
          <w:highlight w:val="none"/>
        </w:rPr>
      </w:pPr>
    </w:p>
    <w:p w14:paraId="24142651">
      <w:pPr>
        <w:pStyle w:val="24"/>
        <w:rPr>
          <w:rFonts w:hint="eastAsia"/>
          <w:color w:val="auto"/>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D30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526C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4526C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ECC5C"/>
    <w:multiLevelType w:val="singleLevel"/>
    <w:tmpl w:val="BF6ECC5C"/>
    <w:lvl w:ilvl="0" w:tentative="0">
      <w:start w:val="1"/>
      <w:numFmt w:val="decimal"/>
      <w:suff w:val="nothing"/>
      <w:lvlText w:val="%1、"/>
      <w:lvlJc w:val="left"/>
    </w:lvl>
  </w:abstractNum>
  <w:abstractNum w:abstractNumId="1">
    <w:nsid w:val="29AE3059"/>
    <w:multiLevelType w:val="multilevel"/>
    <w:tmpl w:val="29AE3059"/>
    <w:lvl w:ilvl="0" w:tentative="0">
      <w:start w:val="1"/>
      <w:numFmt w:val="japaneseCounting"/>
      <w:lvlText w:val="第%1章"/>
      <w:lvlJc w:val="left"/>
      <w:pPr>
        <w:ind w:left="3141" w:hanging="1440"/>
      </w:pPr>
      <w:rPr>
        <w:rFonts w:hint="default"/>
        <w:b/>
        <w:sz w:val="48"/>
        <w:szCs w:val="48"/>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2A606A9D"/>
    <w:multiLevelType w:val="multilevel"/>
    <w:tmpl w:val="2A606A9D"/>
    <w:lvl w:ilvl="0" w:tentative="0">
      <w:start w:val="1"/>
      <w:numFmt w:val="decimal"/>
      <w:lvlText w:val="%1、"/>
      <w:lvlJc w:val="left"/>
      <w:pPr>
        <w:ind w:left="644"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zkwNWUzNDlmYjhlMTZiZjVkMTg2ZDcwNzYxMTgifQ=="/>
  </w:docVars>
  <w:rsids>
    <w:rsidRoot w:val="004921AA"/>
    <w:rsid w:val="00001CBE"/>
    <w:rsid w:val="00011583"/>
    <w:rsid w:val="00016737"/>
    <w:rsid w:val="00021919"/>
    <w:rsid w:val="000518BE"/>
    <w:rsid w:val="00054BA3"/>
    <w:rsid w:val="0005795F"/>
    <w:rsid w:val="0007600E"/>
    <w:rsid w:val="000978A9"/>
    <w:rsid w:val="000B34AF"/>
    <w:rsid w:val="000F603A"/>
    <w:rsid w:val="00104644"/>
    <w:rsid w:val="00114642"/>
    <w:rsid w:val="0013581D"/>
    <w:rsid w:val="00135B96"/>
    <w:rsid w:val="00157840"/>
    <w:rsid w:val="00160514"/>
    <w:rsid w:val="001B6789"/>
    <w:rsid w:val="001F062E"/>
    <w:rsid w:val="00250B3E"/>
    <w:rsid w:val="00251B19"/>
    <w:rsid w:val="00254FEC"/>
    <w:rsid w:val="002A171D"/>
    <w:rsid w:val="002C05A4"/>
    <w:rsid w:val="002E379F"/>
    <w:rsid w:val="002F54D6"/>
    <w:rsid w:val="00307A95"/>
    <w:rsid w:val="00320F3E"/>
    <w:rsid w:val="00350A3C"/>
    <w:rsid w:val="0039742A"/>
    <w:rsid w:val="003B0FC3"/>
    <w:rsid w:val="003C6F72"/>
    <w:rsid w:val="003D447D"/>
    <w:rsid w:val="003E14FA"/>
    <w:rsid w:val="003E44FD"/>
    <w:rsid w:val="0041321A"/>
    <w:rsid w:val="00416398"/>
    <w:rsid w:val="004165A5"/>
    <w:rsid w:val="00425451"/>
    <w:rsid w:val="004838CF"/>
    <w:rsid w:val="004921AA"/>
    <w:rsid w:val="004C50AC"/>
    <w:rsid w:val="004C50B8"/>
    <w:rsid w:val="004E1763"/>
    <w:rsid w:val="00515D72"/>
    <w:rsid w:val="00524C45"/>
    <w:rsid w:val="005266E9"/>
    <w:rsid w:val="00534410"/>
    <w:rsid w:val="005452A9"/>
    <w:rsid w:val="00563551"/>
    <w:rsid w:val="00572242"/>
    <w:rsid w:val="00574D1C"/>
    <w:rsid w:val="00577B1C"/>
    <w:rsid w:val="005B2039"/>
    <w:rsid w:val="005B698F"/>
    <w:rsid w:val="00661709"/>
    <w:rsid w:val="00664970"/>
    <w:rsid w:val="006B36EA"/>
    <w:rsid w:val="006D2155"/>
    <w:rsid w:val="006E4717"/>
    <w:rsid w:val="0070146F"/>
    <w:rsid w:val="007047D6"/>
    <w:rsid w:val="007225BE"/>
    <w:rsid w:val="00741D48"/>
    <w:rsid w:val="00762CC0"/>
    <w:rsid w:val="00777F7F"/>
    <w:rsid w:val="007930E5"/>
    <w:rsid w:val="00793DA6"/>
    <w:rsid w:val="007C5C21"/>
    <w:rsid w:val="007F1632"/>
    <w:rsid w:val="007F6B3C"/>
    <w:rsid w:val="00816778"/>
    <w:rsid w:val="00854D22"/>
    <w:rsid w:val="0086508D"/>
    <w:rsid w:val="00891F38"/>
    <w:rsid w:val="00893512"/>
    <w:rsid w:val="008E37AB"/>
    <w:rsid w:val="00903B76"/>
    <w:rsid w:val="0094142B"/>
    <w:rsid w:val="00943E36"/>
    <w:rsid w:val="00960B90"/>
    <w:rsid w:val="00974C33"/>
    <w:rsid w:val="009A0151"/>
    <w:rsid w:val="009A5253"/>
    <w:rsid w:val="009D254D"/>
    <w:rsid w:val="009E4EB7"/>
    <w:rsid w:val="009F31F7"/>
    <w:rsid w:val="00A17E0A"/>
    <w:rsid w:val="00A21D43"/>
    <w:rsid w:val="00A40B9C"/>
    <w:rsid w:val="00A60B48"/>
    <w:rsid w:val="00A847C8"/>
    <w:rsid w:val="00A9335E"/>
    <w:rsid w:val="00AA2231"/>
    <w:rsid w:val="00AA39C5"/>
    <w:rsid w:val="00AB422D"/>
    <w:rsid w:val="00AE2092"/>
    <w:rsid w:val="00B1269A"/>
    <w:rsid w:val="00B44CB1"/>
    <w:rsid w:val="00B57D97"/>
    <w:rsid w:val="00B844CB"/>
    <w:rsid w:val="00BA7380"/>
    <w:rsid w:val="00BB558D"/>
    <w:rsid w:val="00BF0F5B"/>
    <w:rsid w:val="00C54E53"/>
    <w:rsid w:val="00C7562E"/>
    <w:rsid w:val="00CA32E0"/>
    <w:rsid w:val="00CB41FE"/>
    <w:rsid w:val="00CB4B67"/>
    <w:rsid w:val="00CB60D6"/>
    <w:rsid w:val="00CD352D"/>
    <w:rsid w:val="00CF0E40"/>
    <w:rsid w:val="00CF4046"/>
    <w:rsid w:val="00D4487E"/>
    <w:rsid w:val="00D559D1"/>
    <w:rsid w:val="00D60E75"/>
    <w:rsid w:val="00D75748"/>
    <w:rsid w:val="00DE68EE"/>
    <w:rsid w:val="00E105D4"/>
    <w:rsid w:val="00E21468"/>
    <w:rsid w:val="00E25EC2"/>
    <w:rsid w:val="00E501AB"/>
    <w:rsid w:val="00E53A97"/>
    <w:rsid w:val="00E64E4A"/>
    <w:rsid w:val="00EA108B"/>
    <w:rsid w:val="00ED3D91"/>
    <w:rsid w:val="00EF259E"/>
    <w:rsid w:val="00F50360"/>
    <w:rsid w:val="00F562C8"/>
    <w:rsid w:val="00F7428E"/>
    <w:rsid w:val="00F74652"/>
    <w:rsid w:val="00F85925"/>
    <w:rsid w:val="00FA7FA9"/>
    <w:rsid w:val="00FD3259"/>
    <w:rsid w:val="00FD4B9D"/>
    <w:rsid w:val="01B42A3D"/>
    <w:rsid w:val="01C24BA7"/>
    <w:rsid w:val="01EF4FAF"/>
    <w:rsid w:val="02717432"/>
    <w:rsid w:val="02915376"/>
    <w:rsid w:val="02D20D2D"/>
    <w:rsid w:val="039E1873"/>
    <w:rsid w:val="040A714A"/>
    <w:rsid w:val="047C676D"/>
    <w:rsid w:val="04A575B9"/>
    <w:rsid w:val="04EB48D3"/>
    <w:rsid w:val="05017C52"/>
    <w:rsid w:val="05114FBE"/>
    <w:rsid w:val="055A5762"/>
    <w:rsid w:val="057C358C"/>
    <w:rsid w:val="058D1700"/>
    <w:rsid w:val="05CC0E8F"/>
    <w:rsid w:val="06A00D6D"/>
    <w:rsid w:val="073267E9"/>
    <w:rsid w:val="07894575"/>
    <w:rsid w:val="07DA4081"/>
    <w:rsid w:val="08422C6E"/>
    <w:rsid w:val="088C415D"/>
    <w:rsid w:val="08A036F2"/>
    <w:rsid w:val="08AC4379"/>
    <w:rsid w:val="08CD1129"/>
    <w:rsid w:val="09215FCB"/>
    <w:rsid w:val="093609D9"/>
    <w:rsid w:val="094569B0"/>
    <w:rsid w:val="09D75BBA"/>
    <w:rsid w:val="0A56459C"/>
    <w:rsid w:val="0AA24A1A"/>
    <w:rsid w:val="0B397CC9"/>
    <w:rsid w:val="0B4E34C6"/>
    <w:rsid w:val="0B600C73"/>
    <w:rsid w:val="0BCC482D"/>
    <w:rsid w:val="0BCC5668"/>
    <w:rsid w:val="0BEA7692"/>
    <w:rsid w:val="0C261697"/>
    <w:rsid w:val="0C437BCD"/>
    <w:rsid w:val="0C967F91"/>
    <w:rsid w:val="0CDF5137"/>
    <w:rsid w:val="0D5134C4"/>
    <w:rsid w:val="0D6D4DC9"/>
    <w:rsid w:val="0DAD6BC9"/>
    <w:rsid w:val="0DBA12E6"/>
    <w:rsid w:val="0DBA3094"/>
    <w:rsid w:val="0E3B2427"/>
    <w:rsid w:val="0F1D7D7F"/>
    <w:rsid w:val="0F340C24"/>
    <w:rsid w:val="0F380715"/>
    <w:rsid w:val="0F8120BC"/>
    <w:rsid w:val="0FEFB21B"/>
    <w:rsid w:val="0FF26B15"/>
    <w:rsid w:val="100D7DF3"/>
    <w:rsid w:val="10411C94"/>
    <w:rsid w:val="10531D06"/>
    <w:rsid w:val="10A92BFD"/>
    <w:rsid w:val="10F22B45"/>
    <w:rsid w:val="110E3E23"/>
    <w:rsid w:val="115D4462"/>
    <w:rsid w:val="11767956"/>
    <w:rsid w:val="11B322D4"/>
    <w:rsid w:val="11F85986"/>
    <w:rsid w:val="11FA3109"/>
    <w:rsid w:val="1212174C"/>
    <w:rsid w:val="122502F5"/>
    <w:rsid w:val="12502219"/>
    <w:rsid w:val="125E5B0C"/>
    <w:rsid w:val="128071AA"/>
    <w:rsid w:val="137E4946"/>
    <w:rsid w:val="13F35005"/>
    <w:rsid w:val="13F866C4"/>
    <w:rsid w:val="14426038"/>
    <w:rsid w:val="14700951"/>
    <w:rsid w:val="14C8253B"/>
    <w:rsid w:val="14DC27A8"/>
    <w:rsid w:val="14F7697C"/>
    <w:rsid w:val="1520644A"/>
    <w:rsid w:val="155E77BF"/>
    <w:rsid w:val="15602773"/>
    <w:rsid w:val="16104532"/>
    <w:rsid w:val="16213031"/>
    <w:rsid w:val="165A73F6"/>
    <w:rsid w:val="1699418F"/>
    <w:rsid w:val="16A448E1"/>
    <w:rsid w:val="175C7EF3"/>
    <w:rsid w:val="178A2593"/>
    <w:rsid w:val="17C84600"/>
    <w:rsid w:val="185E3D21"/>
    <w:rsid w:val="18790F9B"/>
    <w:rsid w:val="189823E5"/>
    <w:rsid w:val="18C67767"/>
    <w:rsid w:val="18FE4FFE"/>
    <w:rsid w:val="191D36C9"/>
    <w:rsid w:val="19210B90"/>
    <w:rsid w:val="194D65C7"/>
    <w:rsid w:val="19CC5EC5"/>
    <w:rsid w:val="19F633D5"/>
    <w:rsid w:val="1A1905C0"/>
    <w:rsid w:val="1A302031"/>
    <w:rsid w:val="1A393CB5"/>
    <w:rsid w:val="1A4A39F2"/>
    <w:rsid w:val="1A8B0292"/>
    <w:rsid w:val="1B6823B3"/>
    <w:rsid w:val="1B724FAE"/>
    <w:rsid w:val="1C2D0EC0"/>
    <w:rsid w:val="1C3C0227"/>
    <w:rsid w:val="1C444360"/>
    <w:rsid w:val="1C6309D7"/>
    <w:rsid w:val="1C767CBD"/>
    <w:rsid w:val="1CF2284B"/>
    <w:rsid w:val="1D28626C"/>
    <w:rsid w:val="1D342403"/>
    <w:rsid w:val="1D37025D"/>
    <w:rsid w:val="1D426E10"/>
    <w:rsid w:val="1D5E72DD"/>
    <w:rsid w:val="1DA84D30"/>
    <w:rsid w:val="1DAD0A8E"/>
    <w:rsid w:val="1E14234D"/>
    <w:rsid w:val="1E25586B"/>
    <w:rsid w:val="1E2F335E"/>
    <w:rsid w:val="1E896A0D"/>
    <w:rsid w:val="1F187EDF"/>
    <w:rsid w:val="1F3F33F9"/>
    <w:rsid w:val="1F903C55"/>
    <w:rsid w:val="1FA12306"/>
    <w:rsid w:val="1FFB155B"/>
    <w:rsid w:val="200C767D"/>
    <w:rsid w:val="20286583"/>
    <w:rsid w:val="208248A0"/>
    <w:rsid w:val="20A420AE"/>
    <w:rsid w:val="20EA55E7"/>
    <w:rsid w:val="210668C5"/>
    <w:rsid w:val="21224D81"/>
    <w:rsid w:val="212343BD"/>
    <w:rsid w:val="21741E00"/>
    <w:rsid w:val="21D31E5C"/>
    <w:rsid w:val="226D2716"/>
    <w:rsid w:val="229269E7"/>
    <w:rsid w:val="22B660C8"/>
    <w:rsid w:val="22D64075"/>
    <w:rsid w:val="22F004DB"/>
    <w:rsid w:val="236E24FF"/>
    <w:rsid w:val="23912A5A"/>
    <w:rsid w:val="23CD7ADF"/>
    <w:rsid w:val="23EB7FF4"/>
    <w:rsid w:val="242169AF"/>
    <w:rsid w:val="24305A06"/>
    <w:rsid w:val="245F2A23"/>
    <w:rsid w:val="249C0ACA"/>
    <w:rsid w:val="24C34ACD"/>
    <w:rsid w:val="24E13A45"/>
    <w:rsid w:val="25411D1A"/>
    <w:rsid w:val="25D057C1"/>
    <w:rsid w:val="25D11D00"/>
    <w:rsid w:val="25EB2317"/>
    <w:rsid w:val="25FE400E"/>
    <w:rsid w:val="26006ABB"/>
    <w:rsid w:val="260158AC"/>
    <w:rsid w:val="26632298"/>
    <w:rsid w:val="26661BB3"/>
    <w:rsid w:val="26764632"/>
    <w:rsid w:val="268169ED"/>
    <w:rsid w:val="26962E94"/>
    <w:rsid w:val="26F0799B"/>
    <w:rsid w:val="27901611"/>
    <w:rsid w:val="27CF1B55"/>
    <w:rsid w:val="28357A8F"/>
    <w:rsid w:val="28A85995"/>
    <w:rsid w:val="29023E15"/>
    <w:rsid w:val="290F208E"/>
    <w:rsid w:val="29211DC2"/>
    <w:rsid w:val="29305A52"/>
    <w:rsid w:val="293935AF"/>
    <w:rsid w:val="293B6925"/>
    <w:rsid w:val="294D09EE"/>
    <w:rsid w:val="29C15A7E"/>
    <w:rsid w:val="2A756869"/>
    <w:rsid w:val="2B765285"/>
    <w:rsid w:val="2BA67551"/>
    <w:rsid w:val="2BD026A4"/>
    <w:rsid w:val="2BEA293F"/>
    <w:rsid w:val="2C4B7918"/>
    <w:rsid w:val="2C5D4657"/>
    <w:rsid w:val="2CC66F08"/>
    <w:rsid w:val="2CE43832"/>
    <w:rsid w:val="2CFE171B"/>
    <w:rsid w:val="2D40315E"/>
    <w:rsid w:val="2D8FC9BF"/>
    <w:rsid w:val="2E0C1694"/>
    <w:rsid w:val="2E2E046F"/>
    <w:rsid w:val="2E3B4F33"/>
    <w:rsid w:val="2E9B2D0B"/>
    <w:rsid w:val="2EDC1072"/>
    <w:rsid w:val="2EFF4953"/>
    <w:rsid w:val="2F3B56B3"/>
    <w:rsid w:val="2F436F36"/>
    <w:rsid w:val="2F46768D"/>
    <w:rsid w:val="2F4D461C"/>
    <w:rsid w:val="2F503401"/>
    <w:rsid w:val="2F787DE3"/>
    <w:rsid w:val="2F803CE6"/>
    <w:rsid w:val="2FC07915"/>
    <w:rsid w:val="2FEF1417"/>
    <w:rsid w:val="30731B76"/>
    <w:rsid w:val="30A114FB"/>
    <w:rsid w:val="30FE60B8"/>
    <w:rsid w:val="311E37B6"/>
    <w:rsid w:val="314E571E"/>
    <w:rsid w:val="317258B0"/>
    <w:rsid w:val="31C14EFC"/>
    <w:rsid w:val="31FB3AF8"/>
    <w:rsid w:val="32C05267"/>
    <w:rsid w:val="32FF9119"/>
    <w:rsid w:val="33D740F0"/>
    <w:rsid w:val="346B5A91"/>
    <w:rsid w:val="346F4BB2"/>
    <w:rsid w:val="354170D6"/>
    <w:rsid w:val="354237EC"/>
    <w:rsid w:val="35573F98"/>
    <w:rsid w:val="35611CBF"/>
    <w:rsid w:val="35A41DB0"/>
    <w:rsid w:val="35CF0E9B"/>
    <w:rsid w:val="35F16F5C"/>
    <w:rsid w:val="35F97370"/>
    <w:rsid w:val="35FE3BB6"/>
    <w:rsid w:val="36252EF1"/>
    <w:rsid w:val="36270350"/>
    <w:rsid w:val="36407D2B"/>
    <w:rsid w:val="36BF8641"/>
    <w:rsid w:val="37623CD1"/>
    <w:rsid w:val="376F5DFD"/>
    <w:rsid w:val="37781747"/>
    <w:rsid w:val="37E26680"/>
    <w:rsid w:val="37F01503"/>
    <w:rsid w:val="381C6576"/>
    <w:rsid w:val="38316101"/>
    <w:rsid w:val="38A81BB8"/>
    <w:rsid w:val="38A850FE"/>
    <w:rsid w:val="38AE09B1"/>
    <w:rsid w:val="395F185A"/>
    <w:rsid w:val="396106E4"/>
    <w:rsid w:val="3A2223F3"/>
    <w:rsid w:val="3A2E6140"/>
    <w:rsid w:val="3A321DAA"/>
    <w:rsid w:val="3A322EC1"/>
    <w:rsid w:val="3A52002D"/>
    <w:rsid w:val="3BFF238D"/>
    <w:rsid w:val="3C177780"/>
    <w:rsid w:val="3C1B2370"/>
    <w:rsid w:val="3C2D2B00"/>
    <w:rsid w:val="3C37572C"/>
    <w:rsid w:val="3C7B8456"/>
    <w:rsid w:val="3CC046D6"/>
    <w:rsid w:val="3CC341F2"/>
    <w:rsid w:val="3D393726"/>
    <w:rsid w:val="3D6F0567"/>
    <w:rsid w:val="3D9D1F07"/>
    <w:rsid w:val="3DAB17D3"/>
    <w:rsid w:val="3E021D6A"/>
    <w:rsid w:val="3E2E6E38"/>
    <w:rsid w:val="3E7569E0"/>
    <w:rsid w:val="3E976956"/>
    <w:rsid w:val="3F075817"/>
    <w:rsid w:val="3F0B460D"/>
    <w:rsid w:val="3F3A0F30"/>
    <w:rsid w:val="3F5068BC"/>
    <w:rsid w:val="3F6C2791"/>
    <w:rsid w:val="3F8756F4"/>
    <w:rsid w:val="3FB5EEF9"/>
    <w:rsid w:val="408B4299"/>
    <w:rsid w:val="40B83E91"/>
    <w:rsid w:val="413606A8"/>
    <w:rsid w:val="41C979B9"/>
    <w:rsid w:val="41E00614"/>
    <w:rsid w:val="4203191F"/>
    <w:rsid w:val="423B3057"/>
    <w:rsid w:val="427174BE"/>
    <w:rsid w:val="42A6374D"/>
    <w:rsid w:val="42D76C7C"/>
    <w:rsid w:val="42DD6902"/>
    <w:rsid w:val="43062189"/>
    <w:rsid w:val="43931461"/>
    <w:rsid w:val="43B753A5"/>
    <w:rsid w:val="43DB72E5"/>
    <w:rsid w:val="442073EE"/>
    <w:rsid w:val="44B0162A"/>
    <w:rsid w:val="4519434E"/>
    <w:rsid w:val="45A1795F"/>
    <w:rsid w:val="45BC6CA2"/>
    <w:rsid w:val="45DF3603"/>
    <w:rsid w:val="469A6FE4"/>
    <w:rsid w:val="46CBEFBC"/>
    <w:rsid w:val="46FC48AD"/>
    <w:rsid w:val="47030C84"/>
    <w:rsid w:val="470350FF"/>
    <w:rsid w:val="47152B0E"/>
    <w:rsid w:val="474E7DCE"/>
    <w:rsid w:val="47767A51"/>
    <w:rsid w:val="47A10846"/>
    <w:rsid w:val="48B646A1"/>
    <w:rsid w:val="48D16F09"/>
    <w:rsid w:val="48E22EC4"/>
    <w:rsid w:val="48F7696F"/>
    <w:rsid w:val="49054FC4"/>
    <w:rsid w:val="495917C6"/>
    <w:rsid w:val="49667651"/>
    <w:rsid w:val="498A2174"/>
    <w:rsid w:val="49C83E68"/>
    <w:rsid w:val="49EF16C2"/>
    <w:rsid w:val="4A2D016F"/>
    <w:rsid w:val="4B094738"/>
    <w:rsid w:val="4B5C3E90"/>
    <w:rsid w:val="4B883C32"/>
    <w:rsid w:val="4BD50ABE"/>
    <w:rsid w:val="4BF55108"/>
    <w:rsid w:val="4C687B84"/>
    <w:rsid w:val="4C9444D5"/>
    <w:rsid w:val="4C9B60A0"/>
    <w:rsid w:val="4CFD3DBF"/>
    <w:rsid w:val="4D27607B"/>
    <w:rsid w:val="4D37283B"/>
    <w:rsid w:val="4D3F6EC6"/>
    <w:rsid w:val="4D597A8E"/>
    <w:rsid w:val="4D6A28C8"/>
    <w:rsid w:val="4DD41FEC"/>
    <w:rsid w:val="4E382629"/>
    <w:rsid w:val="4E5B2058"/>
    <w:rsid w:val="4E9662CD"/>
    <w:rsid w:val="4E9B5FEF"/>
    <w:rsid w:val="4EA760CE"/>
    <w:rsid w:val="4F0A0A7E"/>
    <w:rsid w:val="4F3B46AC"/>
    <w:rsid w:val="500A342C"/>
    <w:rsid w:val="50334096"/>
    <w:rsid w:val="503B7F7D"/>
    <w:rsid w:val="508C2093"/>
    <w:rsid w:val="50DB3D34"/>
    <w:rsid w:val="50E8211E"/>
    <w:rsid w:val="51984A67"/>
    <w:rsid w:val="519C4558"/>
    <w:rsid w:val="51AE428B"/>
    <w:rsid w:val="521D02E0"/>
    <w:rsid w:val="52C06024"/>
    <w:rsid w:val="530C24F6"/>
    <w:rsid w:val="53163E96"/>
    <w:rsid w:val="53946B0A"/>
    <w:rsid w:val="53EA0E7E"/>
    <w:rsid w:val="53FB5734"/>
    <w:rsid w:val="541303D5"/>
    <w:rsid w:val="541B25F6"/>
    <w:rsid w:val="545C12FD"/>
    <w:rsid w:val="548C0E40"/>
    <w:rsid w:val="54C81F8A"/>
    <w:rsid w:val="54CF3C66"/>
    <w:rsid w:val="54EA0DA6"/>
    <w:rsid w:val="55172D03"/>
    <w:rsid w:val="554664C0"/>
    <w:rsid w:val="557B0928"/>
    <w:rsid w:val="55910D23"/>
    <w:rsid w:val="55C0458D"/>
    <w:rsid w:val="55D818D6"/>
    <w:rsid w:val="55E7340D"/>
    <w:rsid w:val="56173D09"/>
    <w:rsid w:val="561D3E56"/>
    <w:rsid w:val="5621459A"/>
    <w:rsid w:val="56384571"/>
    <w:rsid w:val="563FDC9F"/>
    <w:rsid w:val="5659610E"/>
    <w:rsid w:val="56D54068"/>
    <w:rsid w:val="56F87195"/>
    <w:rsid w:val="57211FE5"/>
    <w:rsid w:val="5731445B"/>
    <w:rsid w:val="575A31D4"/>
    <w:rsid w:val="57DB3813"/>
    <w:rsid w:val="58E32A6C"/>
    <w:rsid w:val="58F76517"/>
    <w:rsid w:val="59088591"/>
    <w:rsid w:val="59EE413D"/>
    <w:rsid w:val="5ADE3D9D"/>
    <w:rsid w:val="5AFB35D0"/>
    <w:rsid w:val="5B621D4F"/>
    <w:rsid w:val="5BDA31A3"/>
    <w:rsid w:val="5C3B496D"/>
    <w:rsid w:val="5D0D6309"/>
    <w:rsid w:val="5D752454"/>
    <w:rsid w:val="5D7C2C92"/>
    <w:rsid w:val="5DC43500"/>
    <w:rsid w:val="5E257683"/>
    <w:rsid w:val="5EF84D97"/>
    <w:rsid w:val="5F115E4F"/>
    <w:rsid w:val="5F188BFF"/>
    <w:rsid w:val="5F5521EA"/>
    <w:rsid w:val="5F7E4509"/>
    <w:rsid w:val="5FA42829"/>
    <w:rsid w:val="5FEFA147"/>
    <w:rsid w:val="600C49DF"/>
    <w:rsid w:val="604D2EC1"/>
    <w:rsid w:val="60E6759D"/>
    <w:rsid w:val="610C0686"/>
    <w:rsid w:val="61E67129"/>
    <w:rsid w:val="61FA48B8"/>
    <w:rsid w:val="621A6DD3"/>
    <w:rsid w:val="62775FD3"/>
    <w:rsid w:val="62EF2D14"/>
    <w:rsid w:val="630C2BBF"/>
    <w:rsid w:val="63147A45"/>
    <w:rsid w:val="63302D52"/>
    <w:rsid w:val="634E4F86"/>
    <w:rsid w:val="63666D2F"/>
    <w:rsid w:val="63FD5670"/>
    <w:rsid w:val="63FF2724"/>
    <w:rsid w:val="64DC3BDB"/>
    <w:rsid w:val="65076AE0"/>
    <w:rsid w:val="65242234"/>
    <w:rsid w:val="66552ACF"/>
    <w:rsid w:val="66591D86"/>
    <w:rsid w:val="66943F01"/>
    <w:rsid w:val="66A55805"/>
    <w:rsid w:val="66EA360D"/>
    <w:rsid w:val="66F81DD8"/>
    <w:rsid w:val="675D1C3B"/>
    <w:rsid w:val="677FB9BA"/>
    <w:rsid w:val="67A474D3"/>
    <w:rsid w:val="67DC629D"/>
    <w:rsid w:val="682C39F6"/>
    <w:rsid w:val="68DE083B"/>
    <w:rsid w:val="6957611C"/>
    <w:rsid w:val="695B21AB"/>
    <w:rsid w:val="69687332"/>
    <w:rsid w:val="69C15A70"/>
    <w:rsid w:val="69C86CB0"/>
    <w:rsid w:val="6A590E71"/>
    <w:rsid w:val="6ACE09AC"/>
    <w:rsid w:val="6AFD2513"/>
    <w:rsid w:val="6B3D425E"/>
    <w:rsid w:val="6B5B28CD"/>
    <w:rsid w:val="6B9F6CC6"/>
    <w:rsid w:val="6BF353D2"/>
    <w:rsid w:val="6CB30550"/>
    <w:rsid w:val="6CDC4DF5"/>
    <w:rsid w:val="6CE961FD"/>
    <w:rsid w:val="6CED2470"/>
    <w:rsid w:val="6D477CA6"/>
    <w:rsid w:val="6D6261FE"/>
    <w:rsid w:val="6D6535F8"/>
    <w:rsid w:val="6DDD692C"/>
    <w:rsid w:val="6E61500E"/>
    <w:rsid w:val="6EB79363"/>
    <w:rsid w:val="6F2D45E9"/>
    <w:rsid w:val="6F7044D6"/>
    <w:rsid w:val="6FB7F674"/>
    <w:rsid w:val="6FBBFE63"/>
    <w:rsid w:val="6FCF1B33"/>
    <w:rsid w:val="704F2A4D"/>
    <w:rsid w:val="705838E8"/>
    <w:rsid w:val="70664731"/>
    <w:rsid w:val="707F66EE"/>
    <w:rsid w:val="70F940F9"/>
    <w:rsid w:val="71280A54"/>
    <w:rsid w:val="712D6B22"/>
    <w:rsid w:val="71353C29"/>
    <w:rsid w:val="71502F94"/>
    <w:rsid w:val="717958C4"/>
    <w:rsid w:val="718E5302"/>
    <w:rsid w:val="719A1732"/>
    <w:rsid w:val="71B97781"/>
    <w:rsid w:val="721750DD"/>
    <w:rsid w:val="721E58E3"/>
    <w:rsid w:val="72715D6F"/>
    <w:rsid w:val="729D40CD"/>
    <w:rsid w:val="72A425CB"/>
    <w:rsid w:val="72A46970"/>
    <w:rsid w:val="72F314B4"/>
    <w:rsid w:val="72F90BB3"/>
    <w:rsid w:val="730A3131"/>
    <w:rsid w:val="731F04B2"/>
    <w:rsid w:val="73475E97"/>
    <w:rsid w:val="73532145"/>
    <w:rsid w:val="739A7D73"/>
    <w:rsid w:val="73B52DFF"/>
    <w:rsid w:val="73BF156E"/>
    <w:rsid w:val="73CC2623"/>
    <w:rsid w:val="73FCAC2A"/>
    <w:rsid w:val="742064CB"/>
    <w:rsid w:val="74402074"/>
    <w:rsid w:val="746D7236"/>
    <w:rsid w:val="751F3788"/>
    <w:rsid w:val="75310F90"/>
    <w:rsid w:val="75555FAC"/>
    <w:rsid w:val="755F74C6"/>
    <w:rsid w:val="759E59E2"/>
    <w:rsid w:val="75A86778"/>
    <w:rsid w:val="766F54E7"/>
    <w:rsid w:val="7682240C"/>
    <w:rsid w:val="7689013A"/>
    <w:rsid w:val="76BC4CB6"/>
    <w:rsid w:val="76E2EB90"/>
    <w:rsid w:val="77383CFC"/>
    <w:rsid w:val="77AE0291"/>
    <w:rsid w:val="77D7DF77"/>
    <w:rsid w:val="784E19C9"/>
    <w:rsid w:val="785F128C"/>
    <w:rsid w:val="78624319"/>
    <w:rsid w:val="788F3C1F"/>
    <w:rsid w:val="78B272CF"/>
    <w:rsid w:val="78F41CD4"/>
    <w:rsid w:val="795E0110"/>
    <w:rsid w:val="797E411A"/>
    <w:rsid w:val="79892D64"/>
    <w:rsid w:val="79FF3B0A"/>
    <w:rsid w:val="7A016D9E"/>
    <w:rsid w:val="7A0A49FD"/>
    <w:rsid w:val="7A4B3BF0"/>
    <w:rsid w:val="7A915F76"/>
    <w:rsid w:val="7AD26045"/>
    <w:rsid w:val="7B0F7299"/>
    <w:rsid w:val="7B51340D"/>
    <w:rsid w:val="7BA9149B"/>
    <w:rsid w:val="7BF79AA3"/>
    <w:rsid w:val="7C176405"/>
    <w:rsid w:val="7C611D6D"/>
    <w:rsid w:val="7C6133C6"/>
    <w:rsid w:val="7CB200BE"/>
    <w:rsid w:val="7CE7FCE6"/>
    <w:rsid w:val="7D020E63"/>
    <w:rsid w:val="7D12583B"/>
    <w:rsid w:val="7D16490F"/>
    <w:rsid w:val="7D337637"/>
    <w:rsid w:val="7D536F56"/>
    <w:rsid w:val="7D714B06"/>
    <w:rsid w:val="7D822C6D"/>
    <w:rsid w:val="7DFF35F5"/>
    <w:rsid w:val="7E893AC6"/>
    <w:rsid w:val="7EB97C47"/>
    <w:rsid w:val="7EBF18AD"/>
    <w:rsid w:val="7ED27D98"/>
    <w:rsid w:val="7EDDFCBD"/>
    <w:rsid w:val="7EEED450"/>
    <w:rsid w:val="7EF7D038"/>
    <w:rsid w:val="7EFED7FC"/>
    <w:rsid w:val="7F637F50"/>
    <w:rsid w:val="7F6BDCD6"/>
    <w:rsid w:val="7F833DB1"/>
    <w:rsid w:val="7F9DF3B6"/>
    <w:rsid w:val="7FBD7753"/>
    <w:rsid w:val="7FBEA531"/>
    <w:rsid w:val="7FBFD3A2"/>
    <w:rsid w:val="7FDEE555"/>
    <w:rsid w:val="7FF126DF"/>
    <w:rsid w:val="7FF7E791"/>
    <w:rsid w:val="7FFBADCF"/>
    <w:rsid w:val="7FFDAF00"/>
    <w:rsid w:val="7FFF298D"/>
    <w:rsid w:val="98FF5164"/>
    <w:rsid w:val="9D5FD124"/>
    <w:rsid w:val="9F797DBB"/>
    <w:rsid w:val="A5CCFFEB"/>
    <w:rsid w:val="A7DF9DBC"/>
    <w:rsid w:val="AD1EE363"/>
    <w:rsid w:val="B5DF33D0"/>
    <w:rsid w:val="BB8F9E40"/>
    <w:rsid w:val="BDFDDDC9"/>
    <w:rsid w:val="BE77AABE"/>
    <w:rsid w:val="BE7B5455"/>
    <w:rsid w:val="BF76C2F6"/>
    <w:rsid w:val="BFEBB420"/>
    <w:rsid w:val="CBCFC572"/>
    <w:rsid w:val="CEFE3FCC"/>
    <w:rsid w:val="CFEFD023"/>
    <w:rsid w:val="D4676167"/>
    <w:rsid w:val="D5FDAEDD"/>
    <w:rsid w:val="D7F9F67E"/>
    <w:rsid w:val="D94F82E2"/>
    <w:rsid w:val="D9E21DC2"/>
    <w:rsid w:val="DBBFB8D4"/>
    <w:rsid w:val="DBFF8CB0"/>
    <w:rsid w:val="DF776385"/>
    <w:rsid w:val="DFDE0C64"/>
    <w:rsid w:val="E5BCDA6F"/>
    <w:rsid w:val="E5EFC71E"/>
    <w:rsid w:val="E6F3AB34"/>
    <w:rsid w:val="EC374578"/>
    <w:rsid w:val="EDD73160"/>
    <w:rsid w:val="EEEDD44C"/>
    <w:rsid w:val="EF3F8770"/>
    <w:rsid w:val="EF5FEF8B"/>
    <w:rsid w:val="EFF5D2B6"/>
    <w:rsid w:val="F5BFEAFA"/>
    <w:rsid w:val="F5F78637"/>
    <w:rsid w:val="F6FF48E1"/>
    <w:rsid w:val="F7B3EF0B"/>
    <w:rsid w:val="F7EF51BB"/>
    <w:rsid w:val="FB2FB84B"/>
    <w:rsid w:val="FB8E7B6C"/>
    <w:rsid w:val="FBDDC7B9"/>
    <w:rsid w:val="FBF43947"/>
    <w:rsid w:val="FC6F28B1"/>
    <w:rsid w:val="FC7C9A2B"/>
    <w:rsid w:val="FDBD0A01"/>
    <w:rsid w:val="FEAF41D7"/>
    <w:rsid w:val="FEB9A64C"/>
    <w:rsid w:val="FEFF8C62"/>
    <w:rsid w:val="FFAB8BD1"/>
    <w:rsid w:val="FFBF29CF"/>
    <w:rsid w:val="FFE53C02"/>
    <w:rsid w:val="FFED1B79"/>
    <w:rsid w:val="FFF64477"/>
    <w:rsid w:val="FFF74203"/>
    <w:rsid w:val="FFFD7277"/>
    <w:rsid w:val="FFFF42CE"/>
    <w:rsid w:val="FFFFA7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9"/>
    <w:semiHidden/>
    <w:unhideWhenUsed/>
    <w:qFormat/>
    <w:uiPriority w:val="99"/>
    <w:pPr>
      <w:jc w:val="left"/>
    </w:pPr>
  </w:style>
  <w:style w:type="paragraph" w:styleId="7">
    <w:name w:val="Body Text"/>
    <w:basedOn w:val="1"/>
    <w:next w:val="1"/>
    <w:unhideWhenUsed/>
    <w:qFormat/>
    <w:uiPriority w:val="0"/>
    <w:pPr>
      <w:spacing w:after="120"/>
    </w:pPr>
  </w:style>
  <w:style w:type="paragraph" w:styleId="8">
    <w:name w:val="Body Text Indent"/>
    <w:basedOn w:val="1"/>
    <w:link w:val="27"/>
    <w:qFormat/>
    <w:uiPriority w:val="0"/>
    <w:pPr>
      <w:spacing w:line="200" w:lineRule="exact"/>
      <w:ind w:firstLine="301"/>
    </w:pPr>
    <w:rPr>
      <w:rFonts w:ascii="宋体" w:hAnsi="Courier New" w:eastAsia="宋体" w:cs="Times New Roman"/>
      <w:spacing w:val="-4"/>
      <w:sz w:val="18"/>
      <w:szCs w:val="20"/>
    </w:rPr>
  </w:style>
  <w:style w:type="paragraph" w:styleId="9">
    <w:name w:val="List 2"/>
    <w:basedOn w:val="1"/>
    <w:qFormat/>
    <w:uiPriority w:val="0"/>
    <w:pPr>
      <w:ind w:left="100" w:leftChars="200" w:hanging="200" w:hangingChars="200"/>
    </w:pPr>
  </w:style>
  <w:style w:type="paragraph" w:styleId="10">
    <w:name w:val="Plain Text"/>
    <w:basedOn w:val="1"/>
    <w:next w:val="1"/>
    <w:link w:val="28"/>
    <w:qFormat/>
    <w:uiPriority w:val="0"/>
    <w:rPr>
      <w:rFonts w:ascii="宋体" w:hAnsi="Courier New" w:eastAsia="宋体" w:cs="Times New Roman"/>
      <w:szCs w:val="20"/>
    </w:rPr>
  </w:style>
  <w:style w:type="paragraph" w:styleId="11">
    <w:name w:val="Date"/>
    <w:basedOn w:val="1"/>
    <w:next w:val="1"/>
    <w:link w:val="26"/>
    <w:unhideWhenUsed/>
    <w:qFormat/>
    <w:uiPriority w:val="0"/>
    <w:pPr>
      <w:ind w:left="100" w:leftChars="2500"/>
    </w:pPr>
  </w:style>
  <w:style w:type="paragraph" w:styleId="12">
    <w:name w:val="Balloon Text"/>
    <w:basedOn w:val="1"/>
    <w:link w:val="32"/>
    <w:semiHidden/>
    <w:unhideWhenUsed/>
    <w:qFormat/>
    <w:uiPriority w:val="99"/>
    <w:rPr>
      <w:sz w:val="18"/>
      <w:szCs w:val="18"/>
    </w:rPr>
  </w:style>
  <w:style w:type="paragraph" w:styleId="13">
    <w:name w:val="footer"/>
    <w:basedOn w:val="1"/>
    <w:link w:val="34"/>
    <w:qFormat/>
    <w:uiPriority w:val="99"/>
    <w:pPr>
      <w:tabs>
        <w:tab w:val="center" w:pos="4153"/>
        <w:tab w:val="right" w:pos="8306"/>
      </w:tabs>
      <w:snapToGrid w:val="0"/>
      <w:jc w:val="left"/>
    </w:pPr>
    <w:rPr>
      <w:rFonts w:ascii="宋体" w:hAnsi="Courier New" w:eastAsia="宋体" w:cs="Times New Roman"/>
      <w:sz w:val="18"/>
      <w:szCs w:val="20"/>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rFonts w:ascii="宋体" w:hAnsi="Courier New" w:eastAsia="宋体" w:cs="Times New Roman"/>
      <w:sz w:val="18"/>
      <w:szCs w:val="20"/>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index 1"/>
    <w:basedOn w:val="1"/>
    <w:next w:val="1"/>
    <w:semiHidden/>
    <w:qFormat/>
    <w:uiPriority w:val="0"/>
    <w:pPr>
      <w:spacing w:line="360" w:lineRule="auto"/>
    </w:pPr>
    <w:rPr>
      <w:rFonts w:ascii="宋体" w:hAnsi="宋体" w:eastAsia="宋体" w:cs="Times New Roman"/>
      <w:bCs/>
      <w:szCs w:val="21"/>
    </w:rPr>
  </w:style>
  <w:style w:type="paragraph" w:styleId="17">
    <w:name w:val="annotation subject"/>
    <w:basedOn w:val="6"/>
    <w:next w:val="6"/>
    <w:link w:val="30"/>
    <w:semiHidden/>
    <w:unhideWhenUsed/>
    <w:qFormat/>
    <w:uiPriority w:val="99"/>
    <w:rPr>
      <w:b/>
      <w:bCs/>
    </w:rPr>
  </w:style>
  <w:style w:type="character" w:styleId="20">
    <w:name w:val="Strong"/>
    <w:basedOn w:val="19"/>
    <w:qFormat/>
    <w:uiPriority w:val="22"/>
    <w:rPr>
      <w:b/>
    </w:rPr>
  </w:style>
  <w:style w:type="character" w:styleId="21">
    <w:name w:val="page number"/>
    <w:qFormat/>
    <w:uiPriority w:val="0"/>
    <w:rPr>
      <w:rFonts w:cs="Times New Roman"/>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paragraph" w:customStyle="1" w:styleId="24">
    <w:name w:val="表格文字"/>
    <w:basedOn w:val="1"/>
    <w:next w:val="7"/>
    <w:qFormat/>
    <w:uiPriority w:val="99"/>
    <w:pPr>
      <w:spacing w:before="25" w:after="25"/>
      <w:jc w:val="left"/>
    </w:pPr>
    <w:rPr>
      <w:bCs/>
      <w:spacing w:val="10"/>
      <w:kern w:val="0"/>
      <w:sz w:val="24"/>
    </w:rPr>
  </w:style>
  <w:style w:type="paragraph" w:customStyle="1" w:styleId="25">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character" w:customStyle="1" w:styleId="26">
    <w:name w:val="日期 Char"/>
    <w:basedOn w:val="19"/>
    <w:link w:val="11"/>
    <w:semiHidden/>
    <w:qFormat/>
    <w:uiPriority w:val="99"/>
  </w:style>
  <w:style w:type="character" w:customStyle="1" w:styleId="27">
    <w:name w:val="正文文本缩进 Char"/>
    <w:basedOn w:val="19"/>
    <w:link w:val="8"/>
    <w:qFormat/>
    <w:uiPriority w:val="0"/>
    <w:rPr>
      <w:rFonts w:ascii="宋体" w:hAnsi="Courier New" w:eastAsia="宋体" w:cs="Times New Roman"/>
      <w:spacing w:val="-4"/>
      <w:sz w:val="18"/>
      <w:szCs w:val="20"/>
    </w:rPr>
  </w:style>
  <w:style w:type="character" w:customStyle="1" w:styleId="28">
    <w:name w:val="纯文本 Char"/>
    <w:basedOn w:val="19"/>
    <w:link w:val="10"/>
    <w:qFormat/>
    <w:uiPriority w:val="0"/>
    <w:rPr>
      <w:rFonts w:ascii="宋体" w:hAnsi="Courier New" w:eastAsia="宋体" w:cs="Times New Roman"/>
      <w:szCs w:val="20"/>
    </w:rPr>
  </w:style>
  <w:style w:type="character" w:customStyle="1" w:styleId="29">
    <w:name w:val="批注文字 Char"/>
    <w:basedOn w:val="19"/>
    <w:link w:val="6"/>
    <w:semiHidden/>
    <w:qFormat/>
    <w:uiPriority w:val="99"/>
  </w:style>
  <w:style w:type="character" w:customStyle="1" w:styleId="30">
    <w:name w:val="批注主题 Char"/>
    <w:basedOn w:val="29"/>
    <w:link w:val="17"/>
    <w:semiHidden/>
    <w:qFormat/>
    <w:uiPriority w:val="99"/>
    <w:rPr>
      <w:b/>
      <w:bCs/>
    </w:rPr>
  </w:style>
  <w:style w:type="paragraph" w:customStyle="1" w:styleId="3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2">
    <w:name w:val="批注框文本 Char"/>
    <w:basedOn w:val="19"/>
    <w:link w:val="12"/>
    <w:semiHidden/>
    <w:qFormat/>
    <w:uiPriority w:val="99"/>
    <w:rPr>
      <w:sz w:val="18"/>
      <w:szCs w:val="18"/>
    </w:rPr>
  </w:style>
  <w:style w:type="paragraph" w:styleId="33">
    <w:name w:val="List Paragraph"/>
    <w:basedOn w:val="1"/>
    <w:qFormat/>
    <w:uiPriority w:val="34"/>
    <w:pPr>
      <w:ind w:firstLine="420" w:firstLineChars="200"/>
    </w:pPr>
  </w:style>
  <w:style w:type="character" w:customStyle="1" w:styleId="34">
    <w:name w:val="页脚 Char"/>
    <w:basedOn w:val="19"/>
    <w:link w:val="13"/>
    <w:qFormat/>
    <w:uiPriority w:val="99"/>
    <w:rPr>
      <w:rFonts w:ascii="宋体" w:hAnsi="Courier New" w:eastAsia="宋体" w:cs="Times New Roman"/>
      <w:sz w:val="18"/>
      <w:szCs w:val="20"/>
    </w:rPr>
  </w:style>
  <w:style w:type="character" w:customStyle="1" w:styleId="35">
    <w:name w:val="页眉 Char"/>
    <w:basedOn w:val="19"/>
    <w:link w:val="14"/>
    <w:qFormat/>
    <w:uiPriority w:val="99"/>
    <w:rPr>
      <w:rFonts w:ascii="宋体" w:hAnsi="Courier New" w:eastAsia="宋体" w:cs="Times New Roman"/>
      <w:sz w:val="18"/>
      <w:szCs w:val="20"/>
    </w:rPr>
  </w:style>
  <w:style w:type="paragraph" w:customStyle="1" w:styleId="36">
    <w:name w:val="List Paragraph1"/>
    <w:basedOn w:val="1"/>
    <w:qFormat/>
    <w:uiPriority w:val="0"/>
    <w:pPr>
      <w:ind w:firstLine="420" w:firstLineChars="200"/>
    </w:pPr>
    <w:rPr>
      <w:rFonts w:ascii="Calibri" w:hAnsi="Calibri"/>
    </w:rPr>
  </w:style>
  <w:style w:type="paragraph" w:customStyle="1" w:styleId="37">
    <w:name w:val="Body text|1"/>
    <w:basedOn w:val="1"/>
    <w:qFormat/>
    <w:uiPriority w:val="0"/>
    <w:pPr>
      <w:spacing w:after="220"/>
    </w:pPr>
    <w:rPr>
      <w:rFonts w:ascii="宋体" w:hAnsi="宋体" w:eastAsia="宋体" w:cs="宋体"/>
      <w:sz w:val="20"/>
      <w:szCs w:val="20"/>
      <w:lang w:val="zh-TW" w:eastAsia="zh-TW" w:bidi="zh-TW"/>
    </w:rPr>
  </w:style>
  <w:style w:type="paragraph" w:customStyle="1" w:styleId="38">
    <w:name w:val="Body text|2"/>
    <w:basedOn w:val="1"/>
    <w:qFormat/>
    <w:uiPriority w:val="0"/>
    <w:pPr>
      <w:spacing w:after="110"/>
    </w:pPr>
    <w:rPr>
      <w:sz w:val="18"/>
      <w:szCs w:val="18"/>
    </w:rPr>
  </w:style>
  <w:style w:type="paragraph" w:customStyle="1" w:styleId="39">
    <w:name w:val="段"/>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40">
    <w:name w:val="NormalCharacter"/>
    <w:semiHidden/>
    <w:qFormat/>
    <w:uiPriority w:val="0"/>
  </w:style>
  <w:style w:type="paragraph" w:customStyle="1" w:styleId="41">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42">
    <w:name w:val="默认段落字体 Para Char Char Char Char Char Char Char Char Char1 Char Char Char Char"/>
    <w:basedOn w:val="1"/>
    <w:qFormat/>
    <w:uiPriority w:val="0"/>
    <w:rPr>
      <w:rFonts w:ascii="Tahoma" w:hAnsi="Tahoma"/>
      <w:sz w:val="24"/>
      <w:szCs w:val="20"/>
    </w:rPr>
  </w:style>
  <w:style w:type="paragraph" w:customStyle="1" w:styleId="43">
    <w:name w:val="Default"/>
    <w:next w:val="4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Body 1"/>
    <w:qFormat/>
    <w:uiPriority w:val="0"/>
    <w:pPr>
      <w:outlineLvl w:val="0"/>
    </w:pPr>
    <w:rPr>
      <w:rFonts w:ascii="Helvetica" w:hAnsi="Helvetica" w:eastAsia="Arial Unicode MS" w:cs="Times New Roman"/>
      <w:b/>
      <w:color w:val="000000"/>
      <w:kern w:val="0"/>
      <w:sz w:val="20"/>
      <w:szCs w:val="20"/>
      <w:u w:color="000000"/>
      <w:lang w:val="en-US" w:eastAsia="zh-CN" w:bidi="ar-SA"/>
    </w:rPr>
  </w:style>
  <w:style w:type="character" w:customStyle="1" w:styleId="45">
    <w:name w:val="ca-12"/>
    <w:qFormat/>
    <w:uiPriority w:val="0"/>
    <w:rPr>
      <w:rFonts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28</Pages>
  <Words>14648</Words>
  <Characters>15297</Characters>
  <Lines>60</Lines>
  <Paragraphs>17</Paragraphs>
  <TotalTime>234</TotalTime>
  <ScaleCrop>false</ScaleCrop>
  <LinksUpToDate>false</LinksUpToDate>
  <CharactersWithSpaces>16093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2020-04-28T01:17:00Z</dcterms:created>
  <dc:creator>user</dc:creator>
  <cp:lastModifiedBy>levisi</cp:lastModifiedBy>
  <cp:lastPrinted>2023-04-14T00:11:00Z</cp:lastPrinted>
  <dcterms:modified xsi:type="dcterms:W3CDTF">2025-03-14T08:14:01Z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57ACBC3A0C5A48AAA943B8E58A22F154_13</vt:lpwstr>
  </property>
  <property fmtid="{D5CDD505-2E9C-101B-9397-08002B2CF9AE}" pid="4" name="KSOTemplateDocerSaveRecord">
    <vt:lpwstr>eyJoZGlkIjoiMWQwMWE4NTU4YzlmNjc2Zjk2MzFiODczNTJmOTg0YjgiLCJ1c2VySWQiOiI0MzI4NDU5OTYifQ==</vt:lpwstr>
  </property>
</Properties>
</file>