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9"/>
        <w:keepNext w:val="false"/>
        <w:keepLines w:val="false"/>
        <w:pageBreakBefore w:val="false"/>
        <w:widowControl w:val="false"/>
        <w:tabs>
          <w:tab w:val="left" w:leader="none" w:pos="840"/>
          <w:tab w:val="right" w:leader="dot" w:pos="9117"/>
        </w:tabs>
        <w:kinsoku/>
        <w:wordWrap/>
        <w:overflowPunct/>
        <w:topLinePunct w:val="false"/>
        <w:autoSpaceDE/>
        <w:autoSpaceDN/>
        <w:bidi w:val="false"/>
        <w:adjustRightInd/>
        <w:snapToGrid/>
        <w:spacing w:lineRule="auto" w:line="360"/>
        <w:textAlignment w:val="auto"/>
        <w:rPr>
          <w:rFonts w:ascii="宋体" w:cs="宋体" w:hAnsi="宋体" w:hint="eastAsia"/>
          <w:color w:val="000000"/>
          <w:sz w:val="24"/>
        </w:rPr>
      </w:pPr>
      <w:r>
        <w:rPr>
          <w:rFonts w:ascii="宋体" w:cs="宋体" w:hAnsi="宋体" w:hint="eastAsia"/>
          <w:color w:val="000000"/>
          <w:sz w:val="24"/>
        </w:rPr>
        <w:t>现场管理考核</w:t>
      </w:r>
    </w:p>
    <w:tbl>
      <w:tblPr>
        <w:tblStyle w:val="style105"/>
        <w:tblW w:w="9049" w:type="dxa"/>
        <w:tblInd w:w="96" w:type="dxa"/>
        <w:tblCellMar>
          <w:top w:w="0" w:type="dxa"/>
          <w:left w:w="108" w:type="dxa"/>
          <w:bottom w:w="0" w:type="dxa"/>
          <w:right w:w="108" w:type="dxa"/>
        </w:tblCellMar>
      </w:tblPr>
      <w:tblGrid>
        <w:gridCol w:w="641"/>
        <w:gridCol w:w="6111"/>
        <w:gridCol w:w="2298"/>
      </w:tblGrid>
      <w:tr>
        <w:trPr>
          <w:trHeight w:val="660" w:hRule="atLeast"/>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序号</w:t>
            </w:r>
          </w:p>
        </w:tc>
        <w:tc>
          <w:tcPr>
            <w:tcW w:w="6129"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考核项目</w:t>
            </w:r>
          </w:p>
        </w:tc>
        <w:tc>
          <w:tcPr>
            <w:tcW w:w="2300" w:type="dxa"/>
            <w:tcBorders>
              <w:top w:val="single" w:sz="4" w:space="0" w:color="auto"/>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考核标准</w:t>
            </w:r>
          </w:p>
        </w:tc>
      </w:tr>
      <w:tr>
        <w:tblPrEx/>
        <w:trPr>
          <w:trHeight w:val="660" w:hRule="atLeast"/>
        </w:trPr>
        <w:tc>
          <w:tcPr>
            <w:tcW w:w="90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b/>
                <w:bCs/>
                <w:kern w:val="0"/>
                <w:szCs w:val="21"/>
              </w:rPr>
              <w:t>第一部分  安全管理</w:t>
            </w:r>
          </w:p>
        </w:tc>
      </w:tr>
      <w:tr>
        <w:tblPrEx/>
        <w:trPr>
          <w:trHeight w:val="6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一</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安全管理</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6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发生生产安全事故</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甲方考核10-50万元/人/次，甲方有权终止合同，政府调查考核另执行</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发生一类障碍或者轻伤事件</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考核3--10万元/次</w:t>
            </w:r>
          </w:p>
        </w:tc>
      </w:tr>
      <w:tr>
        <w:tblPrEx/>
        <w:trPr>
          <w:trHeight w:val="75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发生</w:t>
            </w:r>
            <w:r>
              <w:rPr>
                <w:rFonts w:ascii="Times New Roman" w:hAnsi="Times New Roman"/>
              </w:rPr>
              <w:t>二类障碍或</w:t>
            </w:r>
            <w:r>
              <w:rPr>
                <w:rFonts w:ascii="Times New Roman" w:hAnsi="Times New Roman"/>
                <w:color w:val="000000"/>
                <w:szCs w:val="21"/>
              </w:rPr>
              <w:t>严重未遂事件</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考核1--3万元/次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4</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发生异常事件</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考核0.5--1万元/次</w:t>
            </w:r>
          </w:p>
        </w:tc>
      </w:tr>
      <w:tr>
        <w:tblPrEx/>
        <w:trPr>
          <w:trHeight w:val="60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5</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发生一般未遂事件</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考核0.3--0.5万元/次</w:t>
            </w:r>
          </w:p>
        </w:tc>
      </w:tr>
      <w:tr>
        <w:tblPrEx/>
        <w:trPr>
          <w:trHeight w:val="47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6</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发生安全不合格事件不及时汇报，或隐瞒事实真相</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5000～10000元/次（事故责任另计）</w:t>
            </w:r>
          </w:p>
        </w:tc>
      </w:tr>
      <w:tr>
        <w:tblPrEx/>
        <w:trPr>
          <w:trHeight w:val="60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7</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不符合安全规程和甲方安全、文明管理体系、监察体系的其它事项</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kern w:val="0"/>
                <w:szCs w:val="21"/>
              </w:rPr>
            </w:pPr>
            <w:r>
              <w:rPr>
                <w:rFonts w:ascii="Times New Roman" w:hAnsi="Times New Roman"/>
                <w:color w:val="000000"/>
                <w:szCs w:val="21"/>
              </w:rPr>
              <w:t>按甲方相关管理制度要求执行</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二</w:t>
            </w:r>
          </w:p>
        </w:tc>
        <w:tc>
          <w:tcPr>
            <w:tcW w:w="8429"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一般作业违章</w:t>
            </w:r>
          </w:p>
        </w:tc>
      </w:tr>
      <w:tr>
        <w:tblPrEx/>
        <w:trPr>
          <w:trHeight w:val="1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宋体" w:cs="宋体" w:hAnsi="宋体" w:hint="eastAsia"/>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宋体" w:cs="宋体" w:hAnsi="宋体" w:hint="eastAsia"/>
                <w:kern w:val="0"/>
                <w:szCs w:val="21"/>
              </w:rPr>
              <w:t>工作前，没有对工作人员进行安全、技术交底和保存记录</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考核2000元/次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宋体" w:cs="宋体" w:hAnsi="宋体" w:hint="eastAsia"/>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进入生产现场严禁穿拖鞋、凉鞋、高跟鞋、带钉的鞋，严禁打赤膊及其他违章着装，违者责令退出现场并考核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考核500-2000元/人次</w:t>
            </w:r>
          </w:p>
        </w:tc>
      </w:tr>
      <w:tr>
        <w:tblPrEx/>
        <w:trPr>
          <w:trHeight w:val="2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宋体" w:cs="宋体" w:hAnsi="宋体" w:hint="eastAsia"/>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未进行三级安全教育或考试不合格人员进入生产现场作业</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考核2000元/人次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宋体" w:cs="宋体" w:hAnsi="宋体" w:hint="eastAsia"/>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酒后作业</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考核2000元/人次</w:t>
            </w:r>
          </w:p>
        </w:tc>
      </w:tr>
      <w:tr>
        <w:tblPrEx/>
        <w:trPr>
          <w:trHeight w:val="23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未按要求提供各种资质材料和证明文件</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szCs w:val="21"/>
              </w:rPr>
            </w:pPr>
            <w:r>
              <w:rPr>
                <w:rFonts w:ascii="宋体" w:cs="宋体" w:hAnsi="宋体" w:hint="eastAsia"/>
                <w:kern w:val="0"/>
                <w:szCs w:val="21"/>
              </w:rPr>
              <w:t>考核500-1000元/次</w:t>
            </w:r>
          </w:p>
        </w:tc>
      </w:tr>
      <w:tr>
        <w:tblPrEx/>
        <w:trPr>
          <w:trHeight w:val="43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6</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szCs w:val="24"/>
              </w:rPr>
            </w:pPr>
            <w:r>
              <w:rPr>
                <w:rFonts w:ascii="宋体" w:cs="宋体" w:hAnsi="宋体" w:hint="eastAsia"/>
              </w:rPr>
              <w:t>现场作业人员未掌握与作业相应的安全知识和技能，不会使用相应的安全工器具</w:t>
            </w:r>
          </w:p>
        </w:tc>
        <w:tc>
          <w:tcPr>
            <w:tcW w:w="2300"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宋体" w:cs="宋体" w:hAnsi="宋体" w:hint="eastAsia"/>
                <w:kern w:val="0"/>
                <w:szCs w:val="21"/>
              </w:rPr>
              <w:t>考核</w:t>
            </w:r>
            <w:r>
              <w:rPr>
                <w:rFonts w:ascii="宋体" w:cs="宋体" w:hAnsi="宋体" w:hint="eastAsia"/>
              </w:rPr>
              <w:t>1000-3000元/次</w:t>
            </w:r>
          </w:p>
        </w:tc>
      </w:tr>
      <w:tr>
        <w:tblPrEx/>
        <w:trPr>
          <w:trHeight w:val="1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7</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szCs w:val="24"/>
              </w:rPr>
            </w:pPr>
            <w:r>
              <w:rPr>
                <w:rFonts w:ascii="宋体" w:cs="宋体" w:hAnsi="宋体" w:hint="eastAsia"/>
              </w:rPr>
              <w:t>危化品使用人员未掌握化学品安全技术说明书（MSDS）</w:t>
            </w:r>
          </w:p>
        </w:tc>
        <w:tc>
          <w:tcPr>
            <w:tcW w:w="2300" w:type="dxa"/>
            <w:tcBorders>
              <w:top w:val="nil"/>
              <w:left w:val="nil"/>
              <w:bottom w:val="single" w:sz="4" w:space="0" w:color="auto"/>
              <w:right w:val="single" w:sz="4" w:space="0" w:color="auto"/>
            </w:tcBorders>
            <w:shd w:val="clear" w:color="auto" w:fill="auto"/>
          </w:tcPr>
          <w:p>
            <w:pPr>
              <w:pStyle w:val="style0"/>
              <w:widowControl/>
              <w:jc w:val="left"/>
              <w:rPr>
                <w:rFonts w:ascii="Times New Roman" w:hAnsi="Times New Roman"/>
                <w:kern w:val="0"/>
                <w:szCs w:val="21"/>
              </w:rPr>
            </w:pPr>
            <w:r>
              <w:rPr>
                <w:rFonts w:ascii="宋体" w:cs="宋体" w:hAnsi="宋体" w:hint="eastAsia"/>
                <w:kern w:val="0"/>
                <w:szCs w:val="21"/>
              </w:rPr>
              <w:t>考核</w:t>
            </w:r>
            <w:r>
              <w:rPr>
                <w:rFonts w:ascii="宋体" w:cs="宋体" w:hAnsi="宋体" w:hint="eastAsia"/>
              </w:rPr>
              <w:t>500元/次</w:t>
            </w:r>
          </w:p>
        </w:tc>
      </w:tr>
      <w:tr>
        <w:tblPrEx/>
        <w:trPr>
          <w:trHeight w:val="25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宋体" w:cs="宋体" w:hAnsi="宋体" w:hint="eastAsia"/>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szCs w:val="21"/>
              </w:rPr>
            </w:pPr>
            <w:r>
              <w:rPr>
                <w:rFonts w:ascii="宋体" w:cs="宋体" w:hAnsi="宋体" w:hint="eastAsia"/>
                <w:kern w:val="0"/>
                <w:szCs w:val="21"/>
              </w:rPr>
              <w:t>人员着装不统一，工作服、安全帽等未按要求制作统一的单位明显标志</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szCs w:val="21"/>
              </w:rPr>
            </w:pPr>
            <w:r>
              <w:rPr>
                <w:rFonts w:ascii="宋体" w:cs="宋体" w:hAnsi="宋体" w:hint="eastAsia"/>
                <w:kern w:val="0"/>
                <w:szCs w:val="21"/>
              </w:rPr>
              <w:t>考核1000元/次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szCs w:val="21"/>
              </w:rPr>
            </w:pPr>
            <w:r>
              <w:rPr>
                <w:rFonts w:ascii="宋体" w:cs="宋体" w:hAnsi="宋体" w:hint="eastAsia"/>
                <w:kern w:val="0"/>
                <w:szCs w:val="21"/>
              </w:rPr>
              <w:t>作业区域无有效隔离或未做警示标识</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szCs w:val="21"/>
              </w:rPr>
            </w:pPr>
            <w:r>
              <w:rPr>
                <w:rFonts w:ascii="宋体" w:cs="宋体" w:hAnsi="宋体" w:hint="eastAsia"/>
                <w:kern w:val="0"/>
                <w:szCs w:val="21"/>
              </w:rPr>
              <w:t>考核1000元/次</w:t>
            </w:r>
          </w:p>
        </w:tc>
      </w:tr>
      <w:tr>
        <w:tblPrEx/>
        <w:trPr>
          <w:trHeight w:val="25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 w:val="22"/>
              </w:rPr>
            </w:pPr>
            <w:r>
              <w:rPr>
                <w:rFonts w:ascii="宋体" w:cs="宋体" w:hAnsi="宋体" w:hint="eastAsia"/>
                <w:kern w:val="0"/>
                <w:sz w:val="22"/>
              </w:rPr>
              <w:t>10</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违反厂内规定，擅动生产设备、设施、建筑物、警告牌等</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宋体" w:cs="宋体" w:hAnsi="宋体" w:hint="eastAsia"/>
                <w:kern w:val="0"/>
                <w:szCs w:val="21"/>
              </w:rPr>
              <w:t>考核1000-10000元/次</w:t>
            </w:r>
          </w:p>
        </w:tc>
      </w:tr>
      <w:tr>
        <w:tblPrEx/>
        <w:trPr>
          <w:trHeight w:val="2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 w:val="22"/>
              </w:rPr>
            </w:pPr>
            <w:r>
              <w:rPr>
                <w:rFonts w:ascii="宋体" w:cs="宋体" w:hAnsi="宋体" w:hint="eastAsia"/>
                <w:kern w:val="0"/>
                <w:sz w:val="22"/>
              </w:rPr>
              <w:t>11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szCs w:val="21"/>
              </w:rPr>
            </w:pPr>
            <w:r>
              <w:rPr>
                <w:rFonts w:ascii="宋体" w:cs="宋体" w:hAnsi="宋体" w:hint="eastAsia"/>
                <w:kern w:val="0"/>
                <w:szCs w:val="21"/>
              </w:rPr>
              <w:t>人员着装不统一，工作服、安全帽等未按要求制作统一的单位明显标志</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szCs w:val="21"/>
              </w:rPr>
            </w:pPr>
            <w:r>
              <w:rPr>
                <w:rFonts w:ascii="宋体" w:cs="宋体" w:hAnsi="宋体" w:hint="eastAsia"/>
                <w:kern w:val="0"/>
                <w:szCs w:val="21"/>
              </w:rPr>
              <w:t>考核1000元/次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12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检修作业现场严格定制摆放，做到“三无”（无油迹、无水、无灰），“三齐”（拆下零部件放整齐、检修机具放整齐、材料备品放整齐），“三不乱”（电线不乱拉，管路不乱放，垃圾不乱丢），“三不落地”（使用工具、量具不落地，拆下来的零件不落地，污油脏物不落地），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13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rPr>
            </w:pPr>
            <w:r>
              <w:rPr>
                <w:rFonts w:ascii="宋体" w:cs="宋体" w:hAnsi="宋体" w:hint="eastAsia"/>
                <w:kern w:val="0"/>
                <w:szCs w:val="21"/>
              </w:rPr>
              <w:t>在平台格栅上进行检修作业，作业区域必须铺设橡胶垫或铁板，以防零部件掉落伤人或损坏，违者按要求考核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14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检修作业应及时清理被检设备和检修现场，保持作业区域和生产场所的清洁、文明状态。每天检修完毕后将废料、废液、废布等垃圾整理运走，区域内应无灰尘、无垃圾、无污油、无杂物、无散乱零件、处理检修废料时，不能将化学药品、废油等对环境有危害的物品随意处置，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考核1000—2000元/次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宋体" w:cs="宋体" w:hAnsi="宋体" w:hint="eastAsia"/>
                <w:kern w:val="0"/>
                <w:sz w:val="22"/>
              </w:rPr>
              <w:t>15</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4"/>
              </w:rPr>
            </w:pPr>
            <w:r>
              <w:rPr>
                <w:rFonts w:ascii="宋体" w:cs="宋体" w:hAnsi="宋体" w:hint="eastAsia"/>
                <w:kern w:val="0"/>
                <w:szCs w:val="21"/>
              </w:rPr>
              <w:t>检修过程中应做好现场成品的保护工作，如管道保温、路沿石、沟盖板、地面、墙面等，</w:t>
            </w:r>
            <w:r>
              <w:rPr>
                <w:rStyle w:val="style4102"/>
                <w:rFonts w:hint="default"/>
                <w:color w:val="auto"/>
              </w:rPr>
              <w:t>不允许在</w:t>
            </w:r>
            <w:r>
              <w:rPr>
                <w:rStyle w:val="style4103"/>
                <w:rFonts w:ascii="宋体" w:cs="宋体" w:hAnsi="宋体" w:hint="eastAsia"/>
              </w:rPr>
              <w:t>PVC</w:t>
            </w:r>
            <w:r>
              <w:rPr>
                <w:rStyle w:val="style4102"/>
                <w:rFonts w:hint="default"/>
                <w:color w:val="auto"/>
              </w:rPr>
              <w:t>地面、油漆地面上拖、拽、滚重物（如氧气瓶、乙炔瓶、电焊机、油桶等）；同时，在此类地面上搭设脚手架时，要垫好木板、橡皮等物，防止损坏地面，违者按要求考核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考核1000—2000元/次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16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保温拆除作业要求轻拆轻装，随拆随清，做到不扬灰、不乱堆乱撒。在脚手架和格栅上施工的，应在脚手架和格栅平台上铺好彩条布，防止碎保温落到下方，违者按要求考核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考核1000元/次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17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宋体" w:cs="宋体" w:eastAsia="宋体" w:hAnsi="宋体" w:hint="eastAsia"/>
                <w:kern w:val="2"/>
                <w:sz w:val="21"/>
                <w:szCs w:val="24"/>
                <w:lang w:val="en-US" w:bidi="ar-SA" w:eastAsia="zh-CN"/>
              </w:rPr>
            </w:pPr>
            <w:r>
              <w:rPr>
                <w:rFonts w:ascii="宋体" w:cs="宋体" w:hAnsi="宋体" w:hint="eastAsia"/>
                <w:kern w:val="0"/>
                <w:szCs w:val="21"/>
              </w:rPr>
              <w:t>固废、危废未按要求处置，随意倾倒在生产现场或混入生活垃圾池</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宋体" w:cs="宋体" w:eastAsia="宋体" w:hAnsi="宋体" w:hint="eastAsia"/>
                <w:kern w:val="0"/>
                <w:sz w:val="21"/>
                <w:szCs w:val="21"/>
                <w:lang w:val="en-US" w:eastAsia="zh-CN"/>
              </w:rPr>
            </w:pPr>
            <w:r>
              <w:rPr>
                <w:rFonts w:ascii="宋体" w:cs="宋体" w:hAnsi="宋体" w:hint="eastAsia"/>
                <w:kern w:val="0"/>
                <w:szCs w:val="21"/>
              </w:rPr>
              <w:t>考核2000-5000元/次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18</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任意倾倒垃圾或垃圾池堆满垃圾未及时清走</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考核1000元/次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19</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宋体" w:cs="宋体" w:eastAsia="宋体" w:hAnsi="宋体" w:hint="eastAsia"/>
                <w:kern w:val="0"/>
                <w:sz w:val="21"/>
                <w:szCs w:val="21"/>
                <w:lang w:val="en-US" w:bidi="ar-SA" w:eastAsia="zh-CN"/>
              </w:rPr>
            </w:pPr>
            <w:r>
              <w:rPr>
                <w:rFonts w:ascii="宋体" w:cs="宋体" w:hAnsi="宋体" w:hint="eastAsia"/>
                <w:kern w:val="0"/>
                <w:szCs w:val="21"/>
              </w:rPr>
              <w:t>作业区域无有效隔离或未做警示标识</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宋体" w:cs="宋体" w:eastAsia="宋体" w:hAnsi="宋体" w:hint="eastAsia"/>
                <w:kern w:val="0"/>
                <w:sz w:val="21"/>
                <w:szCs w:val="21"/>
                <w:lang w:val="en-US" w:bidi="ar-SA" w:eastAsia="zh-CN"/>
              </w:rPr>
            </w:pPr>
            <w:r>
              <w:rPr>
                <w:rFonts w:ascii="宋体" w:cs="宋体" w:hAnsi="宋体" w:hint="eastAsia"/>
                <w:kern w:val="0"/>
                <w:szCs w:val="21"/>
              </w:rPr>
              <w:t>考核1000元/次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20</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在生产检修现场随意大小便</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考核1000元/次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1"/>
                <w:szCs w:val="21"/>
                <w:lang w:val="en-US" w:eastAsia="zh-CN"/>
              </w:rPr>
            </w:pPr>
            <w:r>
              <w:rPr>
                <w:rFonts w:ascii="宋体" w:cs="宋体" w:hAnsi="宋体" w:hint="eastAsia"/>
                <w:kern w:val="0"/>
                <w:sz w:val="22"/>
              </w:rPr>
              <w:t>21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在生产区禁烟场所吸烟</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考核1000元/人次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22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在生产区禁烟场所地面有烟头</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考核200元/个</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2"/>
                <w:szCs w:val="22"/>
                <w:lang w:val="en-US" w:eastAsia="zh-CN"/>
              </w:rPr>
            </w:pPr>
            <w:r>
              <w:rPr>
                <w:rFonts w:ascii="宋体" w:cs="宋体" w:hAnsi="宋体" w:hint="eastAsia"/>
                <w:kern w:val="0"/>
                <w:sz w:val="22"/>
              </w:rPr>
              <w:t>23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违反厂内规定，擅动生产设备、设施、建筑物、警告牌等</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eastAsia="宋体" w:hAnsi="宋体" w:hint="eastAsia"/>
                <w:kern w:val="2"/>
                <w:sz w:val="21"/>
                <w:szCs w:val="21"/>
                <w:lang w:val="en-US" w:bidi="ar-SA" w:eastAsia="zh-CN"/>
              </w:rPr>
            </w:pPr>
            <w:r>
              <w:rPr>
                <w:rFonts w:ascii="宋体" w:cs="宋体" w:hAnsi="宋体" w:hint="eastAsia"/>
                <w:kern w:val="0"/>
                <w:szCs w:val="21"/>
              </w:rPr>
              <w:t>考核1000-10000元/次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1"/>
                <w:szCs w:val="21"/>
                <w:lang w:val="en-US" w:eastAsia="zh-CN"/>
              </w:rPr>
            </w:pPr>
            <w:r>
              <w:rPr>
                <w:rFonts w:ascii="宋体" w:cs="宋体" w:hAnsi="宋体" w:hint="eastAsia"/>
                <w:kern w:val="0"/>
                <w:sz w:val="22"/>
              </w:rPr>
              <w:t>24</w:t>
            </w:r>
          </w:p>
        </w:tc>
        <w:tc>
          <w:tcPr>
            <w:tcW w:w="6129"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0"/>
                <w:sz w:val="21"/>
                <w:szCs w:val="21"/>
                <w:lang w:val="en-US" w:bidi="ar-SA" w:eastAsia="zh-CN"/>
              </w:rPr>
            </w:pPr>
            <w:r>
              <w:rPr>
                <w:rFonts w:ascii="宋体" w:cs="宋体" w:hAnsi="宋体" w:hint="eastAsia"/>
              </w:rPr>
              <w:t>机器的转动部分或传动机构未装有防护罩或其他防护设备（如栅栏），露出的轴端未设护盖，车床、钻床等机械设备无保安装置</w:t>
            </w:r>
          </w:p>
        </w:tc>
        <w:tc>
          <w:tcPr>
            <w:tcW w:w="2300"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0"/>
                <w:sz w:val="21"/>
                <w:szCs w:val="21"/>
                <w:lang w:val="en-US" w:bidi="ar-SA" w:eastAsia="zh-CN"/>
              </w:rPr>
            </w:pPr>
            <w:r>
              <w:rPr>
                <w:rFonts w:ascii="宋体" w:cs="宋体" w:hAnsi="宋体" w:hint="eastAsia"/>
                <w:kern w:val="0"/>
                <w:szCs w:val="21"/>
              </w:rPr>
              <w:t>考核</w:t>
            </w:r>
            <w:r>
              <w:rPr>
                <w:rFonts w:ascii="宋体" w:cs="宋体" w:hAnsi="宋体" w:hint="eastAsia"/>
              </w:rPr>
              <w:t>1000-3000元/次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1"/>
                <w:szCs w:val="21"/>
                <w:lang w:val="en-US" w:eastAsia="zh-CN"/>
              </w:rPr>
            </w:pPr>
            <w:r>
              <w:rPr>
                <w:rFonts w:ascii="宋体" w:cs="宋体" w:hAnsi="宋体" w:hint="eastAsia"/>
                <w:kern w:val="0"/>
                <w:sz w:val="22"/>
              </w:rPr>
              <w:t>25</w:t>
            </w:r>
          </w:p>
        </w:tc>
        <w:tc>
          <w:tcPr>
            <w:tcW w:w="6129"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2"/>
                <w:sz w:val="21"/>
                <w:szCs w:val="22"/>
                <w:lang w:val="en-US" w:bidi="ar-SA" w:eastAsia="zh-CN"/>
              </w:rPr>
            </w:pPr>
            <w:r>
              <w:rPr>
                <w:rFonts w:ascii="宋体" w:cs="宋体" w:hAnsi="宋体" w:hint="eastAsia"/>
              </w:rPr>
              <w:t>在机械的转动、传动部分保护罩上坐、立、行走，或用手触摸运转中机械的转动、传动、滑动部分</w:t>
            </w:r>
          </w:p>
        </w:tc>
        <w:tc>
          <w:tcPr>
            <w:tcW w:w="2300"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0"/>
                <w:sz w:val="21"/>
                <w:szCs w:val="21"/>
                <w:lang w:val="en-US" w:bidi="ar-SA" w:eastAsia="zh-CN"/>
              </w:rPr>
            </w:pPr>
            <w:r>
              <w:rPr>
                <w:rFonts w:ascii="宋体" w:cs="宋体" w:hAnsi="宋体" w:hint="eastAsia"/>
                <w:kern w:val="0"/>
                <w:szCs w:val="21"/>
              </w:rPr>
              <w:t>考核</w:t>
            </w:r>
            <w:r>
              <w:rPr>
                <w:rFonts w:ascii="宋体" w:cs="宋体" w:hAnsi="宋体" w:hint="eastAsia"/>
              </w:rPr>
              <w:t>1000-3000元/次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1"/>
                <w:szCs w:val="21"/>
                <w:lang w:val="en-US" w:eastAsia="zh-CN"/>
              </w:rPr>
            </w:pPr>
            <w:r>
              <w:rPr>
                <w:rFonts w:ascii="宋体" w:cs="宋体" w:hAnsi="宋体" w:hint="eastAsia"/>
                <w:kern w:val="0"/>
                <w:sz w:val="22"/>
              </w:rPr>
              <w:t>26</w:t>
            </w:r>
          </w:p>
        </w:tc>
        <w:tc>
          <w:tcPr>
            <w:tcW w:w="6129"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0"/>
                <w:sz w:val="21"/>
                <w:szCs w:val="21"/>
                <w:lang w:val="en-US" w:bidi="ar-SA" w:eastAsia="zh-CN"/>
              </w:rPr>
            </w:pPr>
            <w:r>
              <w:rPr>
                <w:rFonts w:ascii="宋体" w:cs="宋体" w:hAnsi="宋体" w:hint="eastAsia"/>
              </w:rPr>
              <w:t>清拭运转中机器的固定部分时，戴手套或将抹布缠在手上使用</w:t>
            </w:r>
          </w:p>
        </w:tc>
        <w:tc>
          <w:tcPr>
            <w:tcW w:w="2300"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0"/>
                <w:sz w:val="21"/>
                <w:szCs w:val="21"/>
                <w:lang w:val="en-US" w:bidi="ar-SA" w:eastAsia="zh-CN"/>
              </w:rPr>
            </w:pPr>
            <w:r>
              <w:rPr>
                <w:rFonts w:ascii="宋体" w:cs="宋体" w:hAnsi="宋体" w:hint="eastAsia"/>
                <w:kern w:val="0"/>
                <w:szCs w:val="21"/>
              </w:rPr>
              <w:t>考核</w:t>
            </w:r>
            <w:r>
              <w:rPr>
                <w:rFonts w:ascii="宋体" w:cs="宋体" w:hAnsi="宋体" w:hint="eastAsia"/>
              </w:rPr>
              <w:t>1000-3000元/次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宋体" w:cs="宋体" w:eastAsia="宋体" w:hAnsi="宋体" w:hint="eastAsia"/>
                <w:kern w:val="0"/>
                <w:sz w:val="21"/>
                <w:szCs w:val="21"/>
                <w:lang w:val="en-US" w:eastAsia="zh-CN"/>
              </w:rPr>
            </w:pPr>
            <w:r>
              <w:rPr>
                <w:rFonts w:ascii="宋体" w:cs="宋体" w:hAnsi="宋体" w:hint="eastAsia"/>
                <w:kern w:val="0"/>
                <w:sz w:val="22"/>
              </w:rPr>
              <w:t>27</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宋体" w:cs="宋体" w:eastAsia="宋体" w:hAnsi="宋体" w:hint="eastAsia"/>
                <w:kern w:val="2"/>
                <w:sz w:val="21"/>
                <w:szCs w:val="24"/>
                <w:lang w:val="en-US" w:bidi="ar-SA" w:eastAsia="zh-CN"/>
              </w:rPr>
            </w:pPr>
            <w:r>
              <w:rPr>
                <w:rFonts w:hAnsi="宋体" w:hint="eastAsia"/>
                <w:bCs/>
              </w:rPr>
              <w:t>其他</w:t>
            </w:r>
            <w:r>
              <w:rPr>
                <w:rFonts w:hAnsi="宋体" w:hint="eastAsia"/>
                <w:bCs/>
                <w:lang w:val="zh-CN"/>
              </w:rPr>
              <w:t>违反安规或相关</w:t>
            </w:r>
            <w:r>
              <w:rPr>
                <w:rFonts w:hAnsi="宋体" w:hint="eastAsia"/>
                <w:bCs/>
              </w:rPr>
              <w:t>安全</w:t>
            </w:r>
            <w:r>
              <w:rPr>
                <w:rFonts w:hAnsi="宋体" w:hint="eastAsia"/>
                <w:bCs/>
                <w:lang w:val="zh-CN"/>
              </w:rPr>
              <w:t>管理制度的</w:t>
            </w:r>
          </w:p>
        </w:tc>
        <w:tc>
          <w:tcPr>
            <w:tcW w:w="2300" w:type="dxa"/>
            <w:tcBorders>
              <w:top w:val="nil"/>
              <w:left w:val="nil"/>
              <w:bottom w:val="single" w:sz="4" w:space="0" w:color="auto"/>
              <w:right w:val="single" w:sz="4" w:space="0" w:color="auto"/>
            </w:tcBorders>
            <w:shd w:val="clear" w:color="auto" w:fill="auto"/>
          </w:tcPr>
          <w:p>
            <w:pPr>
              <w:pStyle w:val="style0"/>
              <w:widowControl/>
              <w:jc w:val="left"/>
              <w:rPr>
                <w:rFonts w:ascii="宋体" w:cs="宋体" w:eastAsia="宋体" w:hAnsi="宋体" w:hint="eastAsia"/>
                <w:kern w:val="0"/>
                <w:sz w:val="21"/>
                <w:szCs w:val="21"/>
                <w:lang w:val="en-US" w:eastAsia="zh-CN"/>
              </w:rPr>
            </w:pPr>
            <w:r>
              <w:rPr>
                <w:rFonts w:ascii="宋体" w:cs="宋体" w:hAnsi="宋体" w:hint="eastAsia"/>
                <w:kern w:val="0"/>
                <w:szCs w:val="21"/>
              </w:rPr>
              <w:t>考核</w:t>
            </w:r>
            <w:r>
              <w:rPr>
                <w:rFonts w:ascii="宋体" w:cs="宋体" w:hAnsi="宋体" w:hint="eastAsia"/>
              </w:rPr>
              <w:t>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三</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b/>
                <w:bCs/>
                <w:kern w:val="0"/>
                <w:szCs w:val="21"/>
              </w:rPr>
            </w:pPr>
            <w:r>
              <w:rPr>
                <w:rFonts w:ascii="Times New Roman" w:hAnsi="Times New Roman"/>
                <w:b/>
                <w:bCs/>
                <w:kern w:val="0"/>
                <w:szCs w:val="21"/>
              </w:rPr>
              <w:t>工作票违章</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 w:val="24"/>
              </w:rPr>
            </w:pPr>
          </w:p>
        </w:tc>
      </w:tr>
      <w:tr>
        <w:tblPrEx/>
        <w:trPr>
          <w:trHeight w:val="41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无票作业</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考核10000-20000元/次</w:t>
            </w: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未按要求办理《工作联系单》</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考核5000-10000元/次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工作票延期或工作负责人变更、工作班成员变更未办手续</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考核2000元/张</w:t>
            </w:r>
          </w:p>
        </w:tc>
      </w:tr>
      <w:tr>
        <w:tblPrEx/>
        <w:trPr>
          <w:trHeight w:val="28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同一时间段内，工作负责人在其他工作任务中参与作业</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考核2000元/次</w:t>
            </w:r>
          </w:p>
        </w:tc>
      </w:tr>
      <w:tr>
        <w:tblPrEx/>
        <w:trPr>
          <w:trHeight w:val="2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工作票安措不全、填写不规范、安全措施漏项</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考核1000-3000元/次</w:t>
            </w:r>
          </w:p>
        </w:tc>
      </w:tr>
      <w:tr>
        <w:tblPrEx/>
        <w:trPr>
          <w:trHeight w:val="6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工作票不在工作现场或工作负责人离开现场超过2小时且没有指定临时负责人</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考核1000-2000元/次</w:t>
            </w:r>
          </w:p>
        </w:tc>
      </w:tr>
      <w:tr>
        <w:tblPrEx/>
        <w:trPr>
          <w:trHeight w:val="1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工作人员超出工作票许可作业范围进行工作</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考核2000-10000元/次</w:t>
            </w:r>
          </w:p>
        </w:tc>
      </w:tr>
      <w:tr>
        <w:tblPrEx/>
        <w:trPr>
          <w:trHeight w:val="2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危险点分析不符合实际，防范措施落实不到位</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工作中不严格执行监护制度，专职监护人没有进行不间断监护，擅自脱岗</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考核2000-5000元/次</w:t>
            </w: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工作票中的安措执行不到位</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考核500-3000元/次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未执行工作票“两会同”的要求</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1000-3000元/次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12</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工作负责人每日开工前不向工作班成员交代工作内容和安全措施</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2000元/次</w:t>
            </w:r>
          </w:p>
        </w:tc>
      </w:tr>
      <w:tr>
        <w:tblPrEx/>
        <w:trPr>
          <w:trHeight w:val="28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sz w:val="20"/>
              </w:rPr>
              <w:t>工作人员工作前不了解、不检查安全措施就开始工作</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14</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未按规定办理工作票的工作间断、工作延期、设备试运、工作票终结等手续的</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20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15</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未经批准，解除运行设备闭锁、报警、保护装置</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考核1000-</w:t>
            </w:r>
            <w:r>
              <w:rPr>
                <w:rFonts w:ascii="Times New Roman" w:hAnsi="Times New Roman"/>
              </w:rPr>
              <w:t>3000元/次</w:t>
            </w:r>
          </w:p>
        </w:tc>
      </w:tr>
      <w:tr>
        <w:tblPrEx/>
        <w:trPr>
          <w:trHeight w:val="28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16</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工作票未按规定签名或代签名</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考核500-</w:t>
            </w:r>
            <w:r>
              <w:rPr>
                <w:rFonts w:ascii="Times New Roman" w:hAnsi="Times New Roman"/>
              </w:rPr>
              <w:t>2000元/次</w:t>
            </w:r>
          </w:p>
        </w:tc>
      </w:tr>
      <w:tr>
        <w:tblPrEx/>
        <w:trPr>
          <w:trHeight w:val="231"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17</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工作票使用</w:t>
            </w:r>
            <w:r>
              <w:rPr>
                <w:rFonts w:ascii="Times New Roman" w:hAnsi="Times New Roman"/>
                <w:bCs/>
                <w:szCs w:val="21"/>
              </w:rPr>
              <w:t>种类不当</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考核1000-3</w:t>
            </w:r>
            <w:r>
              <w:rPr>
                <w:rFonts w:ascii="Times New Roman" w:hAnsi="Times New Roman"/>
              </w:rPr>
              <w:t>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18</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bCs/>
                <w:lang w:val="zh-CN"/>
              </w:rPr>
              <w:t>其他违反“</w:t>
            </w:r>
            <w:r>
              <w:rPr>
                <w:rFonts w:ascii="Times New Roman" w:hAnsi="Times New Roman"/>
                <w:bCs/>
              </w:rPr>
              <w:t>两票</w:t>
            </w:r>
            <w:r>
              <w:rPr>
                <w:rFonts w:ascii="Times New Roman" w:hAnsi="Times New Roman"/>
                <w:bCs/>
                <w:lang w:val="zh-CN"/>
              </w:rPr>
              <w:t>”</w:t>
            </w:r>
            <w:r>
              <w:rPr>
                <w:rFonts w:ascii="Times New Roman" w:hAnsi="Times New Roman"/>
                <w:bCs/>
              </w:rPr>
              <w:t>管理规定的</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考核1000-5</w:t>
            </w:r>
            <w:r>
              <w:rPr>
                <w:rFonts w:ascii="Times New Roman" w:hAnsi="Times New Roman"/>
              </w:rPr>
              <w:t>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四</w:t>
            </w:r>
          </w:p>
        </w:tc>
        <w:tc>
          <w:tcPr>
            <w:tcW w:w="8429"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高处作业违章</w:t>
            </w:r>
          </w:p>
        </w:tc>
      </w:tr>
      <w:tr>
        <w:tblPrEx/>
        <w:trPr>
          <w:trHeight w:val="20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高处作业不系（挂）安全带</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考核10000元/人次</w:t>
            </w:r>
          </w:p>
        </w:tc>
      </w:tr>
      <w:tr>
        <w:tblPrEx/>
        <w:trPr>
          <w:trHeight w:val="301"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高处作业使用破损或不符合要求的安全带</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考核2000-5000元/人次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安全带低挂高用或挂在不牢固的物体上等未按要求使用安全带的情况</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考核1000-3000元/人次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高空作业，不用绳索传递工具、材料，随手上下抛掷东西，或高空作业的工器具无防坠落措施。</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考核2000-3000元/次</w:t>
            </w:r>
          </w:p>
        </w:tc>
      </w:tr>
      <w:tr>
        <w:tblPrEx/>
        <w:trPr>
          <w:trHeight w:val="28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在高处作业的下方通行或逗留</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未经允许在高处平台上开孔打洞或</w:t>
            </w:r>
            <w:r>
              <w:rPr>
                <w:rFonts w:ascii="Times New Roman" w:hAnsi="Times New Roman"/>
              </w:rPr>
              <w:t>擅自拆除孔洞盖板、栏杆、隔离层或因工作需要拆除上述设施时,不设临时遮拦、无警示标志，或工作完后未及时恢复</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rPr>
              <w:t>高处作业区域下方未按要求未设置围栏和警告标志，</w:t>
            </w:r>
            <w:r>
              <w:rPr>
                <w:rFonts w:ascii="Times New Roman" w:hAnsi="Times New Roman"/>
                <w:kern w:val="0"/>
                <w:szCs w:val="21"/>
              </w:rPr>
              <w:t>深沟、深坑四周无安全警戒线或围栏，或未设专人监护</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夜间或炉膛内等光线昏暗区域进行高处作业时照明不足</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立体交叉作业无严密牢固的防护隔离设施</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2000-5000元/次</w:t>
            </w:r>
          </w:p>
        </w:tc>
      </w:tr>
      <w:tr>
        <w:tblPrEx/>
        <w:trPr>
          <w:trHeight w:val="2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未按规定正确使用梯子或梯子不符合要求</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w:t>
            </w:r>
            <w:r>
              <w:rPr>
                <w:rFonts w:ascii="Times New Roman" w:hAnsi="Times New Roman"/>
              </w:rPr>
              <w:t>5000元/次</w:t>
            </w:r>
          </w:p>
        </w:tc>
      </w:tr>
      <w:tr>
        <w:tblPrEx/>
        <w:trPr>
          <w:trHeight w:val="2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使用未经检验的安全带或安全带未粘贴检验合格标签</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12</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患有高血压、心脏病等不宜从事高处作业病症的人员进行登高作业</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2000元/次</w:t>
            </w:r>
          </w:p>
        </w:tc>
      </w:tr>
      <w:tr>
        <w:tblPrEx/>
        <w:trPr>
          <w:trHeight w:val="15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其他未按规定进行高处作业的情况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五</w:t>
            </w:r>
          </w:p>
        </w:tc>
        <w:tc>
          <w:tcPr>
            <w:tcW w:w="8429" w:type="dxa"/>
            <w:gridSpan w:val="2"/>
            <w:tcBorders>
              <w:top w:val="single" w:sz="4" w:space="0" w:color="auto"/>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起重作业违章</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利用管道、栏杆、脚手架等悬吊重物或起吊设备</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起重作业过程中利用吊钩载人，用吊头、抓斗或其它载货设备输送人员</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起吊重物长期悬在空中或者重物短时悬在空中驾驶人员离开驾驶室</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起吊作业未设置隔离区、警示标志、无专人监护，无关人员在起重工作区域内行走或逗留</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考核1000-5000元/次</w:t>
            </w:r>
          </w:p>
        </w:tc>
      </w:tr>
      <w:tr>
        <w:tblPrEx/>
        <w:trPr>
          <w:trHeight w:val="219"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吊物捆扎、吊装方法不当</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考核1000-2000元/次</w:t>
            </w:r>
          </w:p>
        </w:tc>
      </w:tr>
      <w:tr>
        <w:tblPrEx/>
        <w:trPr>
          <w:trHeight w:val="2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起吊超过额定负荷的吊物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考核2000-5000元/次</w:t>
            </w:r>
          </w:p>
        </w:tc>
      </w:tr>
      <w:tr>
        <w:tblPrEx/>
        <w:trPr>
          <w:trHeight w:val="2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起吊大件或不规则组件时，未栓以牢固的溜绳（缆绳）</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考核2000元/次</w:t>
            </w:r>
          </w:p>
        </w:tc>
      </w:tr>
      <w:tr>
        <w:tblPrEx/>
        <w:trPr>
          <w:trHeight w:val="33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起吊氧、乙炔瓶等易燃、易爆危险品无安全措施起吊</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考核5000元/次</w:t>
            </w:r>
          </w:p>
        </w:tc>
      </w:tr>
      <w:tr>
        <w:tblPrEx/>
        <w:trPr>
          <w:trHeight w:val="30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跨越或手扶正在运行的卷杨机及设备的钢丝绳</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在起吊物下方站人</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起重机工作完毕后，未及时摘除吊构上的钢丝绳并将吊钩升起、未切断电源、未将起重机所有工作控制键恢复原位等</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rPr>
              <w:t>起重指挥人员未穿反光衣或带有明显特殊标志的衣服</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起重机械及起重工具存在损坏、标志不清、装置失灵、未经检验等不符合规范要求的情况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14</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在带电设备附近进行起吊作业</w:t>
            </w:r>
            <w:r>
              <w:rPr>
                <w:rFonts w:ascii="Times New Roman" w:hAnsi="Times New Roman"/>
                <w:kern w:val="0"/>
                <w:szCs w:val="21"/>
              </w:rPr>
              <w:t>未履行审批手续</w:t>
            </w:r>
            <w:r>
              <w:rPr>
                <w:rFonts w:ascii="Times New Roman" w:hAnsi="Times New Roman"/>
              </w:rPr>
              <w:t>,起吊作业不符合安全距离或无监护</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未进行核算及未履行审批手续，随意在厂内构筑物、平台等作为起吊重物的承力点</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考核1000-5000元/次</w:t>
            </w:r>
          </w:p>
        </w:tc>
      </w:tr>
      <w:tr>
        <w:tblPrEx/>
        <w:trPr>
          <w:trHeight w:val="33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人员未经培训擅自操作吊篮</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考核1000-3000元/次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未经验收即使用吊篮</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18</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其他未按规定进行起吊作业的情况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六</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脚手架作业</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脚手架的爬梯、栏杆、护板、脚手板等搭设不符合规范要求</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3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使用未经验收合格的脚手架</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2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工作人员未经同意随意改变脚手架结构</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脚手架使用过程中超过其承载能力</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3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未按规定使用移动式脚手架</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搭设或者拆除高风险脚手架（分部分项工程脚手架、炉内检修平台等）时没有搭设或拆除方案</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考核2000-5000元/次</w:t>
            </w:r>
          </w:p>
        </w:tc>
      </w:tr>
      <w:tr>
        <w:tblPrEx/>
        <w:trPr>
          <w:trHeight w:val="51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拆除脚手架时不按从上往下分层进行或往下抛掷钢管和扣件等不按规程规定的行为</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脚手架使用单位作业前未按规定进行检查</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考核1000-3000元/次</w:t>
            </w:r>
          </w:p>
        </w:tc>
      </w:tr>
      <w:tr>
        <w:tblPrEx/>
        <w:trPr>
          <w:trHeight w:val="33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其他不按要求搭设、验收、使用脚手架</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考核1000-5000元/次</w:t>
            </w:r>
          </w:p>
        </w:tc>
      </w:tr>
      <w:tr>
        <w:tblPrEx/>
        <w:trPr>
          <w:trHeight w:val="56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人员未经培训擅自操作炉内升降平台、未经验收即使用炉内升降平台</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考核2000元/次</w:t>
            </w:r>
          </w:p>
        </w:tc>
      </w:tr>
      <w:tr>
        <w:tblPrEx/>
        <w:trPr>
          <w:trHeight w:val="269"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其他违反脚手架管理规定的情况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七</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动火作业</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在装有易燃易爆的容器上或在油漆未干的结构或其他带压物体上进行焊接</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30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固定或移动式电焊机外壳没有良好的接地，二次线接头铜芯裸露</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检修现场电焊线、电源线不集中布置，走向混乱，过通道无保护措施</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5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在地面（水泥及油漆地面、地板砖）、网格栅等处进行电、火焊作业时，未采取有效的防护措施</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601"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使用没有防震胶圈和保险帽的气瓶或使用没有减压器的氧气瓶和乙炔瓶</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8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乙炔氧气瓶之间距离小于5米，动火点与乙炔、氧气瓶距离小于10米，乙炔、氧气瓶不直立使用和可靠固定，不使用乙炔回火保护装置。氧气瓶和乙炔瓶混装运输</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安放在露天的气瓶，没有采取防曝晒措施</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气割工作结束或中断气割工作时，没有关闭氧气和乙炔气瓶就离开工作岗位</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7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动火作业前未清理周围的可燃物、易燃物；作业过程中采取防止金属熔渣飞溅或防止烫伤、触电、爆炸等措施；工作结束后未检查清理残留火种</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气瓶附件不齐全或损坏</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气瓶超过检验期，气瓶标识不全</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36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12</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把乙炔、氧气皮管放在高温管道上或电线上，或把重、热物体压在皮管上</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乙炔、氧气皮管混用，气瓶橡胶软管未有明显的识别，有鼓包、裂缝或漏气，接头处未用专门的卡子卡紧</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14</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动火前，未对容器、管道内介质进行安全可靠的置换工作</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2000-5000元/次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15</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在有限空间内同时进行电焊、气焊或气割工作</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2000-5000元/次</w:t>
            </w:r>
          </w:p>
        </w:tc>
      </w:tr>
      <w:tr>
        <w:tblPrEx/>
        <w:trPr>
          <w:trHeight w:val="23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16</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其他未按规定开展动火作业的情况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八</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临时用电作业</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临时用电未经审批，私拉私设电源</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考核1000-3000元/次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电源开关外壳或电线绝缘有破损，</w:t>
            </w:r>
            <w:r>
              <w:rPr>
                <w:rFonts w:ascii="Times New Roman" w:hAnsi="Times New Roman"/>
              </w:rPr>
              <w:t>现场低压开关设备护盖不全、导体部分裸露，</w:t>
            </w:r>
            <w:r>
              <w:rPr>
                <w:rFonts w:ascii="Times New Roman" w:hAnsi="Times New Roman"/>
                <w:kern w:val="0"/>
                <w:szCs w:val="21"/>
              </w:rPr>
              <w:t>电源线未按规定接线</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考核1000-3000元/次</w:t>
            </w:r>
          </w:p>
        </w:tc>
      </w:tr>
      <w:tr>
        <w:tblPrEx/>
        <w:trPr>
          <w:trHeight w:val="73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铺设在过道上的临时电源线没有采取保护措施，线路架空高度室内小于2.5米、室外小于4米，将临时电源线缠绕在护栏、管道及脚手架上</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考核1000元/人次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szCs w:val="21"/>
              </w:rPr>
            </w:pPr>
            <w:r>
              <w:rPr>
                <w:rFonts w:ascii="Times New Roman" w:hAnsi="Times New Roman"/>
                <w:kern w:val="0"/>
                <w:szCs w:val="21"/>
              </w:rPr>
              <w:t>使用其他金属丝代替熔丝或不符合规范的熔丝</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考核1000元/人次</w:t>
            </w:r>
          </w:p>
        </w:tc>
      </w:tr>
      <w:tr>
        <w:tblPrEx/>
        <w:trPr>
          <w:trHeight w:val="47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接入金属容器内部的负荷未设漏电保护器，漏电保护器、电源联接器和控制箱放在容器内</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考核1000-3000元/次</w:t>
            </w:r>
          </w:p>
        </w:tc>
      </w:tr>
      <w:tr>
        <w:tblPrEx/>
        <w:trPr>
          <w:trHeight w:val="4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在金属容器内、周围均是金属导体的场所或潮湿环境等作业时使用未按规定要求电压的照明</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考核1000-3000元/次</w:t>
            </w:r>
          </w:p>
        </w:tc>
      </w:tr>
      <w:tr>
        <w:tblPrEx/>
        <w:trPr>
          <w:trHeight w:val="6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室外临时电源、动力照明配电箱未固定牢固，未可靠接地，未采取防雨水、防潮措施，电源箱门未上锁</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考核1000-3000元/次</w:t>
            </w:r>
          </w:p>
        </w:tc>
      </w:tr>
      <w:tr>
        <w:tblPrEx/>
        <w:trPr>
          <w:trHeight w:val="216"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未按“一机一闸一保护”规定要求使用电气设备</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考核1000-5000元/次</w:t>
            </w:r>
          </w:p>
        </w:tc>
      </w:tr>
      <w:tr>
        <w:tblPrEx/>
        <w:trPr>
          <w:trHeight w:val="26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未定期对漏电保安器进行试验检查</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考核1000元/人次</w:t>
            </w:r>
          </w:p>
        </w:tc>
      </w:tr>
      <w:tr>
        <w:tblPrEx/>
        <w:trPr>
          <w:trHeight w:val="22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szCs w:val="21"/>
              </w:rPr>
            </w:pPr>
            <w:r>
              <w:rPr>
                <w:rFonts w:ascii="Times New Roman" w:hAnsi="Times New Roman"/>
                <w:kern w:val="0"/>
                <w:szCs w:val="21"/>
              </w:rPr>
              <w:t>在有爆炸危险的场所未使用相应等级的防爆电气设备</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szCs w:val="21"/>
              </w:rPr>
            </w:pPr>
            <w:r>
              <w:rPr>
                <w:rFonts w:ascii="Times New Roman" w:hAnsi="Times New Roman"/>
                <w:kern w:val="0"/>
                <w:szCs w:val="21"/>
              </w:rPr>
              <w:t>考核1000-5000元/次</w:t>
            </w:r>
          </w:p>
        </w:tc>
      </w:tr>
      <w:tr>
        <w:tblPrEx/>
        <w:trPr>
          <w:trHeight w:val="28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电气设备停电作业,约时停送电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考核5000-</w:t>
            </w:r>
            <w:r>
              <w:rPr>
                <w:rFonts w:ascii="Times New Roman" w:hAnsi="Times New Roman"/>
              </w:rPr>
              <w:t>10000元/次</w:t>
            </w:r>
          </w:p>
        </w:tc>
      </w:tr>
      <w:tr>
        <w:tblPrEx/>
        <w:trPr>
          <w:trHeight w:val="15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12</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装设接地线前,不验电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6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未按规定挂好接地线就开始工作或未按《电业安全工作规程》要求规范装设接地线</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22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14</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擅自跨越电气区域安全围栏或超越安全警戒线</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26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15</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电气设备检修,工作人员与带电体不能保持规定的安全距离</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16</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单人在高压室内搬运梯子、管子等长物</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3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rPr>
            </w:pPr>
            <w:r>
              <w:rPr>
                <w:rFonts w:ascii="Times New Roman" w:hAnsi="Times New Roman"/>
                <w:kern w:val="0"/>
                <w:szCs w:val="21"/>
              </w:rPr>
              <w:t>电动工器具、</w:t>
            </w:r>
            <w:r>
              <w:rPr>
                <w:rFonts w:ascii="Times New Roman" w:hAnsi="Times New Roman"/>
              </w:rPr>
              <w:t>绝缘工具</w:t>
            </w:r>
            <w:r>
              <w:rPr>
                <w:rFonts w:ascii="Times New Roman" w:hAnsi="Times New Roman"/>
                <w:kern w:val="0"/>
                <w:szCs w:val="21"/>
              </w:rPr>
              <w:t>没有按规定定期进行检验</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考核1000元/人次</w:t>
            </w:r>
          </w:p>
        </w:tc>
      </w:tr>
      <w:tr>
        <w:tblPrEx/>
        <w:trPr>
          <w:trHeight w:val="30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18</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rPr>
            </w:pPr>
            <w:r>
              <w:rPr>
                <w:rFonts w:ascii="Times New Roman" w:hAnsi="Times New Roman"/>
                <w:kern w:val="0"/>
                <w:szCs w:val="21"/>
              </w:rPr>
              <w:t>使用</w:t>
            </w:r>
            <w:r>
              <w:rPr>
                <w:rFonts w:ascii="Times New Roman" w:hAnsi="Times New Roman"/>
              </w:rPr>
              <w:t>不合格</w:t>
            </w:r>
            <w:r>
              <w:rPr>
                <w:rFonts w:ascii="Times New Roman" w:hAnsi="Times New Roman"/>
                <w:kern w:val="0"/>
                <w:szCs w:val="21"/>
              </w:rPr>
              <w:t>电动工器具</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考核1000元/人次</w:t>
            </w:r>
          </w:p>
        </w:tc>
      </w:tr>
      <w:tr>
        <w:tblPrEx/>
        <w:trPr>
          <w:trHeight w:val="231"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19</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潜水泵运行时，工作人员在其所处池内或排水坑工作</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4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20</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室内、外电气设备没有根据规程规定设置固定遮（围）栏，或遮拦门没有上锁、没有悬挂安全标志</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30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rPr>
            </w:pPr>
            <w:r>
              <w:rPr>
                <w:rFonts w:ascii="Times New Roman" w:hAnsi="Times New Roman"/>
                <w:kern w:val="0"/>
                <w:szCs w:val="21"/>
              </w:rPr>
              <w:t>固定或移动式电焊机外壳没有良好的接地，二次线接头铜芯裸露</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2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临时用电结束后没有切断电源便离开作业现场</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26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绝缘工具未按规定定期进行试验</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考核1000元/次</w:t>
            </w:r>
          </w:p>
        </w:tc>
      </w:tr>
      <w:tr>
        <w:tblPrEx/>
        <w:trPr>
          <w:trHeight w:val="2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24</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rPr>
            </w:pPr>
            <w:r>
              <w:rPr>
                <w:rFonts w:ascii="Times New Roman" w:hAnsi="Times New Roman"/>
              </w:rPr>
              <w:t>其他未按规定开展临时用电作业的情况</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九</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rPr>
              <w:t>个人防护用品及安全用具</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kern w:val="0"/>
                <w:szCs w:val="21"/>
              </w:rPr>
            </w:pPr>
            <w:r>
              <w:rPr>
                <w:rFonts w:ascii="Times New Roman" w:hAnsi="Times New Roman"/>
              </w:rPr>
              <w:t>未使用或不正确使用符合国家标准的个人劳动保护用品。如</w:t>
            </w:r>
            <w:r>
              <w:rPr>
                <w:rFonts w:ascii="Times New Roman" w:hAnsi="Times New Roman"/>
                <w:kern w:val="0"/>
                <w:szCs w:val="21"/>
              </w:rPr>
              <w:t>不按规定着装或使用防护用具（如着帆布工作服、戴绝缘手套、穿绝缘鞋、用电焊面罩等）；使用砂轮切割机、角磨机、</w:t>
            </w:r>
            <w:r>
              <w:rPr>
                <w:rFonts w:ascii="Times New Roman" w:hAnsi="Times New Roman"/>
              </w:rPr>
              <w:t>砂轮、电镐等机械设备不戴护目眼镜；使用钻床、打大锤时戴手套，挥锤时挥动方向对着人；使用危险化学品时，未按化学品安全技术说明书(MSDS)要求使用防护用品等</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kern w:val="0"/>
                <w:szCs w:val="21"/>
              </w:rPr>
            </w:pPr>
            <w:r>
              <w:rPr>
                <w:rFonts w:ascii="Times New Roman" w:hAnsi="Times New Roman"/>
                <w:kern w:val="0"/>
                <w:szCs w:val="21"/>
              </w:rPr>
              <w:t>进入生产现场（办公室、控制室、值班室和检修班组室除外）不戴安全帽</w:t>
            </w:r>
            <w:r>
              <w:rPr>
                <w:rFonts w:ascii="Times New Roman" w:hAnsi="Times New Roman"/>
              </w:rPr>
              <w:t>，辫子、长发未盘在安全帽内，使用已过期的安全帽，或有缺陷</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kern w:val="0"/>
                <w:szCs w:val="21"/>
              </w:rPr>
            </w:pPr>
            <w:r>
              <w:rPr>
                <w:rFonts w:ascii="Times New Roman" w:hAnsi="Times New Roman"/>
              </w:rPr>
              <w:t>使用不合格的绝缘手套，或使用前未绝缘手套进行气密性检查</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28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kern w:val="0"/>
                <w:szCs w:val="21"/>
              </w:rPr>
            </w:pPr>
            <w:r>
              <w:rPr>
                <w:rFonts w:ascii="Times New Roman" w:hAnsi="Times New Roman"/>
              </w:rPr>
              <w:t>巡视室外高压设备时，不穿绝缘鞋</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25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kern w:val="0"/>
                <w:szCs w:val="21"/>
              </w:rPr>
            </w:pPr>
            <w:r>
              <w:rPr>
                <w:rFonts w:ascii="Times New Roman" w:hAnsi="Times New Roman"/>
              </w:rPr>
              <w:t>在噪音污染区作业中未佩戴听觉保护器或未采取听力保护措施</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2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rPr>
            </w:pPr>
            <w:r>
              <w:rPr>
                <w:rFonts w:ascii="Times New Roman" w:hAnsi="Times New Roman"/>
              </w:rPr>
              <w:t>作业人员的着装有可能被转动的机器绞住的部分和可能卡住的部分</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rPr>
            </w:pPr>
            <w:r>
              <w:rPr>
                <w:rFonts w:ascii="Times New Roman" w:hAnsi="Times New Roman"/>
              </w:rPr>
              <w:t>在粉尘污染区作业中未按规定佩戴防尘口罩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rPr>
            </w:pPr>
            <w:r>
              <w:rPr>
                <w:rFonts w:ascii="Times New Roman" w:hAnsi="Times New Roman"/>
                <w:kern w:val="0"/>
                <w:szCs w:val="21"/>
              </w:rPr>
              <w:t>违反职业禁忌症的有关规定，安排不符合身体健康要求的人员上岗</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考核1000-2000元/次</w:t>
            </w:r>
          </w:p>
        </w:tc>
      </w:tr>
      <w:tr>
        <w:tblPrEx/>
        <w:trPr>
          <w:trHeight w:val="2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tcPr>
          <w:p>
            <w:pPr>
              <w:pStyle w:val="style0"/>
              <w:textAlignment w:val="center"/>
              <w:rPr>
                <w:rFonts w:ascii="Times New Roman" w:hAnsi="Times New Roman"/>
              </w:rPr>
            </w:pPr>
            <w:r>
              <w:rPr>
                <w:rFonts w:ascii="Times New Roman" w:hAnsi="Times New Roman"/>
              </w:rPr>
              <w:t>其他违反个人防护用品及安全用具管理要求的情况</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十</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b/>
                <w:bCs/>
                <w:kern w:val="0"/>
                <w:szCs w:val="21"/>
              </w:rPr>
            </w:pPr>
            <w:r>
              <w:rPr>
                <w:rFonts w:ascii="Times New Roman" w:hAnsi="Times New Roman"/>
                <w:b/>
                <w:bCs/>
                <w:kern w:val="0"/>
                <w:szCs w:val="21"/>
              </w:rPr>
              <w:t>消防管理</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30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检修作业现场发生火情</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考核3000-10000元/次</w:t>
            </w: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损坏检修作业现场消防设施</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33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堵塞或挤占消防通道，埋压、圈占消防栓或消防设施</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考核1000-3000元/次</w:t>
            </w:r>
          </w:p>
        </w:tc>
      </w:tr>
      <w:tr>
        <w:tblPrEx/>
        <w:trPr>
          <w:trHeight w:val="33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在检修作业场所违规存储易燃易爆物品</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考核1000-3000元/次</w:t>
            </w:r>
          </w:p>
        </w:tc>
      </w:tr>
      <w:tr>
        <w:tblPrEx/>
        <w:trPr>
          <w:trHeight w:val="33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擅自或违章挪用消防设施、器材</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考核1000-2000元/次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消防器材未定期检查及维护</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2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灭火器压力失效、附件不齐全或损坏</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违规运输、存储、使用各类气瓶</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1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其他未严格遵守《电力设备典型消防规程》有关动火要求的</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十一</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b/>
                <w:bCs/>
                <w:kern w:val="0"/>
                <w:szCs w:val="21"/>
              </w:rPr>
            </w:pPr>
            <w:r>
              <w:rPr>
                <w:rFonts w:ascii="Times New Roman" w:hAnsi="Times New Roman"/>
                <w:b/>
                <w:bCs/>
                <w:kern w:val="0"/>
                <w:szCs w:val="21"/>
              </w:rPr>
              <w:t>受限空间作业</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28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无应急报警、通讯、营救等设施</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考核1000元-3000/次</w:t>
            </w:r>
          </w:p>
        </w:tc>
      </w:tr>
      <w:tr>
        <w:tblPrEx/>
        <w:trPr>
          <w:trHeight w:val="20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受限空间作业入口未张贴在警示标识</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受限空间入口未设登记薄或登记不符合规范</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考核1000-2000元/次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未按受限空间作业管理规定进行受限空间内部</w:t>
            </w:r>
            <w:r>
              <w:rPr>
                <w:rFonts w:ascii="Times New Roman" w:hAnsi="Times New Roman"/>
              </w:rPr>
              <w:t>可能存在的有毒有害、易燃易爆气体及氧气含量</w:t>
            </w:r>
            <w:r>
              <w:rPr>
                <w:rFonts w:ascii="Times New Roman" w:hAnsi="Times New Roman"/>
                <w:kern w:val="0"/>
                <w:szCs w:val="21"/>
              </w:rPr>
              <w:t>等检测</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考核1000-3000元/次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无监护人或监护人从事其它工作，监护失职</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考核1000-3000元</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在金属容器或坑井内工作时，金属容器无可靠接地，或将行灯变压器带入金属容器或坑井内</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在有限空间作业过程中，未采取通风措施保持空气流通，或采用纯氧通风换气</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2000元/次</w:t>
            </w:r>
          </w:p>
        </w:tc>
      </w:tr>
      <w:tr>
        <w:tblPrEx/>
        <w:trPr>
          <w:trHeight w:val="23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其他违反受限空间管理规定的行为</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b/>
                <w:bCs/>
                <w:kern w:val="0"/>
                <w:szCs w:val="21"/>
              </w:rPr>
            </w:pPr>
            <w:r>
              <w:rPr>
                <w:rFonts w:ascii="Times New Roman" w:hAnsi="Times New Roman"/>
                <w:b/>
                <w:bCs/>
                <w:kern w:val="0"/>
                <w:szCs w:val="21"/>
              </w:rPr>
              <w:t>十二</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b/>
                <w:bCs/>
                <w:kern w:val="0"/>
                <w:szCs w:val="21"/>
              </w:rPr>
            </w:pPr>
            <w:r>
              <w:rPr>
                <w:rFonts w:ascii="Times New Roman" w:hAnsi="Times New Roman"/>
                <w:b/>
                <w:bCs/>
              </w:rPr>
              <w:t>车辆、交通安全</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车辆不规范停放在指定区域，阻碍消防和主要交通通道，在禁止停车区域停车</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20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检查出问题车辆未及时维修，车辆带病行驶</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未经许可，车辆驶入禁止驶入区</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非专职驾驶员和非授权的兼职驾驶员驾驶我厂车辆</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25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车载工器具、急救辅材与清单不符或失效</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2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tcPr>
          <w:p>
            <w:pPr>
              <w:pStyle w:val="style0"/>
              <w:jc w:val="left"/>
              <w:rPr>
                <w:rFonts w:ascii="Times New Roman" w:hAnsi="Times New Roman"/>
                <w:kern w:val="0"/>
                <w:szCs w:val="21"/>
              </w:rPr>
            </w:pPr>
            <w:r>
              <w:rPr>
                <w:rFonts w:ascii="Times New Roman" w:hAnsi="Times New Roman"/>
              </w:rPr>
              <w:t>车内人员未系安全带</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500元/次</w:t>
            </w:r>
          </w:p>
        </w:tc>
      </w:tr>
      <w:tr>
        <w:tblPrEx/>
        <w:trPr>
          <w:trHeight w:val="3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无证操作、驾驶各种机动车辆</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考核1000-2000元/次</w:t>
            </w:r>
          </w:p>
        </w:tc>
      </w:tr>
      <w:tr>
        <w:tblPrEx/>
        <w:trPr>
          <w:trHeight w:val="3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Times New Roman" w:hAnsi="Times New Roman"/>
                <w:kern w:val="0"/>
                <w:szCs w:val="21"/>
              </w:rPr>
              <w:t>厂内机动车辆超速行驶或违章带人</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考核500-1000元/次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b/>
                <w:bCs/>
                <w:kern w:val="0"/>
                <w:sz w:val="22"/>
              </w:rPr>
            </w:pPr>
            <w:r>
              <w:rPr>
                <w:rFonts w:ascii="Times New Roman" w:hAnsi="Times New Roman"/>
                <w:b/>
                <w:bCs/>
                <w:kern w:val="0"/>
                <w:sz w:val="22"/>
              </w:rPr>
              <w:t>十三</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b/>
                <w:bCs/>
                <w:kern w:val="0"/>
                <w:szCs w:val="21"/>
              </w:rPr>
            </w:pPr>
            <w:r>
              <w:rPr>
                <w:rFonts w:ascii="Times New Roman" w:hAnsi="Times New Roman"/>
                <w:b/>
                <w:bCs/>
              </w:rPr>
              <w:t>管理性、指挥性违章</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高风险作业未制定安全技术措施、作业指导书或未办理相关开工手续即开始现场作业</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1000-5000元/次</w:t>
            </w:r>
          </w:p>
        </w:tc>
      </w:tr>
      <w:tr>
        <w:tblPrEx/>
        <w:trPr>
          <w:trHeight w:val="3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工作负责人未按照施工方案或施工作业指导书组织现场作业</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1000-5000元/次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新设备投运或设备改造、技改后，没有编制或修改相关规程，致使设备的运行、操作、维护无章可循</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1000元/次</w:t>
            </w:r>
          </w:p>
        </w:tc>
      </w:tr>
      <w:tr>
        <w:tblPrEx/>
        <w:trPr>
          <w:trHeight w:val="3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现场规程未按规定定期进行复查、修订及发布</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1000元/次</w:t>
            </w:r>
          </w:p>
        </w:tc>
      </w:tr>
      <w:tr>
        <w:tblPrEx/>
        <w:trPr>
          <w:trHeight w:val="26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没有按规定设置安全监督机构和配置安全员</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2000元/次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对外发包工程项目没有依法签定合同，或合同中未具体规定发包方和承包方各自应承担的安全责任，或未签订安全协议</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2000元/次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重视不够或组织不力，致使重大设备缺陷或安全隐患未得到及时处理</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考核1</w:t>
            </w:r>
            <w:r>
              <w:rPr>
                <w:rFonts w:ascii="Times New Roman" w:hAnsi="Times New Roman"/>
              </w:rPr>
              <w:t>000-3000元/次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没有按规定设置现场安全防护装置，配置相关安全工器具和个人防护用品</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1000-3000元/次</w:t>
            </w:r>
          </w:p>
        </w:tc>
      </w:tr>
      <w:tr>
        <w:tblPrEx/>
        <w:trPr>
          <w:trHeight w:val="30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没有组织作业人员进行必要的紧急救护技能培训</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图纸资料与现场实际严重不符或设备异动（变动）手续办理不及时、通知不及时的</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1000元/次</w:t>
            </w:r>
          </w:p>
        </w:tc>
      </w:tr>
      <w:tr>
        <w:tblPrEx/>
        <w:trPr>
          <w:trHeight w:val="42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11</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对重发性违章没有采取有力措施加以制止</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rPr>
            </w:pPr>
            <w:r>
              <w:rPr>
                <w:rFonts w:ascii="Times New Roman" w:hAnsi="Times New Roman"/>
                <w:kern w:val="0"/>
                <w:szCs w:val="21"/>
              </w:rPr>
              <w:t>考核</w:t>
            </w:r>
            <w:r>
              <w:rPr>
                <w:rFonts w:ascii="Times New Roman" w:hAnsi="Times New Roman"/>
              </w:rPr>
              <w:t>1000-5000元/次</w:t>
            </w:r>
          </w:p>
        </w:tc>
      </w:tr>
      <w:tr>
        <w:tblPrEx/>
        <w:trPr>
          <w:trHeight w:val="37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rPr>
            </w:pPr>
            <w:r>
              <w:rPr>
                <w:rFonts w:ascii="Times New Roman" w:hAnsi="Times New Roman"/>
                <w:kern w:val="0"/>
                <w:szCs w:val="21"/>
              </w:rPr>
              <w:t>交叉作业没有签订交叉作业安全管理协议或未按协议执行</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Times New Roman" w:hAnsi="Times New Roman"/>
                <w:kern w:val="0"/>
                <w:szCs w:val="21"/>
              </w:rPr>
              <w:t>考核2000-5000元/次</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交叉作业安全生产管理职责和安全措施未落实</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考核1000-5000元/次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szCs w:val="24"/>
              </w:rPr>
            </w:pPr>
            <w:r>
              <w:rPr>
                <w:rFonts w:ascii="Times New Roman" w:hAnsi="Times New Roman"/>
              </w:rPr>
              <w:t>无视相关安全要求</w:t>
            </w:r>
            <w:r>
              <w:rPr>
                <w:rFonts w:ascii="Times New Roman" w:hAnsi="Times New Roman"/>
                <w:kern w:val="0"/>
                <w:szCs w:val="21"/>
              </w:rPr>
              <w:t>违章指挥，默认或强令工人违章作业、冒险作业等</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szCs w:val="24"/>
              </w:rPr>
            </w:pPr>
            <w:r>
              <w:rPr>
                <w:rFonts w:ascii="Times New Roman" w:hAnsi="Times New Roman"/>
                <w:kern w:val="0"/>
                <w:szCs w:val="21"/>
              </w:rPr>
              <w:t>考核</w:t>
            </w:r>
            <w:r>
              <w:rPr>
                <w:rFonts w:ascii="Times New Roman" w:hAnsi="Times New Roman"/>
              </w:rPr>
              <w:t>1000-5000元/次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 w:val="22"/>
              </w:rPr>
            </w:pPr>
            <w:r>
              <w:rPr>
                <w:rFonts w:ascii="Times New Roman" w:hAnsi="Times New Roman"/>
                <w:kern w:val="0"/>
                <w:sz w:val="22"/>
              </w:rPr>
              <w:t>15</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color w:val="000000"/>
                <w:szCs w:val="21"/>
              </w:rPr>
            </w:pPr>
            <w:r>
              <w:rPr>
                <w:rFonts w:ascii="Times New Roman" w:hAnsi="Times New Roman"/>
                <w:color w:val="000000"/>
                <w:szCs w:val="21"/>
              </w:rPr>
              <w:t>未定期开展安全教育，组织学习安全规程、安全通报和安全管理文件或学习弄虚作假。</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color w:val="000000"/>
                <w:szCs w:val="21"/>
              </w:rPr>
            </w:pPr>
            <w:r>
              <w:rPr>
                <w:rFonts w:ascii="Times New Roman" w:hAnsi="Times New Roman"/>
                <w:color w:val="000000"/>
                <w:szCs w:val="21"/>
              </w:rPr>
              <w:t>考核1000～3000元/次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 w:val="22"/>
              </w:rPr>
            </w:pPr>
            <w:r>
              <w:rPr>
                <w:rFonts w:ascii="Times New Roman" w:hAnsi="Times New Roman"/>
                <w:kern w:val="0"/>
                <w:sz w:val="22"/>
              </w:rPr>
              <w:t>16</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color w:val="000000"/>
                <w:szCs w:val="21"/>
              </w:rPr>
            </w:pPr>
            <w:r>
              <w:rPr>
                <w:rFonts w:ascii="Times New Roman" w:hAnsi="Times New Roman"/>
                <w:color w:val="000000"/>
                <w:szCs w:val="21"/>
              </w:rPr>
              <w:t>承包单位不按甲方管理系统的要求开展日常安健环和风险管理的工作，对有关的安全活动查无实据、或弄虚作假。</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color w:val="000000"/>
                <w:szCs w:val="21"/>
              </w:rPr>
            </w:pPr>
            <w:r>
              <w:rPr>
                <w:rFonts w:ascii="Times New Roman" w:hAnsi="Times New Roman"/>
                <w:color w:val="000000"/>
                <w:szCs w:val="21"/>
              </w:rPr>
              <w:t>考核1000～3000元/次</w:t>
            </w:r>
          </w:p>
        </w:tc>
      </w:tr>
      <w:tr>
        <w:tblPrEx/>
        <w:trPr>
          <w:trHeight w:val="24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 w:val="22"/>
              </w:rPr>
            </w:pPr>
            <w:r>
              <w:rPr>
                <w:rFonts w:ascii="Times New Roman" w:hAnsi="Times New Roman"/>
                <w:kern w:val="0"/>
                <w:sz w:val="22"/>
              </w:rPr>
              <w:t>17</w:t>
            </w:r>
          </w:p>
        </w:tc>
        <w:tc>
          <w:tcPr>
            <w:tcW w:w="6129"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color w:val="000000"/>
                <w:szCs w:val="21"/>
              </w:rPr>
            </w:pPr>
            <w:r>
              <w:rPr>
                <w:rFonts w:ascii="Times New Roman" w:hAnsi="Times New Roman"/>
                <w:color w:val="000000"/>
                <w:szCs w:val="21"/>
              </w:rPr>
              <w:t>收到整改通知单后，未按要求进行整改或未按期进行整改</w:t>
            </w:r>
          </w:p>
        </w:tc>
        <w:tc>
          <w:tcPr>
            <w:tcW w:w="2300" w:type="dxa"/>
            <w:tcBorders>
              <w:top w:val="nil"/>
              <w:left w:val="nil"/>
              <w:bottom w:val="single" w:sz="4" w:space="0" w:color="auto"/>
              <w:right w:val="single" w:sz="4" w:space="0" w:color="auto"/>
            </w:tcBorders>
            <w:shd w:val="clear" w:color="auto" w:fill="auto"/>
            <w:vAlign w:val="center"/>
          </w:tcPr>
          <w:p>
            <w:pPr>
              <w:pStyle w:val="style0"/>
              <w:snapToGrid w:val="false"/>
              <w:rPr>
                <w:rFonts w:ascii="Times New Roman" w:hAnsi="Times New Roman"/>
                <w:color w:val="000000"/>
                <w:szCs w:val="21"/>
              </w:rPr>
            </w:pPr>
            <w:r>
              <w:rPr>
                <w:rFonts w:ascii="Times New Roman" w:hAnsi="Times New Roman"/>
                <w:color w:val="000000"/>
                <w:szCs w:val="21"/>
              </w:rPr>
              <w:t>考核1000～3000元/次</w:t>
            </w:r>
          </w:p>
        </w:tc>
      </w:tr>
      <w:tr>
        <w:tblPrEx/>
        <w:trPr>
          <w:trHeight w:val="34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rPr>
            </w:pPr>
            <w:r>
              <w:rPr>
                <w:rFonts w:ascii="Times New Roman" w:hAnsi="Times New Roman"/>
                <w:kern w:val="0"/>
                <w:sz w:val="22"/>
              </w:rPr>
              <w:t>18</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rPr>
            </w:pPr>
            <w:r>
              <w:rPr>
                <w:rFonts w:ascii="Times New Roman" w:hAnsi="Times New Roman"/>
              </w:rPr>
              <w:t>其他未按规定进行安全管理的行为</w:t>
            </w:r>
          </w:p>
        </w:tc>
        <w:tc>
          <w:tcPr>
            <w:tcW w:w="2300" w:type="dxa"/>
            <w:tcBorders>
              <w:top w:val="nil"/>
              <w:left w:val="nil"/>
              <w:bottom w:val="single" w:sz="4" w:space="0" w:color="auto"/>
              <w:right w:val="single" w:sz="4" w:space="0" w:color="auto"/>
            </w:tcBorders>
            <w:shd w:val="clear" w:color="auto" w:fill="auto"/>
            <w:vAlign w:val="center"/>
          </w:tcPr>
          <w:p>
            <w:pPr>
              <w:pStyle w:val="style0"/>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b/>
                <w:bCs/>
                <w:kern w:val="0"/>
                <w:sz w:val="22"/>
              </w:rPr>
            </w:pPr>
            <w:r>
              <w:rPr>
                <w:rFonts w:ascii="Times New Roman" w:hAnsi="Times New Roman"/>
                <w:b/>
                <w:bCs/>
                <w:kern w:val="0"/>
                <w:sz w:val="22"/>
              </w:rPr>
              <w:t>十四</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b/>
                <w:bCs/>
                <w:kern w:val="0"/>
                <w:szCs w:val="21"/>
              </w:rPr>
            </w:pPr>
            <w:r>
              <w:rPr>
                <w:rFonts w:ascii="Times New Roman" w:hAnsi="Times New Roman"/>
                <w:b/>
                <w:bCs/>
              </w:rPr>
              <w:t>特种作业</w:t>
            </w:r>
          </w:p>
        </w:tc>
        <w:tc>
          <w:tcPr>
            <w:tcW w:w="2300"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特种作业人员、特种设备操作人员、特种设备管理人员等未持证上岗</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2000-5000元/人次</w:t>
            </w:r>
          </w:p>
        </w:tc>
      </w:tr>
      <w:tr>
        <w:tblPrEx/>
        <w:trPr>
          <w:trHeight w:val="26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2</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特种（设备）作业人员证件未按期复审</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w:t>
            </w:r>
            <w:r>
              <w:rPr>
                <w:rFonts w:ascii="Times New Roman" w:hAnsi="Times New Roman"/>
              </w:rPr>
              <w:t>1000元/次</w:t>
            </w:r>
          </w:p>
        </w:tc>
      </w:tr>
      <w:tr>
        <w:tblPrEx/>
        <w:trPr>
          <w:trHeight w:val="25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3</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特种设备附件不能有效工作</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2000元/次</w:t>
            </w:r>
          </w:p>
        </w:tc>
      </w:tr>
      <w:tr>
        <w:tblPrEx/>
        <w:trPr>
          <w:trHeight w:val="2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4</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未按照规定申报定期检验导致特种设备超期未检验、检测的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1000-3000元/次</w:t>
            </w:r>
          </w:p>
        </w:tc>
      </w:tr>
      <w:tr>
        <w:tblPrEx/>
        <w:trPr>
          <w:trHeight w:val="3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5</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未按照规定对特种设备进行日常维护保养和自行检查的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500-2000元/次</w:t>
            </w:r>
          </w:p>
        </w:tc>
      </w:tr>
      <w:tr>
        <w:tblPrEx/>
        <w:trPr>
          <w:trHeight w:val="27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6</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未按照规定制定特种设备专项应急预案并定期开展演练的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500-2000元/次</w:t>
            </w:r>
          </w:p>
        </w:tc>
      </w:tr>
      <w:tr>
        <w:tblPrEx/>
        <w:trPr>
          <w:trHeight w:val="24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7</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未按照规定办理使用登记和变更登记的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500-2000元/次</w:t>
            </w:r>
          </w:p>
        </w:tc>
      </w:tr>
      <w:tr>
        <w:tblPrEx/>
        <w:trPr>
          <w:trHeight w:val="3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8</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未建立特种设备安全管理制度和安全技术档案的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500-2000元/次</w:t>
            </w:r>
          </w:p>
        </w:tc>
      </w:tr>
      <w:tr>
        <w:tblPrEx/>
        <w:trPr>
          <w:trHeight w:val="27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9</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特种设备未按照规定及时消除事故隐患，继续投入使用的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500-2000元/次</w:t>
            </w:r>
          </w:p>
        </w:tc>
      </w:tr>
      <w:tr>
        <w:tblPrEx/>
        <w:trPr>
          <w:trHeight w:val="24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textAlignment w:val="center"/>
              <w:rPr>
                <w:rFonts w:ascii="Times New Roman" w:hAnsi="Times New Roman"/>
                <w:kern w:val="0"/>
                <w:szCs w:val="21"/>
              </w:rPr>
            </w:pPr>
            <w:r>
              <w:rPr>
                <w:rFonts w:ascii="Times New Roman" w:hAnsi="Times New Roman"/>
                <w:kern w:val="0"/>
                <w:sz w:val="22"/>
              </w:rPr>
              <w:t>10</w:t>
            </w:r>
          </w:p>
        </w:tc>
        <w:tc>
          <w:tcPr>
            <w:tcW w:w="6129" w:type="dxa"/>
            <w:tcBorders>
              <w:top w:val="nil"/>
              <w:left w:val="nil"/>
              <w:bottom w:val="single" w:sz="4" w:space="0" w:color="auto"/>
              <w:right w:val="single" w:sz="4" w:space="0" w:color="auto"/>
            </w:tcBorders>
            <w:shd w:val="clear" w:color="auto" w:fill="auto"/>
          </w:tcPr>
          <w:p>
            <w:pPr>
              <w:pStyle w:val="style0"/>
              <w:jc w:val="left"/>
              <w:textAlignment w:val="center"/>
              <w:rPr>
                <w:rFonts w:ascii="Times New Roman" w:hAnsi="Times New Roman"/>
              </w:rPr>
            </w:pPr>
            <w:r>
              <w:rPr>
                <w:rFonts w:ascii="Times New Roman" w:hAnsi="Times New Roman"/>
              </w:rPr>
              <w:t>其他违反特种设备及特种作业人员管理规定的情况</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w:t>
            </w:r>
            <w:r>
              <w:rPr>
                <w:rFonts w:ascii="Times New Roman" w:hAnsi="Times New Roman"/>
              </w:rPr>
              <w:t>1000-5000元/次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注</w:t>
            </w:r>
          </w:p>
        </w:tc>
        <w:tc>
          <w:tcPr>
            <w:tcW w:w="8429" w:type="dxa"/>
            <w:gridSpan w:val="2"/>
            <w:tcBorders>
              <w:top w:val="single" w:sz="4" w:space="0" w:color="auto"/>
              <w:left w:val="nil"/>
              <w:bottom w:val="single" w:sz="4" w:space="0" w:color="auto"/>
              <w:right w:val="single" w:sz="4" w:space="0" w:color="000000"/>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其他未尽安全违章考核参照执行，最低考核不低于1000元/次</w:t>
            </w:r>
          </w:p>
        </w:tc>
      </w:tr>
      <w:tr>
        <w:tblPrEx/>
        <w:trPr>
          <w:trHeight w:val="585" w:hRule="atLeast"/>
        </w:trPr>
        <w:tc>
          <w:tcPr>
            <w:tcW w:w="90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b/>
                <w:bCs/>
                <w:kern w:val="0"/>
                <w:szCs w:val="21"/>
              </w:rPr>
              <w:t>第二部分  质量考核</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未按要求时间建立质量管理体系，成立质量管理机构，每推迟一天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w:t>
            </w:r>
          </w:p>
        </w:tc>
      </w:tr>
      <w:tr>
        <w:tblPrEx/>
        <w:trPr>
          <w:trHeight w:val="634"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质量管理机构人员不全或人员素质不满足要求</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考核1000元/人，逾期不整改加倍考核</w:t>
            </w:r>
          </w:p>
        </w:tc>
      </w:tr>
      <w:tr>
        <w:tblPrEx/>
        <w:trPr>
          <w:trHeight w:val="3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质量验收划分表或质量验收表项目不全</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每项考核1000元</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质量验收划分表或质量验收表未按甲方要求时间提交或调整，每推迟一天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w:t>
            </w:r>
          </w:p>
        </w:tc>
      </w:tr>
      <w:tr>
        <w:tblPrEx/>
        <w:trPr>
          <w:trHeight w:val="43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未按设计、图纸、方案、措施、工艺标准进行施工未造成设备损坏的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考核1000-2000元/处</w:t>
            </w:r>
          </w:p>
        </w:tc>
      </w:tr>
      <w:tr>
        <w:tblPrEx/>
        <w:trPr>
          <w:trHeight w:val="53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未按设计、图纸、方案、措施、工艺标准进行施工造成设备损坏的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按损坏设备价值的三倍进行考核</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使用不符合专业标准的工器具、测量仪器或使用不符合要求的消耗性材料。</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考核2000-5000元/项或台</w:t>
            </w:r>
          </w:p>
        </w:tc>
      </w:tr>
      <w:tr>
        <w:tblPrEx/>
        <w:trPr>
          <w:trHeight w:val="5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 xml:space="preserve">检修过程中，发现不符合项时，未按检修制度执行，擅自处理 </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考核2000--10000元/次</w:t>
            </w: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乙方提交的检修、测量记录不及时、不真实或不完整。</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考核1000-2000元/次</w:t>
            </w: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施工过程中发现检修质量不合格，未按甲方要求及时整改</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考核1000-2000元/处</w:t>
            </w:r>
          </w:p>
        </w:tc>
      </w:tr>
      <w:tr>
        <w:tblPrEx/>
        <w:trPr>
          <w:trHeight w:val="3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施工中对设备造成二次污染、二次伤害</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考核1000-5000元/处</w:t>
            </w:r>
          </w:p>
        </w:tc>
      </w:tr>
      <w:tr>
        <w:tblPrEx/>
        <w:trPr>
          <w:trHeight w:val="6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不执行甲方检修质量验收制度或跨越W、H点。</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考核H点为3000元/个、W点为2000元/个。</w:t>
            </w:r>
          </w:p>
        </w:tc>
      </w:tr>
      <w:tr>
        <w:tblPrEx/>
        <w:trPr>
          <w:trHeight w:val="38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乙方没有进行内部三级验收</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考核2000元/个。</w:t>
            </w:r>
          </w:p>
        </w:tc>
      </w:tr>
      <w:tr>
        <w:tblPrEx/>
        <w:trPr>
          <w:trHeight w:val="58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 xml:space="preserve">设备检修一次验收未通过 </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考核2000元/个（二次未通过双倍，以次增加）。</w:t>
            </w:r>
          </w:p>
        </w:tc>
      </w:tr>
      <w:tr>
        <w:tblPrEx/>
        <w:trPr>
          <w:trHeight w:val="3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隐蔽工程或其他工程未经验收及验收未通过而无法补救的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考核3000-10000元</w:t>
            </w:r>
          </w:p>
        </w:tc>
      </w:tr>
      <w:tr>
        <w:tblPrEx/>
        <w:trPr>
          <w:trHeight w:val="3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质量存在问题没有履行让步放行手续</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考核1000-2000元/次</w:t>
            </w:r>
          </w:p>
        </w:tc>
      </w:tr>
      <w:tr>
        <w:tblPrEx/>
        <w:trPr>
          <w:trHeight w:val="33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项目验收优良率低于100%</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每低1%考核5000元</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单批次焊口检验一次合格率低于95%的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不合格焊口每只考核500元</w:t>
            </w:r>
          </w:p>
        </w:tc>
      </w:tr>
      <w:tr>
        <w:tblPrEx/>
        <w:trPr>
          <w:trHeight w:val="6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单项工程焊口检验一次合格率低于95%的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按合同执行，合同未注明即按每低1%考核10000元</w:t>
            </w:r>
          </w:p>
        </w:tc>
      </w:tr>
      <w:tr>
        <w:tblPrEx/>
        <w:trPr>
          <w:trHeight w:val="66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承压部件试验或修后发生泄漏，氢气、液氨、燃油等易燃易爆有毒管道试验或修后发生泄漏</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考核2000元/处</w:t>
            </w:r>
          </w:p>
        </w:tc>
      </w:tr>
      <w:tr>
        <w:tblPrEx/>
        <w:trPr>
          <w:trHeight w:val="2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风烟系统、油系统等试验中或修后发生泄漏</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考核300元/处</w:t>
            </w:r>
          </w:p>
        </w:tc>
      </w:tr>
      <w:tr>
        <w:tblPrEx/>
        <w:trPr>
          <w:trHeight w:val="3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因检修质量问题导致设备试运不合格</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考核2000-5000元/次</w:t>
            </w:r>
          </w:p>
        </w:tc>
      </w:tr>
      <w:tr>
        <w:tblPrEx/>
        <w:trPr>
          <w:trHeight w:val="357"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因乙方检修质量原因造成点火投油，另加考核投油费用</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考核5000元/吨</w:t>
            </w:r>
          </w:p>
        </w:tc>
      </w:tr>
      <w:tr>
        <w:tblPrEx/>
        <w:trPr>
          <w:trHeight w:val="38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因检修质量问题导致主要系统调试、水压试验、机组点火、汽轮机冲转一次不成功的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考核10000-50000元/次</w:t>
            </w:r>
          </w:p>
        </w:tc>
      </w:tr>
      <w:tr>
        <w:tblPrEx/>
        <w:trPr>
          <w:trHeight w:val="41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 xml:space="preserve">因乙方检修质量原因使设备系统或机组出力降低 </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按少发电量×50元/万千瓦时考核</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因乙方检修质量原因影响机组并网</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每推迟半小时考核5000元</w:t>
            </w:r>
          </w:p>
        </w:tc>
      </w:tr>
      <w:tr>
        <w:tblPrEx/>
        <w:trPr>
          <w:trHeight w:val="8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由于乙方检修质量原因，或违反甲方执行的检修标准、作业文件、检修工艺而造成设备投运后或质保期内不符合要求导致停运返修</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考核10000～20000元/台/次（设备维修、损坏费用按合同另计）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设备、材料合格证明、报关材料等未报监理或甲方认可，擅自进行安装或使用</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考核5000元/项，逾期不整改加倍考核</w:t>
            </w:r>
          </w:p>
        </w:tc>
      </w:tr>
      <w:tr>
        <w:tblPrEx/>
        <w:trPr>
          <w:trHeight w:val="28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未按甲方要求时间提交过程资料、竣工资料，每推迟一天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w:t>
            </w:r>
          </w:p>
        </w:tc>
      </w:tr>
      <w:tr>
        <w:tblPrEx/>
        <w:trPr>
          <w:trHeight w:val="45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质保期内出现的问题按上述相关考核条款执行</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p>
        </w:tc>
      </w:tr>
      <w:tr>
        <w:tblPrEx/>
        <w:trPr>
          <w:trHeight w:val="555" w:hRule="atLeast"/>
        </w:trPr>
        <w:tc>
          <w:tcPr>
            <w:tcW w:w="90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b/>
                <w:bCs/>
                <w:kern w:val="0"/>
                <w:szCs w:val="21"/>
              </w:rPr>
              <w:t>第三部分  进度考核</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设计进度、设计联络会进度、主要设备供货进度按合同每项每推迟一天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考核2000-5000元，影响开工或施工工期的四倍考核</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w:t>
            </w:r>
          </w:p>
        </w:tc>
        <w:tc>
          <w:tcPr>
            <w:tcW w:w="6129" w:type="dxa"/>
            <w:tcBorders>
              <w:top w:val="nil"/>
              <w:left w:val="nil"/>
              <w:bottom w:val="single" w:sz="4" w:space="0" w:color="auto"/>
              <w:right w:val="single" w:sz="4" w:space="0" w:color="auto"/>
            </w:tcBorders>
            <w:shd w:val="clear" w:color="auto" w:fill="auto"/>
          </w:tcPr>
          <w:p>
            <w:pPr>
              <w:pStyle w:val="style0"/>
              <w:widowControl/>
              <w:rPr>
                <w:rFonts w:ascii="Times New Roman" w:hAnsi="Times New Roman"/>
                <w:kern w:val="0"/>
                <w:szCs w:val="21"/>
              </w:rPr>
            </w:pPr>
            <w:r>
              <w:rPr>
                <w:rFonts w:ascii="Times New Roman" w:hAnsi="Times New Roman"/>
                <w:kern w:val="0"/>
                <w:szCs w:val="21"/>
              </w:rPr>
              <w:t>年度计划检修项目或重大项目检修中检修进度计划未按甲方要求时间提供或调整，每推迟一天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考核2000元，影响开工或施工工期的四倍考核</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w:t>
            </w:r>
          </w:p>
        </w:tc>
        <w:tc>
          <w:tcPr>
            <w:tcW w:w="6129" w:type="dxa"/>
            <w:tcBorders>
              <w:top w:val="nil"/>
              <w:left w:val="nil"/>
              <w:bottom w:val="single" w:sz="4" w:space="0" w:color="auto"/>
              <w:right w:val="single" w:sz="4" w:space="0" w:color="auto"/>
            </w:tcBorders>
            <w:shd w:val="clear" w:color="auto" w:fill="auto"/>
          </w:tcPr>
          <w:p>
            <w:pPr>
              <w:pStyle w:val="style0"/>
              <w:widowControl/>
              <w:rPr>
                <w:rFonts w:ascii="Times New Roman" w:hAnsi="Times New Roman"/>
                <w:kern w:val="0"/>
                <w:szCs w:val="21"/>
              </w:rPr>
            </w:pPr>
            <w:r>
              <w:rPr>
                <w:rFonts w:ascii="Times New Roman" w:hAnsi="Times New Roman"/>
                <w:kern w:val="0"/>
                <w:szCs w:val="21"/>
              </w:rPr>
              <w:t>非计划检修项目或一般项目检修中检修进度计划未按甲方要求时间提供或调整，每推迟一天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4</w:t>
            </w:r>
          </w:p>
        </w:tc>
        <w:tc>
          <w:tcPr>
            <w:tcW w:w="6129" w:type="dxa"/>
            <w:tcBorders>
              <w:top w:val="nil"/>
              <w:left w:val="nil"/>
              <w:bottom w:val="single" w:sz="4" w:space="0" w:color="auto"/>
              <w:right w:val="single" w:sz="4" w:space="0" w:color="auto"/>
            </w:tcBorders>
            <w:shd w:val="clear" w:color="auto" w:fill="auto"/>
          </w:tcPr>
          <w:p>
            <w:pPr>
              <w:pStyle w:val="style0"/>
              <w:widowControl/>
              <w:rPr>
                <w:rFonts w:ascii="Times New Roman" w:hAnsi="Times New Roman"/>
                <w:kern w:val="0"/>
                <w:szCs w:val="21"/>
              </w:rPr>
            </w:pPr>
            <w:r>
              <w:rPr>
                <w:rFonts w:ascii="Times New Roman" w:hAnsi="Times New Roman"/>
                <w:kern w:val="0"/>
                <w:szCs w:val="21"/>
              </w:rPr>
              <w:t>三级进度计划网络图中关键节点工期每项每推迟一天（总工期按合同进行考核）</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5</w:t>
            </w:r>
          </w:p>
        </w:tc>
        <w:tc>
          <w:tcPr>
            <w:tcW w:w="6129" w:type="dxa"/>
            <w:tcBorders>
              <w:top w:val="nil"/>
              <w:left w:val="nil"/>
              <w:bottom w:val="single" w:sz="4" w:space="0" w:color="auto"/>
              <w:right w:val="single" w:sz="4" w:space="0" w:color="auto"/>
            </w:tcBorders>
            <w:shd w:val="clear" w:color="auto" w:fill="auto"/>
          </w:tcPr>
          <w:p>
            <w:pPr>
              <w:pStyle w:val="style0"/>
              <w:widowControl/>
              <w:rPr>
                <w:rFonts w:ascii="Times New Roman" w:hAnsi="Times New Roman"/>
                <w:kern w:val="0"/>
                <w:szCs w:val="21"/>
              </w:rPr>
            </w:pPr>
            <w:r>
              <w:rPr>
                <w:rFonts w:ascii="Times New Roman" w:hAnsi="Times New Roman"/>
                <w:kern w:val="0"/>
                <w:szCs w:val="21"/>
              </w:rPr>
              <w:t>三级进度计划网络图中非关键节点工期每项每推迟一天（总工期按合同进行考核）</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w:t>
            </w:r>
          </w:p>
        </w:tc>
      </w:tr>
      <w:tr>
        <w:tblPrEx/>
        <w:trPr>
          <w:trHeight w:val="864"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合同总工期每推迟一天且影响机组点火或整组启动</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每推迟一天考核合同总价的2%，累计不超过合同总价的20%</w:t>
            </w:r>
          </w:p>
        </w:tc>
      </w:tr>
      <w:tr>
        <w:tblPrEx/>
        <w:trPr>
          <w:trHeight w:val="864"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合同总工期每推迟一天且未影响重要试验、机组点火或整组启动</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每推迟一天考核合同总价的1%，累计不超过合同总价的10%</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8</w:t>
            </w:r>
          </w:p>
        </w:tc>
        <w:tc>
          <w:tcPr>
            <w:tcW w:w="6129" w:type="dxa"/>
            <w:tcBorders>
              <w:top w:val="nil"/>
              <w:left w:val="nil"/>
              <w:bottom w:val="single" w:sz="4" w:space="0" w:color="auto"/>
              <w:right w:val="single" w:sz="4" w:space="0" w:color="auto"/>
            </w:tcBorders>
            <w:shd w:val="clear" w:color="auto" w:fill="auto"/>
          </w:tcPr>
          <w:p>
            <w:pPr>
              <w:pStyle w:val="style0"/>
              <w:widowControl/>
              <w:rPr>
                <w:rFonts w:ascii="Times New Roman" w:hAnsi="Times New Roman"/>
                <w:kern w:val="0"/>
                <w:szCs w:val="21"/>
              </w:rPr>
            </w:pPr>
            <w:r>
              <w:rPr>
                <w:rFonts w:ascii="Times New Roman" w:hAnsi="Times New Roman"/>
                <w:kern w:val="0"/>
                <w:szCs w:val="21"/>
              </w:rPr>
              <w:t>存在安全隐患、影响机组安全运行或机组出力的缺陷，未按甲方要求进行及时处理，每推迟一天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9</w:t>
            </w:r>
          </w:p>
        </w:tc>
        <w:tc>
          <w:tcPr>
            <w:tcW w:w="6129" w:type="dxa"/>
            <w:tcBorders>
              <w:top w:val="nil"/>
              <w:left w:val="nil"/>
              <w:bottom w:val="single" w:sz="4" w:space="0" w:color="auto"/>
              <w:right w:val="single" w:sz="4" w:space="0" w:color="auto"/>
            </w:tcBorders>
            <w:shd w:val="clear" w:color="auto" w:fill="auto"/>
          </w:tcPr>
          <w:p>
            <w:pPr>
              <w:pStyle w:val="style0"/>
              <w:widowControl/>
              <w:rPr>
                <w:rFonts w:ascii="Times New Roman" w:hAnsi="Times New Roman"/>
                <w:kern w:val="0"/>
                <w:szCs w:val="21"/>
              </w:rPr>
            </w:pPr>
            <w:r>
              <w:rPr>
                <w:rFonts w:ascii="Times New Roman" w:hAnsi="Times New Roman"/>
                <w:kern w:val="0"/>
                <w:szCs w:val="21"/>
              </w:rPr>
              <w:t>存在安全隐患、影响机组安全运行或机组出力的缺陷，未按甲方要求时间处理好，每推迟一天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检修项目、消缺项目未按甲方要求进行及时处理，开工时间每推迟一天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考核500-2000元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检修项目、消缺项目未按甲方要求时间处理好，每推迟一天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考核500-2000元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机组投运后质保期内出现缺陷时，乙方未按要求时间到达甲方现场进行处理的，每推迟一天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考核1000-5000元</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机组投运后质保期内出现缺陷时，乙方未按甲方要求时间处理好，每推迟一天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考核5000-10000元</w:t>
            </w:r>
          </w:p>
        </w:tc>
      </w:tr>
      <w:tr>
        <w:tblPrEx/>
        <w:trPr>
          <w:trHeight w:val="645" w:hRule="atLeast"/>
        </w:trPr>
        <w:tc>
          <w:tcPr>
            <w:tcW w:w="620" w:type="dxa"/>
            <w:tcBorders>
              <w:top w:val="nil"/>
              <w:left w:val="single" w:sz="4" w:space="0" w:color="auto"/>
              <w:bottom w:val="single" w:sz="4" w:space="0" w:color="auto"/>
              <w:right w:val="single" w:sz="4" w:space="0" w:color="auto"/>
            </w:tcBorders>
            <w:shd w:val="clear" w:color="auto" w:fill="auto"/>
            <w:noWrap/>
            <w:vAlign w:val="center"/>
          </w:tcPr>
          <w:p>
            <w:pPr>
              <w:pStyle w:val="style0"/>
              <w:widowControl/>
              <w:jc w:val="center"/>
              <w:rPr>
                <w:rFonts w:ascii="Times New Roman" w:hAnsi="Times New Roman"/>
                <w:kern w:val="0"/>
                <w:sz w:val="22"/>
              </w:rPr>
            </w:pPr>
            <w:r>
              <w:rPr>
                <w:rFonts w:ascii="Times New Roman" w:hAnsi="Times New Roman"/>
                <w:kern w:val="0"/>
                <w:sz w:val="22"/>
              </w:rPr>
              <w:t>注</w:t>
            </w:r>
          </w:p>
        </w:tc>
        <w:tc>
          <w:tcPr>
            <w:tcW w:w="8429" w:type="dxa"/>
            <w:gridSpan w:val="2"/>
            <w:tcBorders>
              <w:top w:val="single" w:sz="4" w:space="0" w:color="auto"/>
              <w:left w:val="nil"/>
              <w:bottom w:val="single" w:sz="4" w:space="0" w:color="auto"/>
              <w:right w:val="single" w:sz="4" w:space="0" w:color="000000"/>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如项目执行中，因检修计划总工期调整、交叉作业调整等原因经甲乙双方协商共同同意后工期发生变化，以双方协商确认的工期为准进行考核。</w:t>
            </w:r>
          </w:p>
        </w:tc>
      </w:tr>
      <w:tr>
        <w:tblPrEx/>
        <w:trPr>
          <w:trHeight w:val="585" w:hRule="atLeast"/>
        </w:trPr>
        <w:tc>
          <w:tcPr>
            <w:tcW w:w="90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b/>
                <w:bCs/>
                <w:kern w:val="0"/>
                <w:szCs w:val="21"/>
              </w:rPr>
              <w:t>第四部分 文明考核</w:t>
            </w:r>
          </w:p>
        </w:tc>
      </w:tr>
      <w:tr>
        <w:tblPrEx/>
        <w:trPr>
          <w:trHeight w:val="3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宋体" w:cs="宋体" w:hAnsi="宋体"/>
                <w:kern w:val="0"/>
                <w:szCs w:val="21"/>
              </w:rPr>
            </w:pPr>
            <w:r>
              <w:rPr>
                <w:rFonts w:ascii="宋体" w:cs="宋体" w:hAnsi="宋体" w:hint="eastAsia"/>
                <w:kern w:val="0"/>
                <w:szCs w:val="21"/>
              </w:rPr>
              <w:t>人员着装不统一，工作服、安全帽等未按要求制作统一的单位明显标志</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宋体" w:cs="宋体" w:hAnsi="宋体"/>
                <w:kern w:val="0"/>
                <w:szCs w:val="21"/>
              </w:rPr>
            </w:pPr>
            <w:r>
              <w:rPr>
                <w:rFonts w:ascii="宋体" w:cs="宋体" w:hAnsi="宋体" w:hint="eastAsia"/>
                <w:kern w:val="0"/>
                <w:szCs w:val="21"/>
              </w:rPr>
              <w:t>考核1000元/次</w:t>
            </w:r>
          </w:p>
        </w:tc>
      </w:tr>
      <w:tr>
        <w:tblPrEx/>
        <w:trPr>
          <w:trHeight w:val="3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hint="eastAsia"/>
                <w:kern w:val="0"/>
                <w:szCs w:val="21"/>
              </w:rPr>
              <w:t>2</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宋体" w:cs="宋体" w:hAnsi="宋体"/>
                <w:kern w:val="0"/>
                <w:szCs w:val="21"/>
              </w:rPr>
            </w:pPr>
            <w:r>
              <w:rPr>
                <w:rFonts w:ascii="宋体" w:cs="宋体" w:hAnsi="宋体" w:hint="eastAsia"/>
                <w:kern w:val="0"/>
                <w:szCs w:val="21"/>
              </w:rPr>
              <w:t>作业区域无有效隔离或未做警示标识</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jc w:val="left"/>
              <w:rPr>
                <w:rFonts w:ascii="宋体" w:cs="宋体" w:hAnsi="宋体"/>
                <w:kern w:val="0"/>
                <w:szCs w:val="21"/>
              </w:rPr>
            </w:pPr>
            <w:r>
              <w:rPr>
                <w:rFonts w:ascii="宋体" w:cs="宋体" w:hAnsi="宋体" w:hint="eastAsia"/>
                <w:kern w:val="0"/>
                <w:szCs w:val="21"/>
              </w:rPr>
              <w:t>考核1000元/次</w:t>
            </w:r>
          </w:p>
        </w:tc>
      </w:tr>
      <w:tr>
        <w:tblPrEx/>
        <w:trPr>
          <w:trHeight w:val="128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检修作业现场严格定制摆放，做到“三无”（无油迹、无水、无灰），“三齐”（拆下零部件放整齐、检修机具放整齐、材料备品放整齐），“三不乱”（电线不乱拉，管路不乱放，垃圾不乱丢），“三不落地”（使用工具、量具不落地，拆下来的零件不落地，污油脏物不落地），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考核1000—2000元/次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4</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在平台格栅上进行检修作业，作业区域必须铺设橡胶垫或铁板，以防零部件掉落伤人或损坏，违者按要求考核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考核1000元/次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5</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检修作业应及时清理被检设备和检修现场，保持作业区域和生产场所的清洁、文明状态。每天检修完毕后将废料、废液、废布等垃圾整理运走，区域内应无灰尘、无垃圾、无污油、无杂物、无散乱零件、处理检修废料时，不能将化学药品、废油等对环境有危害的物品随意处置，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考核1000—2000元/次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6</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Times New Roman" w:hAnsi="Times New Roman"/>
                <w:kern w:val="0"/>
                <w:szCs w:val="21"/>
              </w:rPr>
            </w:pPr>
            <w:r>
              <w:rPr>
                <w:rFonts w:ascii="宋体" w:cs="宋体" w:hAnsi="宋体" w:hint="eastAsia"/>
                <w:kern w:val="0"/>
                <w:szCs w:val="21"/>
              </w:rPr>
              <w:t>检修过程中应做好现场成品的保护工作，如管道保温、路沿石、沟盖板、地面、墙面等，</w:t>
            </w:r>
            <w:r>
              <w:rPr>
                <w:rStyle w:val="style4102"/>
                <w:rFonts w:hint="default"/>
              </w:rPr>
              <w:t>不允许在</w:t>
            </w:r>
            <w:r>
              <w:rPr>
                <w:rStyle w:val="style4103"/>
                <w:rFonts w:ascii="宋体" w:cs="宋体" w:hint="eastAsia"/>
                <w:color w:val="auto"/>
              </w:rPr>
              <w:t>PVC</w:t>
            </w:r>
            <w:r>
              <w:rPr>
                <w:rStyle w:val="style4102"/>
                <w:rFonts w:hint="default"/>
              </w:rPr>
              <w:t>地面、油漆地面上拖、拽、滚重物（如氧气瓶、乙炔瓶、电焊机、油桶等）；同时，在此类地面上搭设脚手架时，要垫好木板、橡皮等物，防止损坏地面，违者按要求考核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Times New Roman" w:hAnsi="Times New Roman"/>
                <w:kern w:val="0"/>
                <w:szCs w:val="21"/>
              </w:rPr>
            </w:pPr>
            <w:r>
              <w:rPr>
                <w:rFonts w:ascii="宋体" w:cs="宋体" w:hAnsi="宋体" w:hint="eastAsia"/>
                <w:kern w:val="0"/>
                <w:szCs w:val="21"/>
              </w:rPr>
              <w:t>考核1000—2000元/次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7</w:t>
            </w:r>
          </w:p>
        </w:tc>
        <w:tc>
          <w:tcPr>
            <w:tcW w:w="6129" w:type="dxa"/>
            <w:tcBorders>
              <w:top w:val="nil"/>
              <w:left w:val="nil"/>
              <w:bottom w:val="single" w:sz="4" w:space="0" w:color="auto"/>
              <w:right w:val="single" w:sz="4" w:space="0" w:color="auto"/>
            </w:tcBorders>
            <w:shd w:val="clear" w:color="auto" w:fill="auto"/>
            <w:vAlign w:val="center"/>
          </w:tcPr>
          <w:p>
            <w:pPr>
              <w:pStyle w:val="style0"/>
              <w:textAlignment w:val="center"/>
              <w:rPr>
                <w:rFonts w:ascii="宋体" w:cs="宋体" w:hAnsi="宋体"/>
                <w:szCs w:val="21"/>
              </w:rPr>
            </w:pPr>
            <w:r>
              <w:rPr>
                <w:rFonts w:ascii="宋体" w:cs="宋体" w:hAnsi="宋体" w:hint="eastAsia"/>
                <w:kern w:val="0"/>
                <w:szCs w:val="21"/>
              </w:rPr>
              <w:t>保温拆除作业要求轻拆轻装，随拆随清，做到不扬灰、不乱堆乱撒。在脚手架和格栅上施工的，应在脚手架和格栅平台上铺好彩条布，防止碎保温落到下方，违者按要求考核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jc w:val="left"/>
              <w:textAlignment w:val="center"/>
              <w:rPr>
                <w:rFonts w:ascii="宋体" w:cs="宋体" w:hAnsi="宋体"/>
                <w:szCs w:val="21"/>
              </w:rPr>
            </w:pPr>
            <w:r>
              <w:rPr>
                <w:rFonts w:ascii="宋体" w:cs="宋体" w:hAnsi="宋体" w:hint="eastAsia"/>
                <w:kern w:val="0"/>
                <w:szCs w:val="21"/>
              </w:rPr>
              <w:t>考核1000元/次</w:t>
            </w:r>
          </w:p>
        </w:tc>
      </w:tr>
      <w:tr>
        <w:tblPrEx/>
        <w:trPr>
          <w:trHeight w:val="57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9</w:t>
            </w:r>
          </w:p>
        </w:tc>
        <w:tc>
          <w:tcPr>
            <w:tcW w:w="6129" w:type="dxa"/>
            <w:tcBorders>
              <w:top w:val="nil"/>
              <w:left w:val="nil"/>
              <w:bottom w:val="single" w:sz="4" w:space="0" w:color="auto"/>
              <w:right w:val="single" w:sz="4" w:space="0" w:color="auto"/>
            </w:tcBorders>
            <w:shd w:val="clear" w:color="auto" w:fill="auto"/>
            <w:vAlign w:val="center"/>
          </w:tcPr>
          <w:p>
            <w:pPr>
              <w:pStyle w:val="style0"/>
              <w:jc w:val="left"/>
              <w:rPr>
                <w:rFonts w:ascii="Times New Roman" w:hAnsi="Times New Roman"/>
                <w:kern w:val="0"/>
                <w:szCs w:val="21"/>
              </w:rPr>
            </w:pPr>
            <w:r>
              <w:rPr>
                <w:rFonts w:ascii="Times New Roman" w:hAnsi="Times New Roman"/>
                <w:kern w:val="0"/>
                <w:szCs w:val="21"/>
              </w:rPr>
              <w:t>作业结束应及时清理被检设备和检修现场，保持作业区域和生产场所的清洁、文明状态。每天检修完毕后将废料、废液、废布等垃圾整理运走，区域内应无灰尘、无垃圾、无污油、无杂物、无散乱零件、处理检修废料时，不能将化学药品、废油等对环境有危害的物品随意处置，违者按要求考核</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考核1000—2000元/次</w:t>
            </w:r>
          </w:p>
        </w:tc>
      </w:tr>
      <w:tr>
        <w:tblPrEx/>
        <w:trPr>
          <w:trHeight w:val="50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未经批准任意在厂内的设备、结构、墙板、楼板上开孔、拴挂吊具或焊接临时结构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考核1000-3000元/次</w:t>
            </w:r>
          </w:p>
        </w:tc>
      </w:tr>
      <w:tr>
        <w:tblPrEx/>
        <w:trPr>
          <w:trHeight w:val="1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在生产检修现场随意大小便</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29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油漆、粉刷等作业未采取防滴漏措施</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312"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污染或损坏已油漆、粉刷好的物件或墙面（地面）</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24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在设备或物件上乱涂乱画</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283"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任意倾倒垃圾或垃圾池堆满垃圾未及时清走</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w:t>
            </w:r>
          </w:p>
        </w:tc>
      </w:tr>
      <w:tr>
        <w:tblPrEx/>
        <w:trPr>
          <w:trHeight w:val="501"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hint="eastAsia"/>
                <w:kern w:val="0"/>
                <w:szCs w:val="21"/>
              </w:rPr>
              <w:t>16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固废、危废未按要求处置，随意倾倒在生产现场或混入生活垃圾池</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考核2000-5000元/次</w:t>
            </w:r>
          </w:p>
        </w:tc>
      </w:tr>
      <w:tr>
        <w:tblPrEx/>
        <w:trPr>
          <w:trHeight w:val="525" w:hRule="atLeast"/>
        </w:trPr>
        <w:tc>
          <w:tcPr>
            <w:tcW w:w="90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b/>
                <w:bCs/>
                <w:kern w:val="0"/>
                <w:szCs w:val="21"/>
              </w:rPr>
              <w:t>第五部分  其他考核</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未经甲方许可擅自更换项目经理或副经理、技术负责人</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每人/次考核20000元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未经甲方许可擅自更换专业负责人、安全人员、质检员</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每人/次考核10000元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未经甲方许可擅自更换班长（技术员）</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每人/次考核8000元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未经甲方许可擅自更换工作负责人</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每人/次考核8000元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项目经理、副经理或技术负责人未经甲方许可情况下未按期到位或离厂、缺少</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每人/每天考核1000元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专业负责人、安全员或质检员未经甲方许可情况下未按期到位或离厂、缺少</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每人/每天次考核800元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工作负责人、班长（或技术员）每少1人</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每天考核600元</w:t>
            </w:r>
          </w:p>
        </w:tc>
      </w:tr>
      <w:tr>
        <w:tblPrEx/>
        <w:trPr>
          <w:trHeight w:val="9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检修人员每少1人</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每天考核400元</w:t>
            </w:r>
          </w:p>
        </w:tc>
      </w:tr>
      <w:tr>
        <w:tblPrEx/>
        <w:trPr>
          <w:trHeight w:val="61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甲方认为相关人员不能满足现场岗位要求，需要乙方进行更换时，乙方未按期进行更换，每延迟一天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考核2000元/人</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五牌二图、现场定制管理方面没有按要求时间布置好</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考核1000元/天</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需外部专家评审的重大措施、方案未按要求进行外部评审</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考核50000元/项</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重大措施、方案未及时报送</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考核500元/天/项</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重大措施、方案缺少</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考核10000元/项</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安全技术措施、作业指导书、检修文件包缺少</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考核5000元/天/项</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安全技术措施未按要求进行补充</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考核5000元/项</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其他修前准备工作未按甲方要求执行</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考核2000元/项</w:t>
            </w:r>
          </w:p>
        </w:tc>
      </w:tr>
      <w:tr>
        <w:tblPrEx/>
        <w:trPr>
          <w:trHeight w:val="55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乙方负责人员缺席或未准时参加甲方要求参加的检修协调会、专业会、事故调查会。</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考核300元/次</w:t>
            </w:r>
          </w:p>
        </w:tc>
      </w:tr>
      <w:tr>
        <w:tblPrEx/>
        <w:trPr>
          <w:trHeight w:val="42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接到消缺通知，未按时赶到现场处理，值班人员不能随叫随到。</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考核500元/次</w:t>
            </w:r>
          </w:p>
        </w:tc>
      </w:tr>
      <w:tr>
        <w:tblPrEx/>
        <w:trPr>
          <w:trHeight w:val="88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19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在责任范围内，不按时执行甲方安排的工作。</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考核1000元/次，导致事故按程度另计，最高按非停考核。</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重要机械设备缺少，已发生进度滞后的，未按甲方要求时间到场，每推迟一天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不服从甲方管理，与甲方管理人员发生扯皮，推卸责任等事宜</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考核5000-10000元</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乙方有关负责人不如实汇报工作情况，或隐瞒事实真相。</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考核2000～5000元/次</w:t>
            </w:r>
          </w:p>
        </w:tc>
      </w:tr>
      <w:tr>
        <w:tblPrEx/>
        <w:trPr>
          <w:trHeight w:val="480"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23</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乙方使用随机备件、备品备件出现人为损坏或浪费。</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按甲方购买价的双倍扣除</w:t>
            </w:r>
          </w:p>
        </w:tc>
      </w:tr>
      <w:tr>
        <w:tblPrEx/>
        <w:trPr>
          <w:trHeight w:val="8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24</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借用甲方专用工器具损坏的。</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乙方能修复的处罚500元/项，损坏严重的按双倍的购买价赔偿。</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25</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人员着装、安全帽、安全带等配置不符合规范、不统一</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考核500元/人/项，逾期不整改加倍考核</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26</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现场各类标识、标志牌、宣传标语等缺少、不规范标准、不统一</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考核300元/处，限期未整改好加倍考核</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27</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安全健康防护装备、安全设施、安全围栏等不符合标准、不规范、不统一</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考核1000元/处，限期未整改好加倍考核</w:t>
            </w:r>
          </w:p>
        </w:tc>
      </w:tr>
      <w:tr>
        <w:tblPrEx/>
        <w:trPr>
          <w:trHeight w:val="441"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28</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班前会、班后会未召开</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考核500元/次</w:t>
            </w:r>
          </w:p>
        </w:tc>
      </w:tr>
      <w:tr>
        <w:tblPrEx/>
        <w:trPr>
          <w:trHeight w:val="4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29</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班前会、班后会记录不全、不符合要求</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考核300元/次</w:t>
            </w:r>
          </w:p>
        </w:tc>
      </w:tr>
      <w:tr>
        <w:tblPrEx/>
        <w:trPr>
          <w:trHeight w:val="53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30</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针对甲方或监理提出的问题没有及时响应（含微信群发布的消息）</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考核500元/项，限期未整改好加倍考核</w:t>
            </w:r>
          </w:p>
        </w:tc>
      </w:tr>
      <w:tr>
        <w:tblPrEx/>
        <w:trPr>
          <w:trHeight w:val="37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31</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各类会议确定的问题没有按时进行反馈，每推迟一天</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考核500元</w:t>
            </w:r>
          </w:p>
        </w:tc>
      </w:tr>
      <w:tr>
        <w:tblPrEx/>
        <w:trPr>
          <w:trHeight w:val="576"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Cs w:val="21"/>
              </w:rPr>
            </w:pPr>
            <w:r>
              <w:rPr>
                <w:rFonts w:ascii="Times New Roman" w:hAnsi="Times New Roman"/>
                <w:kern w:val="0"/>
                <w:szCs w:val="21"/>
              </w:rPr>
              <w:t>32</w:t>
            </w:r>
          </w:p>
        </w:tc>
        <w:tc>
          <w:tcPr>
            <w:tcW w:w="6129" w:type="dxa"/>
            <w:tcBorders>
              <w:top w:val="nil"/>
              <w:left w:val="nil"/>
              <w:bottom w:val="single" w:sz="4" w:space="0" w:color="auto"/>
              <w:right w:val="single" w:sz="4" w:space="0" w:color="auto"/>
            </w:tcBorders>
            <w:shd w:val="clear" w:color="auto" w:fill="auto"/>
            <w:vAlign w:val="center"/>
          </w:tcPr>
          <w:p>
            <w:pPr>
              <w:pStyle w:val="style0"/>
              <w:widowControl/>
              <w:jc w:val="left"/>
              <w:rPr>
                <w:rFonts w:ascii="Times New Roman" w:hAnsi="Times New Roman"/>
                <w:kern w:val="0"/>
                <w:szCs w:val="21"/>
              </w:rPr>
            </w:pPr>
            <w:r>
              <w:rPr>
                <w:rFonts w:ascii="Times New Roman" w:hAnsi="Times New Roman"/>
                <w:kern w:val="0"/>
                <w:szCs w:val="21"/>
              </w:rPr>
              <w:t>未按甲方要求安排人员配合机组整组启动或启动后的配合工作</w:t>
            </w:r>
          </w:p>
        </w:tc>
        <w:tc>
          <w:tcPr>
            <w:tcW w:w="2300" w:type="dxa"/>
            <w:tcBorders>
              <w:top w:val="nil"/>
              <w:left w:val="nil"/>
              <w:bottom w:val="single" w:sz="4" w:space="0" w:color="auto"/>
              <w:right w:val="single" w:sz="4" w:space="0" w:color="auto"/>
            </w:tcBorders>
            <w:shd w:val="clear" w:color="auto" w:fill="auto"/>
            <w:vAlign w:val="center"/>
          </w:tcPr>
          <w:p>
            <w:pPr>
              <w:pStyle w:val="style0"/>
              <w:widowControl/>
              <w:rPr>
                <w:rFonts w:ascii="Times New Roman" w:hAnsi="Times New Roman"/>
                <w:kern w:val="0"/>
                <w:szCs w:val="21"/>
              </w:rPr>
            </w:pPr>
            <w:r>
              <w:rPr>
                <w:rFonts w:ascii="Times New Roman" w:hAnsi="Times New Roman"/>
                <w:kern w:val="0"/>
                <w:szCs w:val="21"/>
              </w:rPr>
              <w:t>考核5000元，逾期不执行加倍考核</w:t>
            </w:r>
          </w:p>
        </w:tc>
      </w:tr>
      <w:tr>
        <w:tblPrEx/>
        <w:trPr>
          <w:trHeight w:val="648"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hAnsi="Times New Roman"/>
                <w:kern w:val="0"/>
                <w:sz w:val="18"/>
                <w:szCs w:val="18"/>
              </w:rPr>
            </w:pPr>
            <w:r>
              <w:rPr>
                <w:rFonts w:ascii="Times New Roman" w:hAnsi="Times New Roman"/>
                <w:kern w:val="0"/>
                <w:sz w:val="18"/>
                <w:szCs w:val="18"/>
              </w:rPr>
              <w:t>注</w:t>
            </w:r>
          </w:p>
        </w:tc>
        <w:tc>
          <w:tcPr>
            <w:tcW w:w="8429" w:type="dxa"/>
            <w:gridSpan w:val="2"/>
            <w:tcBorders>
              <w:top w:val="single" w:sz="4" w:space="0" w:color="auto"/>
              <w:left w:val="nil"/>
              <w:bottom w:val="single" w:sz="4" w:space="0" w:color="auto"/>
              <w:right w:val="single" w:sz="4" w:space="0" w:color="000000"/>
            </w:tcBorders>
            <w:shd w:val="clear" w:color="auto" w:fill="auto"/>
            <w:vAlign w:val="center"/>
          </w:tcPr>
          <w:p>
            <w:pPr>
              <w:pStyle w:val="style0"/>
              <w:widowControl/>
              <w:rPr>
                <w:rFonts w:ascii="Times New Roman" w:hAnsi="Times New Roman"/>
                <w:kern w:val="0"/>
                <w:sz w:val="18"/>
                <w:szCs w:val="18"/>
              </w:rPr>
            </w:pPr>
            <w:r>
              <w:rPr>
                <w:rFonts w:ascii="Times New Roman" w:hAnsi="Times New Roman"/>
                <w:kern w:val="0"/>
                <w:sz w:val="18"/>
                <w:szCs w:val="18"/>
              </w:rPr>
              <w:t>考核天数计算依据为：甲方合同要求的到位时间、检修工期内时间；各级人员素质不满足视为人员缺少，按缺少考核。</w:t>
            </w:r>
          </w:p>
        </w:tc>
      </w:tr>
    </w:tbl>
    <w:p>
      <w:pPr>
        <w:pStyle w:val="style0"/>
        <w:rPr>
          <w:rFonts w:hint="eastAsia"/>
        </w:rPr>
      </w:pPr>
    </w:p>
    <w:p>
      <w:pPr>
        <w:pStyle w:val="style0"/>
        <w:spacing w:lineRule="auto" w:line="360"/>
        <w:jc w:val="center"/>
        <w:rPr>
          <w:b/>
          <w:bCs/>
          <w:sz w:val="24"/>
          <w:szCs w:val="24"/>
        </w:rPr>
      </w:pPr>
      <w:r>
        <w:rPr>
          <w:rFonts w:hint="eastAsia"/>
          <w:b/>
          <w:bCs/>
          <w:sz w:val="24"/>
          <w:szCs w:val="24"/>
        </w:rPr>
        <w:t>承包商的奖励细则</w:t>
      </w:r>
    </w:p>
    <w:tbl>
      <w:tblPr>
        <w:tblStyle w:val="style105"/>
        <w:tblW w:w="9440" w:type="dxa"/>
        <w:tblInd w:w="96" w:type="dxa"/>
        <w:tblCellMar>
          <w:top w:w="0" w:type="dxa"/>
          <w:left w:w="108" w:type="dxa"/>
          <w:bottom w:w="0" w:type="dxa"/>
          <w:right w:w="108" w:type="dxa"/>
        </w:tblCellMar>
      </w:tblPr>
      <w:tblGrid>
        <w:gridCol w:w="620"/>
        <w:gridCol w:w="6560"/>
        <w:gridCol w:w="2260"/>
      </w:tblGrid>
      <w:tr>
        <w:trPr>
          <w:trHeight w:val="480" w:hRule="atLeast"/>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1</w:t>
            </w:r>
          </w:p>
        </w:tc>
        <w:tc>
          <w:tcPr>
            <w:tcW w:w="6560" w:type="dxa"/>
            <w:tcBorders>
              <w:top w:val="single" w:sz="4" w:space="0" w:color="auto"/>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组织得力，积极配合抢修/消缺，保障机组设备稳定运行</w:t>
            </w:r>
          </w:p>
        </w:tc>
        <w:tc>
          <w:tcPr>
            <w:tcW w:w="2260" w:type="dxa"/>
            <w:tcBorders>
              <w:top w:val="single" w:sz="4" w:space="0" w:color="auto"/>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奖励500-20000元</w:t>
            </w:r>
          </w:p>
        </w:tc>
      </w:tr>
      <w:tr>
        <w:tblPrEx/>
        <w:trPr>
          <w:trHeight w:val="8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2</w:t>
            </w:r>
          </w:p>
        </w:tc>
        <w:tc>
          <w:tcPr>
            <w:tcW w:w="65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积极主动配合执行甲方安排的工作</w:t>
            </w:r>
          </w:p>
        </w:tc>
        <w:tc>
          <w:tcPr>
            <w:tcW w:w="22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奖励500-20000元</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3</w:t>
            </w:r>
          </w:p>
        </w:tc>
        <w:tc>
          <w:tcPr>
            <w:tcW w:w="65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运行中及时发现一般设备缺陷并及时汇报或处置</w:t>
            </w:r>
          </w:p>
        </w:tc>
        <w:tc>
          <w:tcPr>
            <w:tcW w:w="22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奖励100元-500元</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4</w:t>
            </w:r>
          </w:p>
        </w:tc>
        <w:tc>
          <w:tcPr>
            <w:tcW w:w="65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发现重大缺陷及时汇报或处置的</w:t>
            </w:r>
          </w:p>
        </w:tc>
        <w:tc>
          <w:tcPr>
            <w:tcW w:w="22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奖励500-2000元</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5</w:t>
            </w:r>
          </w:p>
        </w:tc>
        <w:tc>
          <w:tcPr>
            <w:tcW w:w="65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月度工作完成情况较好</w:t>
            </w:r>
          </w:p>
        </w:tc>
        <w:tc>
          <w:tcPr>
            <w:tcW w:w="22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奖励1000-5000元</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6</w:t>
            </w:r>
          </w:p>
        </w:tc>
        <w:tc>
          <w:tcPr>
            <w:tcW w:w="65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提供合理化建议或制定优化措施，并取得效果</w:t>
            </w:r>
          </w:p>
        </w:tc>
        <w:tc>
          <w:tcPr>
            <w:tcW w:w="22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奖励100-10000元</w:t>
            </w:r>
          </w:p>
        </w:tc>
      </w:tr>
      <w:tr>
        <w:tblPrEx/>
        <w:trPr>
          <w:trHeight w:val="52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7</w:t>
            </w:r>
          </w:p>
        </w:tc>
        <w:tc>
          <w:tcPr>
            <w:tcW w:w="65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按要求完成合同约定内容，且整体性能达到技术协议要求的</w:t>
            </w:r>
          </w:p>
        </w:tc>
        <w:tc>
          <w:tcPr>
            <w:tcW w:w="2260" w:type="dxa"/>
            <w:tcBorders>
              <w:top w:val="nil"/>
              <w:left w:val="nil"/>
              <w:bottom w:val="single" w:sz="4" w:space="0" w:color="auto"/>
              <w:right w:val="single" w:sz="4" w:space="0" w:color="auto"/>
            </w:tcBorders>
            <w:shd w:val="clear" w:color="auto" w:fill="auto"/>
            <w:vAlign w:val="center"/>
          </w:tcPr>
          <w:p>
            <w:pPr>
              <w:pStyle w:val="style0"/>
              <w:widowControl/>
              <w:rPr>
                <w:rFonts w:ascii="宋体" w:cs="宋体" w:hAnsi="宋体"/>
                <w:color w:val="000000"/>
                <w:kern w:val="0"/>
                <w:szCs w:val="21"/>
              </w:rPr>
            </w:pPr>
            <w:r>
              <w:rPr>
                <w:rFonts w:ascii="宋体" w:hAnsi="宋体" w:hint="eastAsia"/>
              </w:rPr>
              <w:t>奖励不超过合同金额的5%</w:t>
            </w:r>
          </w:p>
        </w:tc>
      </w:tr>
      <w:tr>
        <w:tblPrEx/>
        <w:trPr>
          <w:trHeight w:val="705" w:hRule="atLeast"/>
        </w:trPr>
        <w:tc>
          <w:tcPr>
            <w:tcW w:w="620"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color w:val="000000"/>
                <w:kern w:val="0"/>
                <w:szCs w:val="21"/>
              </w:rPr>
            </w:pPr>
            <w:r>
              <w:rPr>
                <w:rFonts w:ascii="宋体" w:cs="宋体" w:hAnsi="宋体" w:hint="eastAsia"/>
                <w:color w:val="000000"/>
                <w:kern w:val="0"/>
                <w:szCs w:val="21"/>
              </w:rPr>
              <w:t>注</w:t>
            </w:r>
          </w:p>
        </w:tc>
        <w:tc>
          <w:tcPr>
            <w:tcW w:w="8820" w:type="dxa"/>
            <w:gridSpan w:val="2"/>
            <w:tcBorders>
              <w:top w:val="single" w:sz="4" w:space="0" w:color="auto"/>
              <w:left w:val="nil"/>
              <w:bottom w:val="single" w:sz="4" w:space="0" w:color="auto"/>
              <w:right w:val="single" w:sz="4" w:space="0" w:color="000000"/>
            </w:tcBorders>
            <w:shd w:val="clear" w:color="auto" w:fill="auto"/>
            <w:vAlign w:val="center"/>
          </w:tcPr>
          <w:p>
            <w:pPr>
              <w:pStyle w:val="style0"/>
              <w:rPr>
                <w:rFonts w:ascii="宋体" w:hAnsi="宋体"/>
              </w:rPr>
            </w:pPr>
            <w:r>
              <w:rPr>
                <w:rFonts w:ascii="宋体" w:hAnsi="宋体" w:hint="eastAsia"/>
              </w:rPr>
              <w:t>奖励10000元及以下的，由项目管理部门签发；奖励10000以上至50000元的（含50000元），由项目管理部门及生产技术部进行双签确认，报分管副总经理签发；50000元以上由总经理签发。</w:t>
            </w:r>
          </w:p>
          <w:p>
            <w:pPr>
              <w:pStyle w:val="style0"/>
              <w:widowControl/>
              <w:rPr>
                <w:rFonts w:ascii="宋体" w:cs="宋体" w:hAnsi="宋体"/>
                <w:color w:val="000000"/>
                <w:kern w:val="0"/>
                <w:szCs w:val="21"/>
              </w:rPr>
            </w:pPr>
          </w:p>
        </w:tc>
      </w:tr>
    </w:tbl>
    <w:p>
      <w:pPr>
        <w:pStyle w:val="style19"/>
        <w:keepNext w:val="false"/>
        <w:keepLines w:val="false"/>
        <w:pageBreakBefore w:val="false"/>
        <w:widowControl w:val="false"/>
        <w:numPr>
          <w:ilvl w:val="0"/>
          <w:numId w:val="0"/>
        </w:numPr>
        <w:tabs>
          <w:tab w:val="left" w:leader="none" w:pos="840"/>
          <w:tab w:val="right" w:leader="dot" w:pos="9117"/>
        </w:tabs>
        <w:kinsoku/>
        <w:wordWrap/>
        <w:overflowPunct/>
        <w:topLinePunct w:val="false"/>
        <w:autoSpaceDE/>
        <w:autoSpaceDN/>
        <w:bidi w:val="false"/>
        <w:adjustRightInd/>
        <w:spacing w:lineRule="auto" w:line="360"/>
        <w:textAlignment w:val="auto"/>
        <w:rPr/>
      </w:pPr>
    </w:p>
    <w:sectPr>
      <w:footerReference w:type="default" r:id="rId2"/>
      <w:footerReference w:type="first" r:id="rId3"/>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rect>
          </w:pict>
        </mc:Fallback>
      </mc:AlternateContent>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7132C9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1"/>
    <w:multiLevelType w:val="singleLevel"/>
    <w:tmpl w:val="59E9AF17"/>
    <w:lvl w:ilvl="0">
      <w:start w:val="1"/>
      <w:numFmt w:val="chineseCounting"/>
      <w:suff w:val="nothing"/>
      <w:lvlText w:val="%1、"/>
      <w:lvlJc w:val="left"/>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2"/>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No Spacing1"/>
    <w:basedOn w:val="style0"/>
    <w:next w:val="style4097"/>
    <w:qFormat/>
    <w:uiPriority w:val="0"/>
    <w:pPr>
      <w:tabs>
        <w:tab w:val="left" w:leader="none" w:pos="737"/>
      </w:tabs>
      <w:spacing w:lineRule="exact" w:line="400"/>
    </w:pPr>
    <w:rPr>
      <w:sz w:val="24"/>
    </w:rPr>
  </w:style>
  <w:style w:type="paragraph" w:styleId="style67">
    <w:name w:val="Body Text Indent"/>
    <w:basedOn w:val="style0"/>
    <w:next w:val="style67"/>
    <w:qFormat/>
    <w:uiPriority w:val="0"/>
    <w:pPr>
      <w:spacing w:after="120"/>
      <w:ind w:left="420" w:leftChars="200"/>
    </w:pPr>
    <w:rPr/>
  </w:style>
  <w:style w:type="paragraph" w:styleId="style90">
    <w:name w:val="Plain Text"/>
    <w:basedOn w:val="style0"/>
    <w:next w:val="style90"/>
    <w:qFormat/>
    <w:uiPriority w:val="0"/>
    <w:pPr/>
    <w:rPr>
      <w:rFonts w:ascii="仿宋_GB2312" w:eastAsia="仿宋_GB2312" w:hAnsi="Courier New" w:hint="eastAsia"/>
      <w:sz w:val="32"/>
      <w:szCs w:val="20"/>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19">
    <w:name w:val="toc 1"/>
    <w:basedOn w:val="style0"/>
    <w:next w:val="style0"/>
    <w:qFormat/>
    <w:uiPriority w:val="39"/>
    <w:pPr/>
    <w:rPr>
      <w:rFonts w:ascii="Calibri" w:cs="Times New Roman" w:eastAsia="宋体" w:hAnsi="Calibri"/>
    </w:rPr>
  </w:style>
  <w:style w:type="table" w:styleId="style154">
    <w:name w:val="Table Grid"/>
    <w:basedOn w:val="style105"/>
    <w:next w:val="style154"/>
    <w:qFormat/>
    <w:uiPriority w:val="39"/>
    <w:pPr>
      <w:widowControl w:val="false"/>
      <w:jc w:val="both"/>
    </w:pPr>
    <w:rPr>
      <w:rFonts w:ascii="Times New Roman" w:cs="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8">
    <w:name w:val="列出段落3"/>
    <w:basedOn w:val="style0"/>
    <w:next w:val="style4098"/>
    <w:qFormat/>
    <w:uiPriority w:val="99"/>
    <w:pPr>
      <w:ind w:firstLine="420" w:firstLineChars="200"/>
    </w:pPr>
    <w:rPr/>
  </w:style>
  <w:style w:type="character" w:customStyle="1" w:styleId="style4099">
    <w:name w:val="font31"/>
    <w:basedOn w:val="style65"/>
    <w:next w:val="style4099"/>
    <w:qFormat/>
    <w:uiPriority w:val="0"/>
    <w:rPr>
      <w:rFonts w:ascii="宋体" w:cs="宋体" w:eastAsia="宋体" w:hAnsi="宋体" w:hint="eastAsia"/>
      <w:color w:val="92d050"/>
      <w:sz w:val="22"/>
      <w:szCs w:val="22"/>
      <w:u w:val="none"/>
    </w:rPr>
  </w:style>
  <w:style w:type="character" w:customStyle="1" w:styleId="style4100">
    <w:name w:val="font51"/>
    <w:basedOn w:val="style65"/>
    <w:next w:val="style4100"/>
    <w:uiPriority w:val="0"/>
    <w:rPr>
      <w:rFonts w:ascii="宋体" w:cs="宋体" w:eastAsia="宋体" w:hAnsi="宋体" w:hint="eastAsia"/>
      <w:color w:val="000000"/>
      <w:sz w:val="22"/>
      <w:szCs w:val="22"/>
      <w:u w:val="none"/>
    </w:rPr>
  </w:style>
  <w:style w:type="character" w:customStyle="1" w:styleId="style4101">
    <w:name w:val="font11"/>
    <w:basedOn w:val="style65"/>
    <w:next w:val="style4101"/>
    <w:uiPriority w:val="0"/>
    <w:rPr>
      <w:rFonts w:ascii="宋体" w:cs="宋体" w:eastAsia="宋体" w:hAnsi="宋体" w:hint="eastAsia"/>
      <w:color w:val="000000"/>
      <w:sz w:val="22"/>
      <w:szCs w:val="22"/>
      <w:u w:val="none"/>
    </w:rPr>
  </w:style>
  <w:style w:type="paragraph" w:styleId="style179">
    <w:name w:val="List Paragraph"/>
    <w:basedOn w:val="style0"/>
    <w:next w:val="style179"/>
    <w:qFormat/>
    <w:uiPriority w:val="99"/>
    <w:pPr>
      <w:ind w:firstLine="420" w:firstLineChars="200"/>
    </w:pPr>
    <w:rPr/>
  </w:style>
  <w:style w:type="character" w:customStyle="1" w:styleId="style4102">
    <w:name w:val="font21"/>
    <w:next w:val="style4102"/>
    <w:qFormat/>
    <w:uiPriority w:val="0"/>
    <w:rPr>
      <w:rFonts w:ascii="宋体" w:cs="宋体" w:eastAsia="宋体" w:hAnsi="宋体" w:hint="eastAsia"/>
      <w:color w:val="000000"/>
      <w:sz w:val="21"/>
      <w:szCs w:val="21"/>
      <w:u w:val="none"/>
    </w:rPr>
  </w:style>
  <w:style w:type="character" w:customStyle="1" w:styleId="style4103">
    <w:name w:val="font01"/>
    <w:next w:val="style4103"/>
    <w:qFormat/>
    <w:uiPriority w:val="0"/>
    <w:rPr>
      <w:rFonts w:ascii="Times New Roman" w:cs="Times New Roman" w:hAnsi="Times New Roman" w:hint="default"/>
      <w:color w:val="000000"/>
      <w:sz w:val="21"/>
      <w:szCs w:val="21"/>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Words>10911</Words>
  <Pages>1</Pages>
  <Characters>12661</Characters>
  <Application>WPS Office</Application>
  <DocSecurity>0</DocSecurity>
  <Paragraphs>1265</Paragraphs>
  <ScaleCrop>false</ScaleCrop>
  <LinksUpToDate>false</LinksUpToDate>
  <CharactersWithSpaces>12673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2023-12-02T06:34:00Z</dcterms:created>
  <dc:creator>邹志强</dc:creator>
  <lastModifiedBy>MAA-AN00</lastModifiedBy>
  <dcterms:modified xsi:type="dcterms:W3CDTF">2024-09-04T01:09:19Z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ce348c18715045e5aa4f5a2f055b2e35_23</vt:lpwstr>
  </property>
</Properties>
</file>