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DC647">
      <w:pPr>
        <w:jc w:val="left"/>
        <w:rPr>
          <w:rFonts w:hint="default"/>
          <w:sz w:val="28"/>
          <w:szCs w:val="36"/>
          <w:lang w:val="en-US" w:eastAsia="zh-CN"/>
        </w:rPr>
      </w:pPr>
      <w:r>
        <w:rPr>
          <w:rFonts w:hint="eastAsia"/>
          <w:sz w:val="28"/>
          <w:szCs w:val="36"/>
          <w:lang w:val="en-US" w:eastAsia="zh-CN"/>
        </w:rPr>
        <w:t>附件1：</w:t>
      </w:r>
    </w:p>
    <w:p w14:paraId="302B26D6">
      <w:pPr>
        <w:jc w:val="center"/>
        <w:rPr>
          <w:rFonts w:hint="eastAsia"/>
          <w:b/>
          <w:bCs/>
          <w:sz w:val="36"/>
          <w:szCs w:val="44"/>
          <w:lang w:val="en-US" w:eastAsia="zh-CN"/>
        </w:rPr>
      </w:pPr>
      <w:r>
        <w:rPr>
          <w:rFonts w:hint="eastAsia"/>
          <w:b/>
          <w:bCs/>
          <w:sz w:val="36"/>
          <w:szCs w:val="44"/>
          <w:lang w:val="en-US" w:eastAsia="zh-CN"/>
        </w:rPr>
        <w:t>心电监护仪和电动心肺复苏机采购需求一览表</w:t>
      </w:r>
    </w:p>
    <w:tbl>
      <w:tblPr>
        <w:tblStyle w:val="3"/>
        <w:tblW w:w="92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
        <w:gridCol w:w="1197"/>
        <w:gridCol w:w="731"/>
        <w:gridCol w:w="720"/>
        <w:gridCol w:w="4927"/>
        <w:gridCol w:w="1136"/>
      </w:tblGrid>
      <w:tr w14:paraId="28898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1D7E7494">
            <w:pPr>
              <w:rPr>
                <w:rFonts w:hint="eastAsia"/>
              </w:rPr>
            </w:pPr>
            <w:r>
              <w:rPr>
                <w:rFonts w:hint="eastAsia"/>
              </w:rPr>
              <w:t>序号</w:t>
            </w:r>
          </w:p>
        </w:tc>
        <w:tc>
          <w:tcPr>
            <w:tcW w:w="1197" w:type="dxa"/>
            <w:tcBorders>
              <w:top w:val="single" w:color="auto" w:sz="4" w:space="0"/>
              <w:left w:val="single" w:color="auto" w:sz="4" w:space="0"/>
              <w:right w:val="single" w:color="auto" w:sz="4" w:space="0"/>
            </w:tcBorders>
            <w:noWrap w:val="0"/>
            <w:vAlign w:val="center"/>
          </w:tcPr>
          <w:p w14:paraId="6643FDD1">
            <w:pPr>
              <w:rPr>
                <w:rFonts w:hint="eastAsia"/>
              </w:rPr>
            </w:pPr>
            <w:r>
              <w:rPr>
                <w:rFonts w:hint="eastAsia"/>
              </w:rPr>
              <w:t>标的名称</w:t>
            </w:r>
          </w:p>
        </w:tc>
        <w:tc>
          <w:tcPr>
            <w:tcW w:w="731" w:type="dxa"/>
            <w:tcBorders>
              <w:top w:val="single" w:color="auto" w:sz="4" w:space="0"/>
              <w:left w:val="single" w:color="auto" w:sz="4" w:space="0"/>
              <w:right w:val="single" w:color="auto" w:sz="4" w:space="0"/>
            </w:tcBorders>
            <w:noWrap w:val="0"/>
            <w:vAlign w:val="center"/>
          </w:tcPr>
          <w:p w14:paraId="01DF779F">
            <w:pPr>
              <w:rPr>
                <w:rFonts w:hint="eastAsia"/>
              </w:rPr>
            </w:pPr>
            <w:r>
              <w:rPr>
                <w:rFonts w:hint="eastAsia"/>
              </w:rPr>
              <w:t>单位</w:t>
            </w:r>
          </w:p>
        </w:tc>
        <w:tc>
          <w:tcPr>
            <w:tcW w:w="720" w:type="dxa"/>
            <w:tcBorders>
              <w:top w:val="single" w:color="auto" w:sz="4" w:space="0"/>
              <w:left w:val="single" w:color="auto" w:sz="4" w:space="0"/>
              <w:right w:val="single" w:color="auto" w:sz="4" w:space="0"/>
            </w:tcBorders>
            <w:noWrap w:val="0"/>
            <w:vAlign w:val="center"/>
          </w:tcPr>
          <w:p w14:paraId="1F518AEC">
            <w:pPr>
              <w:rPr>
                <w:rFonts w:hint="eastAsia"/>
              </w:rPr>
            </w:pPr>
            <w:r>
              <w:rPr>
                <w:rFonts w:hint="eastAsia"/>
              </w:rPr>
              <w:t>数量</w:t>
            </w:r>
          </w:p>
        </w:tc>
        <w:tc>
          <w:tcPr>
            <w:tcW w:w="4927" w:type="dxa"/>
            <w:tcBorders>
              <w:top w:val="single" w:color="auto" w:sz="4" w:space="0"/>
              <w:left w:val="single" w:color="auto" w:sz="4" w:space="0"/>
              <w:right w:val="single" w:color="auto" w:sz="4" w:space="0"/>
            </w:tcBorders>
            <w:noWrap w:val="0"/>
            <w:vAlign w:val="center"/>
          </w:tcPr>
          <w:p w14:paraId="289FA585">
            <w:pPr>
              <w:rPr>
                <w:rFonts w:hint="eastAsia"/>
              </w:rPr>
            </w:pPr>
            <w:r>
              <w:rPr>
                <w:rFonts w:hint="eastAsia"/>
              </w:rPr>
              <w:t>货物参数</w:t>
            </w:r>
          </w:p>
        </w:tc>
        <w:tc>
          <w:tcPr>
            <w:tcW w:w="1136" w:type="dxa"/>
            <w:tcBorders>
              <w:top w:val="single" w:color="auto" w:sz="4" w:space="0"/>
              <w:left w:val="single" w:color="auto" w:sz="4" w:space="0"/>
              <w:right w:val="single" w:color="auto" w:sz="4" w:space="0"/>
            </w:tcBorders>
            <w:noWrap w:val="0"/>
            <w:vAlign w:val="center"/>
          </w:tcPr>
          <w:p w14:paraId="6387BDE5">
            <w:pPr>
              <w:jc w:val="center"/>
              <w:rPr>
                <w:rFonts w:hint="default" w:eastAsia="宋体"/>
                <w:lang w:val="en-US" w:eastAsia="zh-CN"/>
              </w:rPr>
            </w:pPr>
            <w:r>
              <w:rPr>
                <w:rFonts w:hint="eastAsia"/>
                <w:lang w:val="en-US" w:eastAsia="zh-CN"/>
              </w:rPr>
              <w:t>预算金额（元）</w:t>
            </w:r>
          </w:p>
        </w:tc>
      </w:tr>
      <w:tr w14:paraId="27303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2EB8FED7">
            <w:pPr>
              <w:rPr>
                <w:rFonts w:hint="eastAsia"/>
              </w:rPr>
            </w:pPr>
            <w:r>
              <w:rPr>
                <w:rFonts w:hint="eastAsia"/>
              </w:rPr>
              <w:t>1</w:t>
            </w:r>
          </w:p>
        </w:tc>
        <w:tc>
          <w:tcPr>
            <w:tcW w:w="1197" w:type="dxa"/>
            <w:tcBorders>
              <w:top w:val="single" w:color="auto" w:sz="4" w:space="0"/>
              <w:left w:val="single" w:color="auto" w:sz="4" w:space="0"/>
              <w:right w:val="single" w:color="auto" w:sz="4" w:space="0"/>
            </w:tcBorders>
            <w:noWrap w:val="0"/>
            <w:vAlign w:val="center"/>
          </w:tcPr>
          <w:p w14:paraId="79E8CF4B">
            <w:r>
              <w:rPr>
                <w:rFonts w:hint="eastAsia"/>
              </w:rPr>
              <w:t>心电监护仪</w:t>
            </w:r>
          </w:p>
        </w:tc>
        <w:tc>
          <w:tcPr>
            <w:tcW w:w="731" w:type="dxa"/>
            <w:tcBorders>
              <w:top w:val="single" w:color="auto" w:sz="4" w:space="0"/>
              <w:left w:val="single" w:color="auto" w:sz="4" w:space="0"/>
              <w:right w:val="single" w:color="auto" w:sz="4" w:space="0"/>
            </w:tcBorders>
            <w:noWrap w:val="0"/>
            <w:vAlign w:val="center"/>
          </w:tcPr>
          <w:p w14:paraId="5B667E0A">
            <w:pPr>
              <w:rPr>
                <w:rFonts w:hint="eastAsia"/>
              </w:rPr>
            </w:pPr>
            <w:r>
              <w:rPr>
                <w:rFonts w:hint="eastAsia"/>
              </w:rPr>
              <w:t>台</w:t>
            </w:r>
          </w:p>
        </w:tc>
        <w:tc>
          <w:tcPr>
            <w:tcW w:w="720" w:type="dxa"/>
            <w:tcBorders>
              <w:top w:val="single" w:color="auto" w:sz="4" w:space="0"/>
              <w:left w:val="single" w:color="auto" w:sz="4" w:space="0"/>
              <w:right w:val="single" w:color="auto" w:sz="4" w:space="0"/>
            </w:tcBorders>
            <w:noWrap w:val="0"/>
            <w:vAlign w:val="center"/>
          </w:tcPr>
          <w:p w14:paraId="1C9AE834">
            <w:pPr>
              <w:rPr>
                <w:rFonts w:hint="default" w:eastAsia="宋体"/>
                <w:lang w:val="en-US" w:eastAsia="zh-CN"/>
              </w:rPr>
            </w:pPr>
            <w:r>
              <w:rPr>
                <w:rFonts w:hint="eastAsia"/>
                <w:lang w:val="en-US" w:eastAsia="zh-CN"/>
              </w:rPr>
              <w:t>20</w:t>
            </w:r>
          </w:p>
        </w:tc>
        <w:tc>
          <w:tcPr>
            <w:tcW w:w="4927" w:type="dxa"/>
            <w:tcBorders>
              <w:top w:val="single" w:color="auto" w:sz="4" w:space="0"/>
              <w:left w:val="single" w:color="auto" w:sz="4" w:space="0"/>
              <w:right w:val="single" w:color="auto" w:sz="4" w:space="0"/>
            </w:tcBorders>
            <w:noWrap w:val="0"/>
            <w:vAlign w:val="center"/>
          </w:tcPr>
          <w:p w14:paraId="1D9ED97C">
            <w:pPr>
              <w:rPr>
                <w:rFonts w:hint="eastAsia"/>
              </w:rPr>
            </w:pPr>
            <w:r>
              <w:rPr>
                <w:rFonts w:hint="eastAsia"/>
              </w:rPr>
              <w:t>1：整机要求：</w:t>
            </w:r>
          </w:p>
          <w:p w14:paraId="5FDFE430">
            <w:pPr>
              <w:rPr>
                <w:rFonts w:hint="eastAsia"/>
              </w:rPr>
            </w:pPr>
            <w:r>
              <w:rPr>
                <w:rFonts w:hint="eastAsia"/>
              </w:rPr>
              <w:t>▲1.1、模块化监护仪，主机集成内置≥2槽位插件槽，可支持IBP，CO2，AG和BIS任意参数模块的即插即用快速扩展临床应用。</w:t>
            </w:r>
          </w:p>
          <w:p w14:paraId="749EBB03">
            <w:pPr>
              <w:rPr>
                <w:rFonts w:hint="eastAsia"/>
              </w:rPr>
            </w:pPr>
            <w:r>
              <w:rPr>
                <w:rFonts w:hint="eastAsia"/>
              </w:rPr>
              <w:t xml:space="preserve">1.2、整机无风扇设计，防水等级IPX1或更高。 </w:t>
            </w:r>
          </w:p>
          <w:p w14:paraId="20545A6A">
            <w:pPr>
              <w:rPr>
                <w:rFonts w:hint="eastAsia"/>
              </w:rPr>
            </w:pPr>
            <w:r>
              <w:rPr>
                <w:rFonts w:hint="eastAsia"/>
              </w:rPr>
              <w:t>▲1.3、≥10.1英寸彩色液晶触摸屏，分辨率高达1280*800像素或更高，≥8通道波形显示。</w:t>
            </w:r>
          </w:p>
          <w:p w14:paraId="65BEA876">
            <w:pPr>
              <w:rPr>
                <w:rFonts w:hint="eastAsia"/>
              </w:rPr>
            </w:pPr>
            <w:r>
              <w:rPr>
                <w:rFonts w:hint="eastAsia"/>
              </w:rPr>
              <w:t>1.4、屏幕采用最新电容屏非电阻屏。</w:t>
            </w:r>
          </w:p>
          <w:p w14:paraId="0555A136">
            <w:pPr>
              <w:rPr>
                <w:rFonts w:hint="eastAsia"/>
              </w:rPr>
            </w:pPr>
            <w:r>
              <w:rPr>
                <w:rFonts w:hint="eastAsia"/>
              </w:rPr>
              <w:t>1.5、显示屏可支持亮度自动调节功能。</w:t>
            </w:r>
          </w:p>
          <w:p w14:paraId="503BCC28">
            <w:pPr>
              <w:rPr>
                <w:rFonts w:hint="eastAsia"/>
              </w:rPr>
            </w:pPr>
            <w:r>
              <w:rPr>
                <w:rFonts w:hint="eastAsia"/>
              </w:rPr>
              <w:t>▲1.6、屏幕倾斜10~15度设计，符合人机工程学，便于临床团队观察和操作。</w:t>
            </w:r>
          </w:p>
          <w:p w14:paraId="6F43616A">
            <w:pPr>
              <w:rPr>
                <w:rFonts w:hint="eastAsia"/>
              </w:rPr>
            </w:pPr>
            <w:r>
              <w:rPr>
                <w:rFonts w:hint="eastAsia"/>
              </w:rPr>
              <w:t>1.7、可支持遥控器无线远程操作监护仪。</w:t>
            </w:r>
          </w:p>
          <w:p w14:paraId="67BC9B50">
            <w:pPr>
              <w:rPr>
                <w:rFonts w:hint="eastAsia"/>
              </w:rPr>
            </w:pPr>
            <w:r>
              <w:rPr>
                <w:rFonts w:hint="eastAsia"/>
              </w:rPr>
              <w:t>1.8、内置锂电池，插槽式设计，无需螺丝刀工具支持快速拆卸和安装。锂电池支持监护仪工作时间≥4小时。</w:t>
            </w:r>
          </w:p>
          <w:p w14:paraId="35312F81">
            <w:pPr>
              <w:rPr>
                <w:rFonts w:hint="eastAsia"/>
              </w:rPr>
            </w:pPr>
            <w:r>
              <w:rPr>
                <w:rFonts w:hint="eastAsia"/>
              </w:rPr>
              <w:t>▲1.9、安全规格：ECG, TEMP, IBP, SpO2 , NIBP监测参数抗电击程度为防除颤CF型 。</w:t>
            </w:r>
          </w:p>
          <w:p w14:paraId="17778CF8">
            <w:pPr>
              <w:rPr>
                <w:rFonts w:hint="eastAsia"/>
              </w:rPr>
            </w:pPr>
            <w:r>
              <w:rPr>
                <w:rFonts w:hint="eastAsia"/>
              </w:rPr>
              <w:t>1.10、监护仪设计使用年限≥8年。</w:t>
            </w:r>
          </w:p>
          <w:p w14:paraId="704A6F3B">
            <w:pPr>
              <w:rPr>
                <w:rFonts w:hint="eastAsia"/>
              </w:rPr>
            </w:pPr>
            <w:r>
              <w:rPr>
                <w:rFonts w:hint="eastAsia"/>
              </w:rPr>
              <w:t>1.11、监护仪清洁维护支持的清洁剂≥40种，在厂家手册中清晰列举清洁剂的种类。</w:t>
            </w:r>
          </w:p>
          <w:p w14:paraId="5D732F93">
            <w:pPr>
              <w:rPr>
                <w:rFonts w:hint="eastAsia"/>
              </w:rPr>
            </w:pPr>
            <w:r>
              <w:rPr>
                <w:rFonts w:hint="eastAsia"/>
              </w:rPr>
              <w:t>1.12、监护仪主机工作大气压环境范围：57.0~107.4kPa。</w:t>
            </w:r>
          </w:p>
          <w:p w14:paraId="5EA0A0CB">
            <w:pPr>
              <w:rPr>
                <w:rFonts w:hint="eastAsia"/>
              </w:rPr>
            </w:pPr>
            <w:r>
              <w:rPr>
                <w:rFonts w:hint="eastAsia"/>
              </w:rPr>
              <w:t>1.13、监护仪主机工作温度环境范围：0~40°C。</w:t>
            </w:r>
          </w:p>
          <w:p w14:paraId="22226D7E">
            <w:pPr>
              <w:rPr>
                <w:rFonts w:hint="eastAsia"/>
              </w:rPr>
            </w:pPr>
            <w:r>
              <w:rPr>
                <w:rFonts w:hint="eastAsia"/>
              </w:rPr>
              <w:t>1.14、监护仪主机工作湿度环境范围；15~95%。</w:t>
            </w:r>
          </w:p>
          <w:p w14:paraId="7B64CC38">
            <w:pPr>
              <w:rPr>
                <w:rFonts w:hint="eastAsia"/>
              </w:rPr>
            </w:pPr>
            <w:r>
              <w:rPr>
                <w:rFonts w:hint="eastAsia"/>
              </w:rPr>
              <w:t>2：监测参数：</w:t>
            </w:r>
          </w:p>
          <w:p w14:paraId="0B8A557A">
            <w:pPr>
              <w:rPr>
                <w:rFonts w:hint="eastAsia"/>
              </w:rPr>
            </w:pPr>
            <w:r>
              <w:rPr>
                <w:rFonts w:hint="eastAsia"/>
              </w:rPr>
              <w:t>2.1、配置3/5导心电，呼吸，无创血压，血氧饱和度，脉搏和双通道体温参数监测。</w:t>
            </w:r>
          </w:p>
          <w:p w14:paraId="6B178109">
            <w:pPr>
              <w:rPr>
                <w:rFonts w:hint="eastAsia"/>
              </w:rPr>
            </w:pPr>
            <w:r>
              <w:rPr>
                <w:rFonts w:hint="eastAsia"/>
              </w:rPr>
              <w:t>▲2.2、心电监护支持心率，ST段测量，心律失常分析，QT/QTc连续实时测量和对应报警功能。</w:t>
            </w:r>
          </w:p>
          <w:p w14:paraId="3FA3CCFC">
            <w:pPr>
              <w:rPr>
                <w:rFonts w:hint="eastAsia"/>
              </w:rPr>
            </w:pPr>
            <w:r>
              <w:rPr>
                <w:rFonts w:hint="eastAsia"/>
              </w:rPr>
              <w:t>2.3、心电算法通过AHA/MIT-BIH数据库验证。</w:t>
            </w:r>
          </w:p>
          <w:p w14:paraId="679CC6A1">
            <w:pPr>
              <w:rPr>
                <w:rFonts w:hint="eastAsia"/>
              </w:rPr>
            </w:pPr>
            <w:r>
              <w:rPr>
                <w:rFonts w:hint="eastAsia"/>
              </w:rPr>
              <w:t>2.4、心电波形扫描速度支持6.25mm/s、12.5 mm/s、25 mm/s和50 mm/s。</w:t>
            </w:r>
          </w:p>
          <w:p w14:paraId="0D3D5943">
            <w:pPr>
              <w:rPr>
                <w:rFonts w:hint="eastAsia"/>
              </w:rPr>
            </w:pPr>
            <w:r>
              <w:rPr>
                <w:rFonts w:hint="eastAsia"/>
              </w:rPr>
              <w:t>2.5、提供窗口支持心脏下壁，侧壁和前壁对应多个ST片段的同屏实时显示，提供参考片段和实时片段的对比查看。</w:t>
            </w:r>
          </w:p>
          <w:p w14:paraId="4E68E52E">
            <w:pPr>
              <w:rPr>
                <w:rFonts w:hint="eastAsia"/>
              </w:rPr>
            </w:pPr>
            <w:r>
              <w:rPr>
                <w:rFonts w:hint="eastAsia"/>
              </w:rPr>
              <w:t>2.6、支持≥20种心律失常分析,包括房颤分析。</w:t>
            </w:r>
          </w:p>
          <w:p w14:paraId="5736175D">
            <w:pPr>
              <w:rPr>
                <w:rFonts w:hint="eastAsia"/>
              </w:rPr>
            </w:pPr>
            <w:r>
              <w:rPr>
                <w:rFonts w:hint="eastAsia"/>
              </w:rPr>
              <w:t>2.7、QT和QTc实时监测参数测量范围：200～800 ms。</w:t>
            </w:r>
          </w:p>
          <w:p w14:paraId="290CFEF7">
            <w:pPr>
              <w:rPr>
                <w:rFonts w:hint="eastAsia"/>
              </w:rPr>
            </w:pPr>
            <w:r>
              <w:rPr>
                <w:rFonts w:hint="eastAsia"/>
              </w:rPr>
              <w:t>2.8、支持升级提供过去24小时心电概览报告查看与打印，包括心率统计结果，心律失常统计结果，ST统计和QT/QTc统计结果。</w:t>
            </w:r>
          </w:p>
          <w:p w14:paraId="465B48D2">
            <w:pPr>
              <w:rPr>
                <w:rFonts w:hint="eastAsia"/>
              </w:rPr>
            </w:pPr>
            <w:r>
              <w:rPr>
                <w:rFonts w:hint="eastAsia"/>
              </w:rPr>
              <w:t>2.9、提供SpO2,PR和PI参数的实时监测，适用于成人，小儿和新生儿。</w:t>
            </w:r>
          </w:p>
          <w:p w14:paraId="13D3F498">
            <w:pPr>
              <w:rPr>
                <w:rFonts w:hint="eastAsia"/>
              </w:rPr>
            </w:pPr>
            <w:r>
              <w:rPr>
                <w:rFonts w:hint="eastAsia"/>
              </w:rPr>
              <w:t>2.10、支持指套式血氧探头，IPX7防水等级，支持液体浸泡消毒和清洁。</w:t>
            </w:r>
          </w:p>
          <w:p w14:paraId="79021853">
            <w:pPr>
              <w:rPr>
                <w:rFonts w:hint="eastAsia"/>
              </w:rPr>
            </w:pPr>
            <w:r>
              <w:rPr>
                <w:rFonts w:hint="eastAsia"/>
              </w:rPr>
              <w:t>2.11、配置无创血压测量，适用于成人，小儿和新生儿。</w:t>
            </w:r>
          </w:p>
          <w:p w14:paraId="38F728B9">
            <w:pPr>
              <w:rPr>
                <w:rFonts w:hint="eastAsia"/>
              </w:rPr>
            </w:pPr>
            <w:r>
              <w:rPr>
                <w:rFonts w:hint="eastAsia"/>
              </w:rPr>
              <w:t>▲2.12、提供手动，自动，连续和序列4种测量模式，并提供24小时血压统计结果，满足临床应用。</w:t>
            </w:r>
          </w:p>
          <w:p w14:paraId="52EFD08C">
            <w:pPr>
              <w:rPr>
                <w:rFonts w:hint="eastAsia"/>
              </w:rPr>
            </w:pPr>
            <w:r>
              <w:rPr>
                <w:rFonts w:hint="eastAsia"/>
              </w:rPr>
              <w:t>2.13、无创血压成人测量范围：收缩压25~290mmHg，舒张压10~250mmHg，平均压15~260mmHg。</w:t>
            </w:r>
          </w:p>
          <w:p w14:paraId="6F347BDC">
            <w:pPr>
              <w:rPr>
                <w:rFonts w:hint="eastAsia"/>
              </w:rPr>
            </w:pPr>
            <w:r>
              <w:rPr>
                <w:rFonts w:hint="eastAsia"/>
              </w:rPr>
              <w:t>2.14、提供辅助静脉穿刺功能。</w:t>
            </w:r>
          </w:p>
          <w:p w14:paraId="041A2D49">
            <w:pPr>
              <w:rPr>
                <w:rFonts w:hint="eastAsia"/>
              </w:rPr>
            </w:pPr>
            <w:r>
              <w:rPr>
                <w:rFonts w:hint="eastAsia"/>
              </w:rPr>
              <w:t>2.15、提供双通道体温和温差参数的监测, 并可根据需要更改体温通道标名。</w:t>
            </w:r>
          </w:p>
          <w:p w14:paraId="6064BFB0">
            <w:pPr>
              <w:rPr>
                <w:rFonts w:hint="eastAsia"/>
              </w:rPr>
            </w:pPr>
            <w:r>
              <w:rPr>
                <w:rFonts w:hint="eastAsia"/>
              </w:rPr>
              <w:t>2.16、支持升级多达4通道有创压监测，动脉压监测时支持同步监测PPV，适用于成人，小儿和新生儿，通过国家三类注册认证。</w:t>
            </w:r>
          </w:p>
          <w:p w14:paraId="58503996">
            <w:pPr>
              <w:rPr>
                <w:rFonts w:hint="eastAsia"/>
              </w:rPr>
            </w:pPr>
            <w:r>
              <w:rPr>
                <w:rFonts w:hint="eastAsia"/>
              </w:rPr>
              <w:t>2.17、支持升级移动监护功能，医用级穿戴传感器，可监测心电、呼吸、无创血压、血氧饱和度、脉搏和体温，并支持非生理参数监测，如运动时间、夜间静息时间和疼痛评分，监测数据通过无线发送至监护仪。移动模块采用防水抗摔设计，防水等级≥IPX2，通过1.5米6面跌落测试。</w:t>
            </w:r>
          </w:p>
          <w:p w14:paraId="5CF7339A">
            <w:pPr>
              <w:rPr>
                <w:rFonts w:hint="eastAsia"/>
              </w:rPr>
            </w:pPr>
            <w:r>
              <w:rPr>
                <w:rFonts w:hint="eastAsia"/>
              </w:rPr>
              <w:t>3：系统功能：</w:t>
            </w:r>
          </w:p>
          <w:p w14:paraId="58E7BE8F">
            <w:pPr>
              <w:rPr>
                <w:rFonts w:hint="eastAsia"/>
              </w:rPr>
            </w:pPr>
            <w:r>
              <w:rPr>
                <w:rFonts w:hint="eastAsia"/>
              </w:rPr>
              <w:t>▲3.1、支持所有监测参数报警限一键自动设置功能，满足医护团队快速管理患者报警需求，产品用户手册提供报警限自动设置规则。</w:t>
            </w:r>
          </w:p>
          <w:p w14:paraId="39E563D6">
            <w:pPr>
              <w:rPr>
                <w:rFonts w:hint="eastAsia"/>
              </w:rPr>
            </w:pPr>
            <w:r>
              <w:rPr>
                <w:rFonts w:hint="eastAsia"/>
              </w:rPr>
              <w:t>3.2、支持肾功能计算功能。</w:t>
            </w:r>
          </w:p>
          <w:p w14:paraId="4DAEB270">
            <w:pPr>
              <w:rPr>
                <w:rFonts w:hint="eastAsia"/>
              </w:rPr>
            </w:pPr>
            <w:r>
              <w:rPr>
                <w:rFonts w:hint="eastAsia"/>
              </w:rPr>
              <w:t>3.3、具有图形化技术报警指示功能，帮助医护团队快速识别报警来源。</w:t>
            </w:r>
          </w:p>
          <w:p w14:paraId="13114252">
            <w:pPr>
              <w:rPr>
                <w:rFonts w:hint="eastAsia"/>
              </w:rPr>
            </w:pPr>
            <w:r>
              <w:rPr>
                <w:rFonts w:hint="eastAsia"/>
              </w:rPr>
              <w:t>3.4、支持≥120小时趋势图和趋势表回顾，支持选择不同趋势组回顾</w:t>
            </w:r>
          </w:p>
          <w:p w14:paraId="20C83BDA">
            <w:pPr>
              <w:rPr>
                <w:rFonts w:hint="eastAsia"/>
              </w:rPr>
            </w:pPr>
            <w:r>
              <w:rPr>
                <w:rFonts w:hint="eastAsia"/>
              </w:rPr>
              <w:t>3.5、≥1000条事件回顾。每条报警事件至少能够存储32秒三道相关波形，以及报警触发时所有测量参数值</w:t>
            </w:r>
          </w:p>
          <w:p w14:paraId="402D748F">
            <w:pPr>
              <w:rPr>
                <w:rFonts w:hint="eastAsia"/>
              </w:rPr>
            </w:pPr>
            <w:r>
              <w:rPr>
                <w:rFonts w:hint="eastAsia"/>
              </w:rPr>
              <w:t>3.6、≥1000组NIBP测量结果</w:t>
            </w:r>
          </w:p>
          <w:p w14:paraId="06C85DE4">
            <w:pPr>
              <w:rPr>
                <w:rFonts w:hint="eastAsia"/>
              </w:rPr>
            </w:pPr>
            <w:r>
              <w:rPr>
                <w:rFonts w:hint="eastAsia"/>
              </w:rPr>
              <w:t>3.7、≥120小时（分辨率1分钟）ST模板存储与回顾</w:t>
            </w:r>
          </w:p>
          <w:p w14:paraId="39DF99E8">
            <w:pPr>
              <w:rPr>
                <w:rFonts w:hint="eastAsia"/>
              </w:rPr>
            </w:pPr>
            <w:r>
              <w:rPr>
                <w:rFonts w:hint="eastAsia"/>
              </w:rPr>
              <w:t>3.8、支持48小时全息波形的存储与回顾功能</w:t>
            </w:r>
          </w:p>
          <w:p w14:paraId="0D8539D2">
            <w:pPr>
              <w:rPr>
                <w:rFonts w:hint="eastAsia"/>
              </w:rPr>
            </w:pPr>
            <w:r>
              <w:rPr>
                <w:rFonts w:hint="eastAsia"/>
              </w:rPr>
              <w:t>3.9、支持监护仪历史病人数据的存储和回顾，并支持通过USB接口将历史病人数据导出到U盘。</w:t>
            </w:r>
          </w:p>
          <w:p w14:paraId="2E30AF99">
            <w:pPr>
              <w:rPr>
                <w:rFonts w:hint="eastAsia"/>
              </w:rPr>
            </w:pPr>
            <w:r>
              <w:rPr>
                <w:rFonts w:hint="eastAsia"/>
              </w:rPr>
              <w:t>3.10、支持RJ45接口进行有线网络通信，和除颤监护仪一起联网通信到中心监护系统。</w:t>
            </w:r>
          </w:p>
          <w:p w14:paraId="179F852C">
            <w:pPr>
              <w:rPr>
                <w:rFonts w:hint="eastAsia"/>
              </w:rPr>
            </w:pPr>
            <w:r>
              <w:rPr>
                <w:rFonts w:hint="eastAsia"/>
              </w:rPr>
              <w:t>3.11、支持监护仪进入夜间模式，隐私模式，演示模式和待机模式。</w:t>
            </w:r>
          </w:p>
          <w:p w14:paraId="102F92AC">
            <w:pPr>
              <w:rPr>
                <w:rFonts w:hint="eastAsia"/>
              </w:rPr>
            </w:pPr>
            <w:r>
              <w:rPr>
                <w:rFonts w:hint="eastAsia"/>
              </w:rPr>
              <w:t>3.12、配置临床评分系统，包括MEWS（改良早期预警评分）、NEWS（英国早期预警评分），可支持定时自动EWS评分功能。</w:t>
            </w:r>
          </w:p>
          <w:p w14:paraId="3D41C7A2">
            <w:pPr>
              <w:rPr>
                <w:rFonts w:hint="eastAsia"/>
              </w:rPr>
            </w:pPr>
            <w:r>
              <w:rPr>
                <w:rFonts w:hint="eastAsia"/>
              </w:rPr>
              <w:t>3.13、提供心肌缺血评估工具，可以快速查看ST值的变化，投标文件中提供界面截图证明材料。</w:t>
            </w:r>
          </w:p>
          <w:p w14:paraId="4826C958">
            <w:pPr>
              <w:rPr>
                <w:rFonts w:hint="eastAsia"/>
              </w:rPr>
            </w:pPr>
            <w:r>
              <w:rPr>
                <w:rFonts w:hint="eastAsia"/>
              </w:rPr>
              <w:t>3.14、提供计时器功能，界面区提供设置≥4个计时器，每个计时器支持独立设置和计时功能，计时方向包括正计时和倒计时两种选择。</w:t>
            </w:r>
          </w:p>
          <w:p w14:paraId="2B2CB691">
            <w:pPr>
              <w:rPr>
                <w:rFonts w:hint="eastAsia"/>
              </w:rPr>
            </w:pPr>
            <w:r>
              <w:rPr>
                <w:rFonts w:hint="eastAsia"/>
              </w:rPr>
              <w:t>3.15、支持格拉斯哥昏迷评分（GCS）功能。</w:t>
            </w:r>
          </w:p>
          <w:p w14:paraId="06E24C05">
            <w:pPr>
              <w:rPr>
                <w:rFonts w:hint="eastAsia"/>
              </w:rPr>
            </w:pPr>
            <w:r>
              <w:rPr>
                <w:rFonts w:hint="eastAsia"/>
              </w:rPr>
              <w:t>▲3.16、动态趋势界面可支持统计1-24小时心律失常报警、参数超限报警信息，并对超限报警区间的波形进行高亮显示，帮助医护人员快速识别异常趋势信息。</w:t>
            </w:r>
          </w:p>
          <w:p w14:paraId="02A9B2B7">
            <w:pPr>
              <w:rPr>
                <w:rFonts w:hint="default" w:eastAsia="宋体"/>
                <w:lang w:val="en-US" w:eastAsia="zh-CN"/>
              </w:rPr>
            </w:pPr>
            <w:r>
              <w:rPr>
                <w:rFonts w:hint="eastAsia"/>
              </w:rPr>
              <w:t>3.17、具备屏幕截图功能，可将屏幕截图通过USB接口导出到U盘。</w:t>
            </w:r>
          </w:p>
        </w:tc>
        <w:tc>
          <w:tcPr>
            <w:tcW w:w="1136" w:type="dxa"/>
            <w:tcBorders>
              <w:top w:val="single" w:color="auto" w:sz="4" w:space="0"/>
              <w:left w:val="single" w:color="auto" w:sz="4" w:space="0"/>
              <w:right w:val="single" w:color="auto" w:sz="4" w:space="0"/>
            </w:tcBorders>
            <w:noWrap w:val="0"/>
            <w:vAlign w:val="center"/>
          </w:tcPr>
          <w:p w14:paraId="7544D672">
            <w:pPr>
              <w:rPr>
                <w:rFonts w:hint="default"/>
                <w:lang w:val="en-US"/>
              </w:rPr>
            </w:pPr>
            <w:r>
              <w:rPr>
                <w:rFonts w:hint="eastAsia"/>
                <w:lang w:val="en-US" w:eastAsia="zh-CN"/>
              </w:rPr>
              <w:t>400000.00</w:t>
            </w:r>
          </w:p>
        </w:tc>
      </w:tr>
      <w:tr w14:paraId="6EAD7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498754AA">
            <w:pPr>
              <w:rPr>
                <w:rFonts w:hint="default" w:eastAsia="宋体"/>
                <w:lang w:val="en-US" w:eastAsia="zh-CN"/>
              </w:rPr>
            </w:pPr>
            <w:r>
              <w:rPr>
                <w:rFonts w:hint="eastAsia"/>
                <w:lang w:val="en-US" w:eastAsia="zh-CN"/>
              </w:rPr>
              <w:t>2</w:t>
            </w:r>
          </w:p>
        </w:tc>
        <w:tc>
          <w:tcPr>
            <w:tcW w:w="1197" w:type="dxa"/>
            <w:tcBorders>
              <w:top w:val="single" w:color="auto" w:sz="4" w:space="0"/>
              <w:left w:val="single" w:color="auto" w:sz="4" w:space="0"/>
              <w:right w:val="single" w:color="auto" w:sz="4" w:space="0"/>
            </w:tcBorders>
            <w:noWrap w:val="0"/>
            <w:vAlign w:val="center"/>
          </w:tcPr>
          <w:p w14:paraId="09D09519">
            <w:pPr>
              <w:rPr>
                <w:rFonts w:hint="eastAsia"/>
              </w:rPr>
            </w:pPr>
            <w:r>
              <w:rPr>
                <w:rFonts w:hint="eastAsia"/>
              </w:rPr>
              <w:t>电动心肺复苏机</w:t>
            </w:r>
          </w:p>
        </w:tc>
        <w:tc>
          <w:tcPr>
            <w:tcW w:w="731" w:type="dxa"/>
            <w:tcBorders>
              <w:top w:val="single" w:color="auto" w:sz="4" w:space="0"/>
              <w:left w:val="single" w:color="auto" w:sz="4" w:space="0"/>
              <w:right w:val="single" w:color="auto" w:sz="4" w:space="0"/>
            </w:tcBorders>
            <w:noWrap w:val="0"/>
            <w:vAlign w:val="center"/>
          </w:tcPr>
          <w:p w14:paraId="79A9A611">
            <w:pPr>
              <w:rPr>
                <w:rFonts w:hint="eastAsia"/>
              </w:rPr>
            </w:pPr>
            <w:r>
              <w:rPr>
                <w:rFonts w:hint="eastAsia"/>
              </w:rPr>
              <w:t>台</w:t>
            </w:r>
          </w:p>
        </w:tc>
        <w:tc>
          <w:tcPr>
            <w:tcW w:w="720" w:type="dxa"/>
            <w:tcBorders>
              <w:top w:val="single" w:color="auto" w:sz="4" w:space="0"/>
              <w:left w:val="single" w:color="auto" w:sz="4" w:space="0"/>
              <w:right w:val="single" w:color="auto" w:sz="4" w:space="0"/>
            </w:tcBorders>
            <w:noWrap w:val="0"/>
            <w:vAlign w:val="center"/>
          </w:tcPr>
          <w:p w14:paraId="29AE639B">
            <w:pPr>
              <w:rPr>
                <w:rFonts w:hint="eastAsia"/>
              </w:rPr>
            </w:pPr>
            <w:r>
              <w:rPr>
                <w:rFonts w:hint="eastAsia"/>
              </w:rPr>
              <w:t>1</w:t>
            </w:r>
          </w:p>
        </w:tc>
        <w:tc>
          <w:tcPr>
            <w:tcW w:w="4927" w:type="dxa"/>
            <w:tcBorders>
              <w:top w:val="single" w:color="auto" w:sz="4" w:space="0"/>
              <w:left w:val="single" w:color="auto" w:sz="4" w:space="0"/>
              <w:right w:val="single" w:color="auto" w:sz="4" w:space="0"/>
            </w:tcBorders>
            <w:noWrap w:val="0"/>
            <w:vAlign w:val="center"/>
          </w:tcPr>
          <w:p w14:paraId="1EC665C8">
            <w:pPr>
              <w:rPr>
                <w:rFonts w:hint="eastAsia"/>
              </w:rPr>
            </w:pPr>
            <w:r>
              <w:rPr>
                <w:rFonts w:hint="eastAsia"/>
              </w:rPr>
              <w:t>适用范围：</w:t>
            </w:r>
          </w:p>
          <w:p w14:paraId="4DA7333C">
            <w:pPr>
              <w:rPr>
                <w:rFonts w:hint="eastAsia"/>
              </w:rPr>
            </w:pPr>
            <w:r>
              <w:rPr>
                <w:rFonts w:hint="eastAsia"/>
              </w:rPr>
              <w:t>符合最新国际2020版ERC和AHA心肺复苏及心血管急救指南中关于心肺复苏替代技术和辅助装置的相关规范，适用于对心跳呼吸骤停的成年患者进行胸外按压等心肺复苏抢救。</w:t>
            </w:r>
          </w:p>
          <w:p w14:paraId="4B3891D3">
            <w:pPr>
              <w:rPr>
                <w:rFonts w:hint="eastAsia"/>
              </w:rPr>
            </w:pPr>
            <w:r>
              <w:rPr>
                <w:rFonts w:hint="eastAsia"/>
              </w:rPr>
              <w:t>主要技术指标：</w:t>
            </w:r>
          </w:p>
          <w:p w14:paraId="7F3B3BD9">
            <w:pPr>
              <w:rPr>
                <w:rFonts w:hint="eastAsia"/>
              </w:rPr>
            </w:pPr>
            <w:r>
              <w:rPr>
                <w:rFonts w:hint="eastAsia"/>
              </w:rPr>
              <w:t>1、按压技术：采用单点按压结合胸廓束带方式，通过胸泵和心泵机制、模拟心脏搏动原理的智能心肺复苏技术，能比徒手CPR更高效率地改善血流动力学效应，减少复苏过程引起的损伤。</w:t>
            </w:r>
          </w:p>
          <w:p w14:paraId="4CE42A20">
            <w:pPr>
              <w:rPr>
                <w:rFonts w:hint="eastAsia"/>
              </w:rPr>
            </w:pPr>
            <w:r>
              <w:rPr>
                <w:rFonts w:hint="eastAsia"/>
              </w:rPr>
              <w:t>▲2、按压频率110次／分</w:t>
            </w:r>
          </w:p>
          <w:p w14:paraId="01B62976">
            <w:pPr>
              <w:rPr>
                <w:rFonts w:hint="eastAsia"/>
              </w:rPr>
            </w:pPr>
            <w:r>
              <w:rPr>
                <w:rFonts w:hint="eastAsia"/>
              </w:rPr>
              <w:t>▲3、按压深度50mm</w:t>
            </w:r>
          </w:p>
          <w:p w14:paraId="08EEFD66">
            <w:pPr>
              <w:rPr>
                <w:rFonts w:hint="eastAsia"/>
              </w:rPr>
            </w:pPr>
            <w:r>
              <w:rPr>
                <w:rFonts w:hint="eastAsia"/>
              </w:rPr>
              <w:t>4、按压释放比1:1</w:t>
            </w:r>
          </w:p>
          <w:p w14:paraId="3FA54D8A">
            <w:pPr>
              <w:rPr>
                <w:rFonts w:hint="eastAsia"/>
              </w:rPr>
            </w:pPr>
            <w:r>
              <w:rPr>
                <w:rFonts w:hint="eastAsia"/>
              </w:rPr>
              <w:t>5、按压通气模式包括：连续按压模式，30:2模式，CPR联动模式</w:t>
            </w:r>
          </w:p>
          <w:p w14:paraId="5D3B2346">
            <w:pPr>
              <w:rPr>
                <w:rFonts w:hint="eastAsia"/>
              </w:rPr>
            </w:pPr>
            <w:r>
              <w:rPr>
                <w:rFonts w:hint="eastAsia"/>
              </w:rPr>
              <w:t>30:2模式下，30次按压后，2次通气停顿时间≤3秒</w:t>
            </w:r>
          </w:p>
          <w:p w14:paraId="0F93F9BC">
            <w:pPr>
              <w:rPr>
                <w:rFonts w:hint="eastAsia"/>
              </w:rPr>
            </w:pPr>
            <w:r>
              <w:rPr>
                <w:rFonts w:hint="eastAsia"/>
              </w:rPr>
              <w:t>6、采用PC+ABS硬质背板与软绑带结合，避免纯绑带弹性形变引起按压深度不足，可保障按压深度，提高心肺复苏抢救质量</w:t>
            </w:r>
          </w:p>
          <w:p w14:paraId="239BEE29">
            <w:pPr>
              <w:rPr>
                <w:rFonts w:hint="eastAsia"/>
              </w:rPr>
            </w:pPr>
            <w:r>
              <w:rPr>
                <w:rFonts w:hint="eastAsia"/>
              </w:rPr>
              <w:t>7、主机上具有按压深度窗口，可显示实际按压深度</w:t>
            </w:r>
          </w:p>
          <w:p w14:paraId="0D54EF1D">
            <w:pPr>
              <w:rPr>
                <w:rFonts w:hint="eastAsia"/>
              </w:rPr>
            </w:pPr>
            <w:r>
              <w:rPr>
                <w:rFonts w:hint="eastAsia"/>
              </w:rPr>
              <w:t>安全可靠性：</w:t>
            </w:r>
          </w:p>
          <w:p w14:paraId="183F8E45">
            <w:pPr>
              <w:rPr>
                <w:rFonts w:hint="eastAsia"/>
              </w:rPr>
            </w:pPr>
            <w:r>
              <w:rPr>
                <w:rFonts w:hint="eastAsia"/>
              </w:rPr>
              <w:t>1、驱动方式：电动电控。</w:t>
            </w:r>
          </w:p>
          <w:p w14:paraId="6CAEFAF3">
            <w:pPr>
              <w:rPr>
                <w:rFonts w:hint="eastAsia"/>
              </w:rPr>
            </w:pPr>
            <w:r>
              <w:rPr>
                <w:rFonts w:hint="eastAsia"/>
              </w:rPr>
              <w:t>2、电池运行时间：新电池充满电情况下，单块电池最大运行时间不少于60分钟。</w:t>
            </w:r>
          </w:p>
          <w:p w14:paraId="09913D80">
            <w:pPr>
              <w:rPr>
                <w:rFonts w:hint="eastAsia"/>
              </w:rPr>
            </w:pPr>
            <w:r>
              <w:rPr>
                <w:rFonts w:hint="eastAsia"/>
              </w:rPr>
              <w:t>3、电池最大充电时间：≤2小时。</w:t>
            </w:r>
          </w:p>
          <w:p w14:paraId="07A607DB">
            <w:pPr>
              <w:rPr>
                <w:rFonts w:hint="eastAsia"/>
              </w:rPr>
            </w:pPr>
            <w:r>
              <w:rPr>
                <w:rFonts w:hint="eastAsia"/>
              </w:rPr>
              <w:t>4、外部交流电源：可接220V交流电，持续稳定实施长时间胸腔按压，并同时给予电池充电。</w:t>
            </w:r>
          </w:p>
          <w:p w14:paraId="6717659D">
            <w:pPr>
              <w:rPr>
                <w:rFonts w:hint="eastAsia"/>
              </w:rPr>
            </w:pPr>
            <w:r>
              <w:rPr>
                <w:rFonts w:hint="eastAsia"/>
              </w:rPr>
              <w:t>5、具有电量指示，低电量指示灯闪烁警示后，仍可连续工作时间≥10分钟</w:t>
            </w:r>
          </w:p>
          <w:p w14:paraId="30DEC9F3">
            <w:pPr>
              <w:rPr>
                <w:rFonts w:hint="eastAsia"/>
              </w:rPr>
            </w:pPr>
            <w:r>
              <w:rPr>
                <w:rFonts w:hint="eastAsia"/>
              </w:rPr>
              <w:t>6、按压头手动归位：当主机发生错误，若按压头未归位，能够手动将按压头推回初始位。</w:t>
            </w:r>
          </w:p>
          <w:p w14:paraId="41FE6B9B">
            <w:pPr>
              <w:rPr>
                <w:rFonts w:hint="eastAsia"/>
              </w:rPr>
            </w:pPr>
            <w:r>
              <w:rPr>
                <w:rFonts w:hint="eastAsia"/>
              </w:rPr>
              <w:t>7、环境试验应符合GB/T 14710-2009中气候环境试验II组，机械环境试验II组的规定</w:t>
            </w:r>
          </w:p>
          <w:p w14:paraId="19708C6E">
            <w:pPr>
              <w:rPr>
                <w:rFonts w:hint="eastAsia"/>
              </w:rPr>
            </w:pPr>
            <w:r>
              <w:rPr>
                <w:rFonts w:hint="eastAsia"/>
              </w:rPr>
              <w:t>8、运输试验、电源电压适应能力试验应分别符合GB/T 14710-2009的规定</w:t>
            </w:r>
          </w:p>
          <w:p w14:paraId="034FBD0D">
            <w:pPr>
              <w:rPr>
                <w:rFonts w:hint="eastAsia"/>
              </w:rPr>
            </w:pPr>
            <w:r>
              <w:rPr>
                <w:rFonts w:hint="eastAsia"/>
              </w:rPr>
              <w:t>9、车载运行性能：在三级公路、行驶速度40km／h，运行200km状态下，能持续稳定实施胸腔按压，以满足长距离转运期院外急救的使用需求。</w:t>
            </w:r>
          </w:p>
          <w:p w14:paraId="57975E64">
            <w:pPr>
              <w:rPr>
                <w:rFonts w:hint="eastAsia"/>
              </w:rPr>
            </w:pPr>
            <w:r>
              <w:rPr>
                <w:rFonts w:hint="eastAsia"/>
              </w:rPr>
              <w:t>数据存储和传输：</w:t>
            </w:r>
          </w:p>
          <w:p w14:paraId="114ACB8C">
            <w:pPr>
              <w:rPr>
                <w:rFonts w:hint="eastAsia"/>
              </w:rPr>
            </w:pPr>
            <w:r>
              <w:rPr>
                <w:rFonts w:hint="eastAsia"/>
              </w:rPr>
              <w:t>1、具有USB接口,用于软件维护与升级</w:t>
            </w:r>
          </w:p>
          <w:p w14:paraId="69AC36E5">
            <w:pPr>
              <w:rPr>
                <w:rFonts w:hint="eastAsia"/>
              </w:rPr>
            </w:pPr>
            <w:r>
              <w:rPr>
                <w:rFonts w:hint="eastAsia"/>
              </w:rPr>
              <w:t>具有≥16G内存</w:t>
            </w:r>
          </w:p>
          <w:p w14:paraId="758EDF34">
            <w:pPr>
              <w:rPr>
                <w:rFonts w:hint="eastAsia"/>
              </w:rPr>
            </w:pPr>
            <w:r>
              <w:rPr>
                <w:rFonts w:hint="eastAsia"/>
              </w:rPr>
              <w:t>2、心肺复苏机可与</w:t>
            </w:r>
            <w:bookmarkStart w:id="2" w:name="_GoBack"/>
            <w:bookmarkEnd w:id="2"/>
            <w:r>
              <w:rPr>
                <w:rFonts w:hint="eastAsia"/>
              </w:rPr>
              <w:t>同品牌呼吸机联动，实现按压通气精准控制</w:t>
            </w:r>
          </w:p>
          <w:p w14:paraId="1D749D54">
            <w:pPr>
              <w:rPr>
                <w:rFonts w:hint="eastAsia"/>
              </w:rPr>
            </w:pPr>
            <w:r>
              <w:rPr>
                <w:rFonts w:hint="eastAsia"/>
              </w:rPr>
              <w:t>3、通过EN1789《医用车辆和其设备道路救护车标准》</w:t>
            </w:r>
          </w:p>
        </w:tc>
        <w:tc>
          <w:tcPr>
            <w:tcW w:w="1136" w:type="dxa"/>
            <w:tcBorders>
              <w:top w:val="single" w:color="auto" w:sz="4" w:space="0"/>
              <w:left w:val="single" w:color="auto" w:sz="4" w:space="0"/>
              <w:right w:val="single" w:color="auto" w:sz="4" w:space="0"/>
            </w:tcBorders>
            <w:noWrap w:val="0"/>
            <w:vAlign w:val="center"/>
          </w:tcPr>
          <w:p w14:paraId="60D6AC89">
            <w:pPr>
              <w:rPr>
                <w:rFonts w:hint="default" w:eastAsia="宋体"/>
                <w:lang w:val="en-US" w:eastAsia="zh-CN"/>
              </w:rPr>
            </w:pPr>
            <w:r>
              <w:rPr>
                <w:rFonts w:hint="eastAsia"/>
              </w:rPr>
              <w:t>119000</w:t>
            </w:r>
            <w:r>
              <w:rPr>
                <w:rFonts w:hint="eastAsia"/>
                <w:lang w:val="en-US" w:eastAsia="zh-CN"/>
              </w:rPr>
              <w:t>.00</w:t>
            </w:r>
          </w:p>
        </w:tc>
      </w:tr>
      <w:tr w14:paraId="3250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79325EF5">
            <w:pPr>
              <w:rPr>
                <w:rFonts w:hint="eastAsia"/>
              </w:rPr>
            </w:pPr>
            <w:r>
              <w:rPr>
                <w:rFonts w:hint="eastAsia"/>
              </w:rPr>
              <w:t>▲商务条款</w:t>
            </w:r>
          </w:p>
        </w:tc>
        <w:tc>
          <w:tcPr>
            <w:tcW w:w="8711" w:type="dxa"/>
            <w:gridSpan w:val="5"/>
            <w:tcBorders>
              <w:top w:val="single" w:color="auto" w:sz="4" w:space="0"/>
              <w:left w:val="single" w:color="auto" w:sz="4" w:space="0"/>
              <w:bottom w:val="single" w:color="auto" w:sz="4" w:space="0"/>
              <w:right w:val="single" w:color="auto" w:sz="4" w:space="0"/>
            </w:tcBorders>
            <w:noWrap w:val="0"/>
            <w:vAlign w:val="top"/>
          </w:tcPr>
          <w:p w14:paraId="6446328C">
            <w:pPr>
              <w:rPr>
                <w:rFonts w:hint="eastAsia"/>
              </w:rPr>
            </w:pPr>
            <w:r>
              <w:rPr>
                <w:rFonts w:hint="eastAsia"/>
              </w:rPr>
              <w:t>一、合同签订期：自中标通知书发出之日起</w:t>
            </w:r>
            <w:r>
              <w:rPr>
                <w:rFonts w:hint="eastAsia"/>
                <w:color w:val="0000FF"/>
                <w:lang w:val="en-US" w:eastAsia="zh-CN"/>
              </w:rPr>
              <w:t>5</w:t>
            </w:r>
            <w:r>
              <w:rPr>
                <w:rFonts w:hint="eastAsia"/>
                <w:color w:val="0000FF"/>
              </w:rPr>
              <w:t>日</w:t>
            </w:r>
            <w:r>
              <w:rPr>
                <w:rFonts w:hint="eastAsia"/>
              </w:rPr>
              <w:t>内。</w:t>
            </w:r>
          </w:p>
          <w:p w14:paraId="21FEB780">
            <w:pPr>
              <w:rPr>
                <w:rFonts w:hint="eastAsia"/>
              </w:rPr>
            </w:pPr>
            <w:r>
              <w:rPr>
                <w:rFonts w:hint="eastAsia"/>
              </w:rPr>
              <w:t>二、交货时间：</w:t>
            </w:r>
            <w:bookmarkStart w:id="0" w:name="OLE_LINK9"/>
            <w:r>
              <w:rPr>
                <w:rFonts w:hint="eastAsia"/>
              </w:rPr>
              <w:t>自签订合同之日起</w:t>
            </w:r>
            <w:r>
              <w:rPr>
                <w:rFonts w:hint="eastAsia"/>
                <w:color w:val="0000FF"/>
                <w:lang w:val="en-US" w:eastAsia="zh-CN"/>
              </w:rPr>
              <w:t>15</w:t>
            </w:r>
            <w:r>
              <w:rPr>
                <w:rFonts w:hint="eastAsia"/>
                <w:color w:val="0000FF"/>
              </w:rPr>
              <w:t>日</w:t>
            </w:r>
            <w:r>
              <w:rPr>
                <w:rFonts w:hint="eastAsia"/>
              </w:rPr>
              <w:t>内交货，并安装调试完毕且通过验收。</w:t>
            </w:r>
          </w:p>
          <w:bookmarkEnd w:id="0"/>
          <w:p w14:paraId="00D5A65A">
            <w:pPr>
              <w:rPr>
                <w:rFonts w:hint="eastAsia"/>
              </w:rPr>
            </w:pPr>
            <w:r>
              <w:rPr>
                <w:rFonts w:hint="eastAsia"/>
              </w:rPr>
              <w:t xml:space="preserve">三、交货地点：采购人指定地点    </w:t>
            </w:r>
          </w:p>
          <w:p w14:paraId="389BA494">
            <w:pPr>
              <w:rPr>
                <w:rFonts w:hint="eastAsia"/>
              </w:rPr>
            </w:pPr>
            <w:r>
              <w:rPr>
                <w:rFonts w:hint="eastAsia"/>
              </w:rPr>
              <w:t>四、验收标准、规范：</w:t>
            </w:r>
          </w:p>
          <w:p w14:paraId="1F417357">
            <w:pPr>
              <w:rPr>
                <w:rFonts w:hint="eastAsia"/>
              </w:rPr>
            </w:pPr>
            <w:r>
              <w:rPr>
                <w:rFonts w:hint="eastAsia"/>
              </w:rPr>
              <w:t>1、中标人向采购人提供的货物必须是全新的原装产品；投标所提供的所有设备必须是签订合同之日前两年内生产的机型。</w:t>
            </w:r>
          </w:p>
          <w:p w14:paraId="26485DDF">
            <w:pPr>
              <w:rPr>
                <w:rFonts w:hint="eastAsia"/>
              </w:rPr>
            </w:pPr>
            <w:r>
              <w:rPr>
                <w:rFonts w:hint="eastAsia"/>
              </w:rPr>
              <w:t>2、验收过程中所产生的一切费用均由中标人承担，报价时应考虑相关费用。</w:t>
            </w:r>
          </w:p>
          <w:p w14:paraId="16B09976">
            <w:pPr>
              <w:rPr>
                <w:rFonts w:hint="eastAsia"/>
              </w:rPr>
            </w:pPr>
            <w:r>
              <w:rPr>
                <w:rFonts w:hint="eastAsia"/>
              </w:rPr>
              <w:t>3、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42D7C1A5">
            <w:pPr>
              <w:rPr>
                <w:rFonts w:hint="eastAsia"/>
              </w:rPr>
            </w:pPr>
            <w:r>
              <w:rPr>
                <w:rFonts w:hint="eastAsia"/>
              </w:rPr>
              <w:t>4、本采购文件的相关要求。</w:t>
            </w:r>
          </w:p>
          <w:p w14:paraId="218229B3">
            <w:pPr>
              <w:rPr>
                <w:rFonts w:hint="eastAsia"/>
              </w:rPr>
            </w:pPr>
            <w:r>
              <w:rPr>
                <w:rFonts w:hint="eastAsia"/>
              </w:rPr>
              <w:t>5、国家相关法律、法规、标准和规范等</w:t>
            </w:r>
          </w:p>
          <w:p w14:paraId="0C701139">
            <w:pPr>
              <w:rPr>
                <w:rFonts w:hint="eastAsia"/>
              </w:rPr>
            </w:pPr>
            <w:r>
              <w:rPr>
                <w:rFonts w:hint="eastAsia"/>
              </w:rPr>
              <w:t>五、售后服务要求：</w:t>
            </w:r>
          </w:p>
          <w:p w14:paraId="1C62651C">
            <w:pPr>
              <w:rPr>
                <w:rFonts w:hint="eastAsia"/>
              </w:rPr>
            </w:pPr>
            <w:r>
              <w:rPr>
                <w:rFonts w:hint="eastAsia"/>
              </w:rPr>
              <w:t>1、免费送货上门，免费安装调试合格，按国家有关规定实行“三包”，免费定期回访及维护。</w:t>
            </w:r>
          </w:p>
          <w:p w14:paraId="678C8A0F">
            <w:pPr>
              <w:rPr>
                <w:rFonts w:hint="eastAsia"/>
              </w:rPr>
            </w:pPr>
            <w:r>
              <w:rPr>
                <w:rFonts w:hint="eastAsia"/>
              </w:rPr>
              <w:t>2、质保期：自验收合格之日起不少于1年。如技术参数中有明确要求的，从其要求。质保为整机（整台、整套）及</w:t>
            </w:r>
            <w:r>
              <w:t>软件</w:t>
            </w:r>
            <w:r>
              <w:rPr>
                <w:rFonts w:hint="eastAsia"/>
              </w:rPr>
              <w:t>，质保期内保证设备的合法性使用，国家强制检测由投标人负责，质保期内的质量责任由中标人承担；由于设备质量造成的安全事故由中标人承担；质保期内货物故障后中</w:t>
            </w:r>
            <w:r>
              <w:t>标人承诺免费更换新件</w:t>
            </w:r>
            <w:r>
              <w:rPr>
                <w:rFonts w:hint="eastAsia"/>
              </w:rPr>
              <w:t>。</w:t>
            </w:r>
          </w:p>
          <w:p w14:paraId="1642060D">
            <w:pPr>
              <w:rPr>
                <w:rFonts w:hint="eastAsia"/>
              </w:rPr>
            </w:pPr>
            <w:r>
              <w:rPr>
                <w:rFonts w:hint="eastAsia"/>
              </w:rPr>
              <w:t>3、服务响应时间：7×24小时提供服务。电话报修要求2小时内响应，如果合同设备停机且需要现场服务，工程师将在24小时内到达维修现场。</w:t>
            </w:r>
          </w:p>
          <w:p w14:paraId="21B6F9F8">
            <w:pPr>
              <w:rPr>
                <w:rFonts w:hint="eastAsia"/>
              </w:rPr>
            </w:pPr>
            <w:r>
              <w:rPr>
                <w:rFonts w:hint="eastAsia"/>
              </w:rPr>
              <w:t>4、备品备件要求：维修设备时更换问题部件，并负责备件的运输，具体包括：</w:t>
            </w:r>
          </w:p>
          <w:p w14:paraId="3BD48493">
            <w:pPr>
              <w:rPr>
                <w:rFonts w:hint="eastAsia"/>
              </w:rPr>
            </w:pPr>
            <w:r>
              <w:rPr>
                <w:rFonts w:hint="eastAsia"/>
              </w:rPr>
              <w:t>（1）提供保修所需的备件供应要及时、充足。</w:t>
            </w:r>
          </w:p>
          <w:p w14:paraId="6513028F">
            <w:pPr>
              <w:rPr>
                <w:rFonts w:hint="eastAsia"/>
              </w:rPr>
            </w:pPr>
            <w:r>
              <w:rPr>
                <w:rFonts w:hint="eastAsia"/>
              </w:rPr>
              <w:t>（2）备件必须是原厂提供的未拆封原装备件</w:t>
            </w:r>
          </w:p>
          <w:p w14:paraId="0B388184">
            <w:pPr>
              <w:rPr>
                <w:rFonts w:hint="eastAsia"/>
              </w:rPr>
            </w:pPr>
            <w:r>
              <w:rPr>
                <w:rFonts w:hint="eastAsia"/>
              </w:rPr>
              <w:t>5、设备安装调试及技术培训：中标人协助进行安装前的准备工作。到货后，中标人安排工程师免费安装。设备安装后，中标人安装工程师为用户提供为期3天现场培训，培训内容包括：基本原理、结构、操作、软件使用、数据处理、维护保养及简单故障排除，保证采购人的使用人员能正确操作设备，熟练使用设备的各种功能。</w:t>
            </w:r>
          </w:p>
          <w:p w14:paraId="076A282C">
            <w:r>
              <w:rPr>
                <w:rFonts w:hint="eastAsia"/>
              </w:rPr>
              <w:t>6、在正常安装、使用过程中，凡是因产品质量问题所造成采购人损失的，中标人负责赔偿采购人的一切经济损失。</w:t>
            </w:r>
          </w:p>
          <w:p w14:paraId="1FE574DE">
            <w:pPr>
              <w:rPr>
                <w:rFonts w:hint="eastAsia"/>
              </w:rPr>
            </w:pPr>
            <w:r>
              <w:rPr>
                <w:rFonts w:hint="eastAsia"/>
              </w:rPr>
              <w:t>7、本政府采购项目现执行的有关政策、法律及法规，如有与国家最新发布的政策、法律及法规相抵触时，投标人必须无条件按照最新规定执行，且造成的损失均由投标人自行承担。</w:t>
            </w:r>
          </w:p>
          <w:p w14:paraId="510E99FF">
            <w:pPr>
              <w:rPr>
                <w:rFonts w:hint="eastAsia"/>
              </w:rPr>
            </w:pPr>
            <w:r>
              <w:rPr>
                <w:rFonts w:hint="eastAsia"/>
              </w:rPr>
              <w:t>8、其余按厂家承诺进行。</w:t>
            </w:r>
          </w:p>
          <w:p w14:paraId="6E5A3065">
            <w:pPr>
              <w:rPr>
                <w:rFonts w:hint="eastAsia"/>
              </w:rPr>
            </w:pPr>
            <w:r>
              <w:rPr>
                <w:rFonts w:hint="eastAsia"/>
              </w:rPr>
              <w:t>六、其他要求：</w:t>
            </w:r>
          </w:p>
          <w:p w14:paraId="06415ADD">
            <w:pPr>
              <w:rPr>
                <w:rFonts w:hint="eastAsia"/>
              </w:rPr>
            </w:pPr>
            <w:r>
              <w:rPr>
                <w:rFonts w:hint="eastAsia"/>
              </w:rPr>
              <w:t>1、报价必须含以下部分，包括：</w:t>
            </w:r>
          </w:p>
          <w:p w14:paraId="704BAC75">
            <w:pPr>
              <w:rPr>
                <w:rFonts w:hint="eastAsia"/>
              </w:rPr>
            </w:pPr>
            <w:r>
              <w:rPr>
                <w:rFonts w:hint="eastAsia"/>
              </w:rPr>
              <w:t>（1）货物的价格；</w:t>
            </w:r>
          </w:p>
          <w:p w14:paraId="31D7F8C9">
            <w:pPr>
              <w:rPr>
                <w:rFonts w:hint="eastAsia"/>
              </w:rPr>
            </w:pPr>
            <w:r>
              <w:rPr>
                <w:rFonts w:hint="eastAsia"/>
              </w:rPr>
              <w:t>（2）必要的保险费用和各项税金；</w:t>
            </w:r>
          </w:p>
          <w:p w14:paraId="73B68600">
            <w:pPr>
              <w:rPr>
                <w:rFonts w:hint="eastAsia"/>
              </w:rPr>
            </w:pPr>
            <w:r>
              <w:rPr>
                <w:rFonts w:hint="eastAsia"/>
              </w:rPr>
              <w:t xml:space="preserve">（3）其他：包括货款、随配附件、备品备件、专用工具、包装、运输、装卸、保险、运抵指定交货地点、送货上门服务、现场安装调试、保修等各种费用和售后服务、培训、税金及其他所有成本费用的总和。 </w:t>
            </w:r>
          </w:p>
          <w:p w14:paraId="4450114D">
            <w:pPr>
              <w:rPr>
                <w:rFonts w:hint="eastAsia"/>
              </w:rPr>
            </w:pPr>
            <w:bookmarkStart w:id="1" w:name="OLE_LINK10"/>
            <w:r>
              <w:rPr>
                <w:rFonts w:hint="eastAsia"/>
              </w:rPr>
              <w:t>2、付款方式：</w:t>
            </w:r>
            <w:r>
              <w:rPr>
                <w:rFonts w:hint="eastAsia"/>
                <w:color w:val="0000FF"/>
                <w:lang w:val="en-US" w:eastAsia="zh-CN"/>
              </w:rPr>
              <w:t>签订合同</w:t>
            </w:r>
            <w:r>
              <w:rPr>
                <w:rFonts w:hint="eastAsia"/>
                <w:color w:val="0000FF"/>
              </w:rPr>
              <w:t>后支付完中标价的95%（供应商按中标价开具全款发票），验收合格之日起</w:t>
            </w:r>
            <w:r>
              <w:rPr>
                <w:rFonts w:hint="eastAsia"/>
                <w:color w:val="0000FF"/>
                <w:lang w:val="en-US" w:eastAsia="zh-CN"/>
              </w:rPr>
              <w:t>1年</w:t>
            </w:r>
            <w:r>
              <w:rPr>
                <w:rFonts w:hint="eastAsia"/>
                <w:color w:val="0000FF"/>
              </w:rPr>
              <w:t>后支付5%的尾款。</w:t>
            </w:r>
            <w:bookmarkEnd w:id="1"/>
          </w:p>
        </w:tc>
      </w:tr>
      <w:tr w14:paraId="37B6C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3DA1BAFD">
            <w:pPr>
              <w:rPr>
                <w:rFonts w:hint="eastAsia"/>
              </w:rPr>
            </w:pPr>
            <w:r>
              <w:rPr>
                <w:rFonts w:hint="eastAsia"/>
              </w:rPr>
              <w:t>其他说明</w:t>
            </w:r>
          </w:p>
        </w:tc>
        <w:tc>
          <w:tcPr>
            <w:tcW w:w="8711" w:type="dxa"/>
            <w:gridSpan w:val="5"/>
            <w:tcBorders>
              <w:top w:val="single" w:color="auto" w:sz="4" w:space="0"/>
              <w:left w:val="single" w:color="auto" w:sz="4" w:space="0"/>
              <w:bottom w:val="single" w:color="auto" w:sz="4" w:space="0"/>
              <w:right w:val="single" w:color="auto" w:sz="4" w:space="0"/>
            </w:tcBorders>
            <w:noWrap w:val="0"/>
            <w:vAlign w:val="top"/>
          </w:tcPr>
          <w:p w14:paraId="573BDD3C">
            <w:pPr>
              <w:rPr>
                <w:rFonts w:hint="eastAsia"/>
              </w:rPr>
            </w:pPr>
            <w:r>
              <w:rPr>
                <w:rFonts w:hint="eastAsia"/>
              </w:rPr>
              <w:t>一、进口产品说明</w:t>
            </w:r>
          </w:p>
          <w:p w14:paraId="2ED6AA5E">
            <w:pPr>
              <w:rPr>
                <w:rFonts w:hint="eastAsia"/>
              </w:rPr>
            </w:pPr>
            <w:r>
              <w:rPr>
                <w:rFonts w:hint="eastAsia"/>
              </w:rPr>
              <w:t>□本表的第</w:t>
            </w:r>
            <w:r>
              <w:rPr>
                <w:rFonts w:hint="eastAsia"/>
                <w:u w:val="single"/>
              </w:rPr>
              <w:t xml:space="preserve">     </w:t>
            </w:r>
            <w:r>
              <w:rPr>
                <w:rFonts w:hint="eastAsia"/>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37D4608E">
            <w:pPr>
              <w:rPr>
                <w:rFonts w:hint="eastAsia"/>
              </w:rPr>
            </w:pPr>
            <w:r>
              <w:t>☑</w:t>
            </w:r>
            <w:r>
              <w:rPr>
                <w:rFonts w:hint="eastAsia"/>
              </w:rPr>
              <w:t>本项目货物所涉及的货物不接受进口产品（即通过中国海关报关验放进入中国境内且产自关境外的产品）参与投标，如有进口产品参与投标的作无效标处理。</w:t>
            </w:r>
          </w:p>
          <w:p w14:paraId="5FA2E00E">
            <w:pPr>
              <w:rPr>
                <w:rFonts w:hint="eastAsia" w:ascii="仿宋_GB2312" w:hAnsi="仿宋_GB2312" w:eastAsia="仿宋_GB2312" w:cs="仿宋_GB2312"/>
              </w:rPr>
            </w:pPr>
            <w:r>
              <w:rPr>
                <w:rFonts w:hint="eastAsia"/>
              </w:rPr>
              <w:t>二、核心产品：本项目核心产品为第</w:t>
            </w:r>
            <w:r>
              <w:rPr>
                <w:rFonts w:hint="eastAsia"/>
                <w:u w:val="single"/>
              </w:rPr>
              <w:t xml:space="preserve">  1、2</w:t>
            </w:r>
            <w:r>
              <w:rPr>
                <w:rFonts w:hint="eastAsia"/>
                <w:u w:val="single"/>
                <w:lang w:val="en-US" w:eastAsia="zh-CN"/>
              </w:rPr>
              <w:t xml:space="preserve"> </w:t>
            </w:r>
            <w:r>
              <w:rPr>
                <w:rFonts w:hint="eastAsia"/>
              </w:rPr>
              <w:t>项货物“   心电监护仪、电动心肺复苏机   ”。</w:t>
            </w:r>
            <w:r>
              <w:rPr>
                <w:rFonts w:hint="eastAsia" w:ascii="仿宋_GB2312" w:hAnsi="仿宋_GB2312" w:eastAsia="仿宋_GB2312" w:cs="仿宋_GB2312"/>
              </w:rPr>
              <w:t>（核心产品品牌相同的，视为提供同品牌产品）</w:t>
            </w:r>
          </w:p>
          <w:p w14:paraId="0E729046">
            <w:pPr>
              <w:rPr>
                <w:rFonts w:hint="eastAsia"/>
              </w:rPr>
            </w:pPr>
            <w:r>
              <w:rPr>
                <w:rFonts w:hint="eastAsia" w:ascii="仿宋_GB2312" w:hAnsi="仿宋_GB2312" w:eastAsia="仿宋_GB2312" w:cs="仿宋_GB2312"/>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tc>
      </w:tr>
      <w:tr w14:paraId="79B00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41E7CDCF">
            <w:pPr>
              <w:rPr>
                <w:rFonts w:hint="eastAsia"/>
              </w:rPr>
            </w:pPr>
            <w:r>
              <w:rPr>
                <w:rFonts w:hint="eastAsia"/>
              </w:rPr>
              <w:t>资料要求</w:t>
            </w:r>
          </w:p>
        </w:tc>
        <w:tc>
          <w:tcPr>
            <w:tcW w:w="8711" w:type="dxa"/>
            <w:gridSpan w:val="5"/>
            <w:tcBorders>
              <w:top w:val="single" w:color="auto" w:sz="4" w:space="0"/>
              <w:left w:val="single" w:color="auto" w:sz="4" w:space="0"/>
              <w:bottom w:val="single" w:color="auto" w:sz="4" w:space="0"/>
              <w:right w:val="single" w:color="auto" w:sz="4" w:space="0"/>
            </w:tcBorders>
            <w:noWrap w:val="0"/>
            <w:vAlign w:val="center"/>
          </w:tcPr>
          <w:p w14:paraId="019FBA58">
            <w:r>
              <w:rPr>
                <w:rFonts w:hint="eastAsia"/>
              </w:rPr>
              <w:t>▲1. 供应商投标产品如属于二、三类医疗器械的，投标文件中提供所投标产品有效的医疗器械注册证复印件。</w:t>
            </w:r>
          </w:p>
          <w:p w14:paraId="7E2E14D4">
            <w:r>
              <w:rPr>
                <w:rFonts w:hint="eastAsia"/>
              </w:rPr>
              <w:t>2.供应商可在投标文件中提供投标产品对外公开的产品彩页或说明书（体现技术参数，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65840C69">
            <w:r>
              <w:rPr>
                <w:rFonts w:hint="eastAsia"/>
              </w:rPr>
              <w:t>3.供应商如有总代理资格证件及授权书，请提供复印件。</w:t>
            </w:r>
          </w:p>
          <w:p w14:paraId="3C20A9E4">
            <w:pPr>
              <w:rPr>
                <w:rFonts w:hint="eastAsia"/>
              </w:rPr>
            </w:pPr>
            <w:r>
              <w:rPr>
                <w:rFonts w:hint="eastAsia"/>
              </w:rPr>
              <w:t>4.必须在响应文件中提供项目实施方案；如有请提供与本标段采购内容相关的信誉业绩、综合实力、信息化建设、产品使用年限等资料。</w:t>
            </w:r>
          </w:p>
        </w:tc>
      </w:tr>
    </w:tbl>
    <w:p w14:paraId="6C970B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0454A"/>
    <w:rsid w:val="04C94379"/>
    <w:rsid w:val="149A585A"/>
    <w:rsid w:val="17985750"/>
    <w:rsid w:val="1F66700D"/>
    <w:rsid w:val="1F7E0AA0"/>
    <w:rsid w:val="29082BE0"/>
    <w:rsid w:val="43842853"/>
    <w:rsid w:val="4926582A"/>
    <w:rsid w:val="4CE64968"/>
    <w:rsid w:val="5120454A"/>
    <w:rsid w:val="7C5B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4289</Words>
  <Characters>4714</Characters>
  <Lines>0</Lines>
  <Paragraphs>0</Paragraphs>
  <TotalTime>2</TotalTime>
  <ScaleCrop>false</ScaleCrop>
  <LinksUpToDate>false</LinksUpToDate>
  <CharactersWithSpaces>4748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2024-12-04T03:18:00Z</dcterms:created>
  <dc:creator>骑着蜗牛撵大象</dc:creator>
  <cp:lastModifiedBy>骑着蜗牛撵大象</cp:lastModifiedBy>
  <dcterms:modified xsi:type="dcterms:W3CDTF">2024-12-05T10:29:27Z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E4613FDB5A574084ABFBA0AF51CCD6B7_11</vt:lpwstr>
  </property>
</Properties>
</file>