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highlight w:val="none"/>
        </w:rPr>
      </w:pPr>
      <w:bookmarkStart w:id="0" w:name="_Toc499623059"/>
      <w:bookmarkStart w:id="1" w:name="_Toc9595345"/>
      <w:r>
        <w:rPr>
          <w:rFonts w:hint="eastAsia"/>
          <w:highlight w:val="none"/>
        </w:rPr>
        <w:t xml:space="preserve"> 货物需求一览表及技术要求</w:t>
      </w:r>
      <w:bookmarkEnd w:id="0"/>
      <w:bookmarkEnd w:id="1"/>
    </w:p>
    <w:p>
      <w:pPr>
        <w:rPr>
          <w:rFonts w:ascii="宋体" w:hAnsi="宋体"/>
          <w:b/>
          <w:w w:val="80"/>
          <w:sz w:val="36"/>
          <w:szCs w:val="36"/>
          <w:highlight w:val="none"/>
        </w:rPr>
      </w:pPr>
    </w:p>
    <w:tbl>
      <w:tblPr>
        <w:tblStyle w:val="6"/>
        <w:tblW w:w="0" w:type="auto"/>
        <w:jc w:val="center"/>
        <w:tblLayout w:type="fixed"/>
        <w:tblCellMar>
          <w:top w:w="15" w:type="dxa"/>
          <w:left w:w="15" w:type="dxa"/>
          <w:bottom w:w="15" w:type="dxa"/>
          <w:right w:w="15" w:type="dxa"/>
        </w:tblCellMar>
      </w:tblPr>
      <w:tblGrid>
        <w:gridCol w:w="1140"/>
        <w:gridCol w:w="2950"/>
        <w:gridCol w:w="1119"/>
        <w:gridCol w:w="1061"/>
        <w:gridCol w:w="2336"/>
      </w:tblGrid>
      <w:tr>
        <w:tblPrEx>
          <w:tblCellMar>
            <w:top w:w="15" w:type="dxa"/>
            <w:left w:w="15" w:type="dxa"/>
            <w:bottom w:w="15" w:type="dxa"/>
            <w:right w:w="15" w:type="dxa"/>
          </w:tblCellMar>
        </w:tblPrEx>
        <w:trPr>
          <w:trHeight w:val="680" w:hRule="atLeast"/>
          <w:jc w:val="center"/>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sz w:val="24"/>
                <w:highlight w:val="none"/>
              </w:rPr>
            </w:pPr>
            <w:r>
              <w:rPr>
                <w:rFonts w:hint="eastAsia"/>
                <w:b/>
                <w:kern w:val="0"/>
                <w:sz w:val="24"/>
                <w:highlight w:val="none"/>
              </w:rPr>
              <w:t>序号</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0"/>
                <w:highlight w:val="none"/>
              </w:rPr>
            </w:pPr>
            <w:r>
              <w:rPr>
                <w:rFonts w:hint="eastAsia" w:ascii="宋体" w:hAnsi="宋体" w:cs="宋体"/>
                <w:b/>
                <w:sz w:val="24"/>
                <w:highlight w:val="none"/>
              </w:rPr>
              <w:t>设备</w:t>
            </w:r>
            <w:r>
              <w:rPr>
                <w:rFonts w:ascii="宋体" w:hAnsi="宋体" w:cs="宋体"/>
                <w:b/>
                <w:sz w:val="24"/>
                <w:highlight w:val="none"/>
              </w:rPr>
              <w:t>/</w:t>
            </w:r>
            <w:r>
              <w:rPr>
                <w:rFonts w:hint="eastAsia" w:ascii="宋体" w:hAnsi="宋体" w:cs="宋体"/>
                <w:b/>
                <w:sz w:val="24"/>
                <w:highlight w:val="none"/>
              </w:rPr>
              <w:t>材料名称</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jc w:val="center"/>
              <w:rPr>
                <w:b/>
                <w:sz w:val="24"/>
                <w:highlight w:val="none"/>
              </w:rPr>
            </w:pPr>
            <w:r>
              <w:rPr>
                <w:rFonts w:hint="eastAsia"/>
                <w:b/>
                <w:sz w:val="24"/>
                <w:highlight w:val="none"/>
              </w:rPr>
              <w:t>单位</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s="宋体"/>
                <w:b/>
                <w:sz w:val="24"/>
                <w:highlight w:val="none"/>
              </w:rPr>
            </w:pPr>
            <w:r>
              <w:rPr>
                <w:rFonts w:hint="eastAsia" w:ascii="宋体" w:hAnsi="宋体" w:cs="宋体"/>
                <w:b/>
                <w:sz w:val="24"/>
                <w:highlight w:val="none"/>
              </w:rPr>
              <w:t>数量</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推荐品牌</w:t>
            </w:r>
          </w:p>
        </w:tc>
      </w:tr>
      <w:tr>
        <w:tblPrEx>
          <w:tblCellMar>
            <w:top w:w="15" w:type="dxa"/>
            <w:left w:w="15" w:type="dxa"/>
            <w:bottom w:w="15" w:type="dxa"/>
            <w:right w:w="15" w:type="dxa"/>
          </w:tblCellMar>
        </w:tblPrEx>
        <w:trPr>
          <w:trHeight w:val="850" w:hRule="exact"/>
          <w:jc w:val="center"/>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sz w:val="18"/>
                <w:szCs w:val="21"/>
                <w:highlight w:val="none"/>
              </w:rPr>
            </w:pPr>
            <w:r>
              <w:rPr>
                <w:rFonts w:ascii="宋体" w:hAnsi="宋体"/>
                <w:sz w:val="18"/>
                <w:szCs w:val="21"/>
                <w:highlight w:val="none"/>
              </w:rPr>
              <w:t>1</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总氮水质在线自动监测仪</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台</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微</w:t>
            </w:r>
            <w:r>
              <w:rPr>
                <w:rFonts w:hint="eastAsia" w:ascii="宋体" w:hAnsi="宋体" w:cs="宋体"/>
                <w:sz w:val="24"/>
                <w:szCs w:val="24"/>
                <w:highlight w:val="none"/>
                <w:lang w:val="en-US" w:eastAsia="zh-CN"/>
              </w:rPr>
              <w:t>兰</w:t>
            </w:r>
            <w:r>
              <w:rPr>
                <w:rFonts w:hint="eastAsia" w:ascii="宋体" w:hAnsi="宋体" w:eastAsia="宋体" w:cs="宋体"/>
                <w:sz w:val="24"/>
                <w:szCs w:val="24"/>
                <w:highlight w:val="none"/>
                <w:lang w:val="en-US" w:eastAsia="zh-CN"/>
              </w:rPr>
              <w:t>、怡杉、雪迪龙</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lang w:val="zh-CN" w:eastAsia="zh-CN"/>
        </w:rPr>
        <w:t>技术规格中所列品牌为推荐品牌，</w:t>
      </w:r>
      <w:r>
        <w:rPr>
          <w:rFonts w:hint="eastAsia" w:ascii="宋体" w:hAnsi="宋体" w:eastAsia="宋体" w:cs="宋体"/>
          <w:sz w:val="24"/>
          <w:szCs w:val="24"/>
          <w:highlight w:val="none"/>
          <w:lang w:val="en-US" w:eastAsia="zh-CN"/>
        </w:rPr>
        <w:t>所投</w:t>
      </w:r>
      <w:r>
        <w:rPr>
          <w:rFonts w:hint="eastAsia" w:ascii="宋体" w:hAnsi="宋体" w:eastAsia="宋体" w:cs="宋体"/>
          <w:sz w:val="24"/>
          <w:szCs w:val="24"/>
          <w:highlight w:val="none"/>
          <w:lang w:val="zh-CN" w:eastAsia="zh-CN"/>
        </w:rPr>
        <w:t>品牌可为同等档次或优于本</w:t>
      </w:r>
      <w:r>
        <w:rPr>
          <w:rFonts w:hint="eastAsia" w:ascii="宋体" w:hAnsi="宋体" w:eastAsia="宋体" w:cs="宋体"/>
          <w:sz w:val="24"/>
          <w:szCs w:val="24"/>
          <w:highlight w:val="none"/>
          <w:lang w:val="en-US" w:eastAsia="zh-CN"/>
        </w:rPr>
        <w:t>询价</w:t>
      </w:r>
      <w:r>
        <w:rPr>
          <w:rFonts w:hint="eastAsia" w:ascii="宋体" w:hAnsi="宋体" w:eastAsia="宋体" w:cs="宋体"/>
          <w:sz w:val="24"/>
          <w:szCs w:val="24"/>
          <w:highlight w:val="none"/>
          <w:lang w:val="zh-CN" w:eastAsia="zh-CN"/>
        </w:rPr>
        <w:t>文件所列品牌。</w:t>
      </w:r>
    </w:p>
    <w:p>
      <w:pPr>
        <w:pStyle w:val="9"/>
        <w:numPr>
          <w:ilvl w:val="0"/>
          <w:numId w:val="0"/>
        </w:numPr>
        <w:spacing w:line="360" w:lineRule="auto"/>
        <w:jc w:val="both"/>
        <w:rPr>
          <w:rFonts w:hint="eastAsia" w:ascii="宋体" w:cs="宋体"/>
          <w:b/>
          <w:bCs/>
          <w:kern w:val="0"/>
          <w:sz w:val="28"/>
          <w:szCs w:val="28"/>
          <w:highlight w:val="none"/>
          <w:lang w:val="zh-CN"/>
        </w:rPr>
      </w:pPr>
    </w:p>
    <w:p>
      <w:pPr>
        <w:pStyle w:val="9"/>
        <w:numPr>
          <w:ilvl w:val="0"/>
          <w:numId w:val="0"/>
        </w:numPr>
        <w:spacing w:line="360" w:lineRule="auto"/>
        <w:jc w:val="both"/>
        <w:rPr>
          <w:rFonts w:hint="eastAsia" w:ascii="宋体" w:cs="宋体"/>
          <w:b/>
          <w:bCs/>
          <w:kern w:val="0"/>
          <w:sz w:val="28"/>
          <w:szCs w:val="28"/>
          <w:highlight w:val="none"/>
          <w:lang w:val="zh-CN"/>
        </w:rPr>
      </w:pPr>
      <w:r>
        <w:rPr>
          <w:rFonts w:hint="eastAsia" w:ascii="宋体" w:cs="宋体"/>
          <w:b/>
          <w:bCs/>
          <w:kern w:val="0"/>
          <w:sz w:val="28"/>
          <w:szCs w:val="28"/>
          <w:highlight w:val="none"/>
          <w:lang w:val="zh-CN"/>
        </w:rPr>
        <w:t>技术要求：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设备名称：总氮水质在线自动监测仪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推荐品牌：国产品牌（微</w:t>
      </w:r>
      <w:r>
        <w:rPr>
          <w:rFonts w:hint="eastAsia" w:ascii="宋体" w:hAnsi="宋体" w:cs="宋体"/>
          <w:sz w:val="24"/>
          <w:szCs w:val="24"/>
          <w:highlight w:val="none"/>
          <w:lang w:val="en-US" w:eastAsia="zh-CN"/>
        </w:rPr>
        <w:t>兰</w:t>
      </w:r>
      <w:r>
        <w:rPr>
          <w:rFonts w:hint="eastAsia" w:ascii="宋体" w:hAnsi="宋体" w:eastAsia="宋体" w:cs="宋体"/>
          <w:sz w:val="24"/>
          <w:szCs w:val="24"/>
          <w:highlight w:val="none"/>
          <w:lang w:val="en-US" w:eastAsia="zh-CN"/>
        </w:rPr>
        <w:t>、怡杉、雪迪龙）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技术参数要求：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1.最大量程150mg/L，量程可选</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2.带自动核查、自动标定功能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3.符合《总氮水质自动分析仪技术要求》（HJ/T 102-2003）</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参考参数：</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测量方法</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过硫酸钾消解—紫外分光光度法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测量范围</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（0～2）mg/L；（0～25）mg/L；（0～50）mg/L；（0～125）mg/L；可应用户要求可扩展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测量精度</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±0.04mg/L，TN≤0.4mg/L；±10%，TN＞0.4mg/L；</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零点漂移</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±5% F.S.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量程漂移</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±5% F.S.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检 出 限</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0.1mg/L</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测量周期</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测量周期最短35分钟/次；可设置在线自动监测周期：1小时/次</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自动标定</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具备在线自动标定功能；另有特为第三方运营公司设计的“巡检全自动标定”功能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自动清洗</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每次测量后仪器自动清洗管路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数据存储</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50万次历史数据储存（十年以上全数据记录）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接口输出</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标配：RS232/RS485、两路4-20mA；     选配：无线物联网接口、联动控制接口</w:t>
      </w:r>
    </w:p>
    <w:p>
      <w:pPr>
        <w:spacing w:line="360" w:lineRule="auto"/>
        <w:jc w:val="left"/>
        <w:rPr>
          <w:rFonts w:hint="eastAsia" w:ascii="宋体" w:hAnsi="宋体" w:eastAsia="宋体" w:cs="宋体"/>
          <w:sz w:val="24"/>
          <w:szCs w:val="24"/>
          <w:highlight w:val="none"/>
        </w:rPr>
      </w:pPr>
    </w:p>
    <w:p>
      <w:pPr>
        <w:pStyle w:val="9"/>
        <w:numPr>
          <w:ilvl w:val="0"/>
          <w:numId w:val="0"/>
        </w:numPr>
        <w:spacing w:line="360" w:lineRule="auto"/>
        <w:jc w:val="both"/>
        <w:rPr>
          <w:rFonts w:hint="eastAsia" w:ascii="宋体" w:hAnsi="Times New Roman" w:eastAsia="宋体" w:cs="宋体"/>
          <w:b/>
          <w:bCs/>
          <w:kern w:val="0"/>
          <w:sz w:val="28"/>
          <w:szCs w:val="28"/>
          <w:highlight w:val="none"/>
          <w:lang w:val="en-US" w:eastAsia="zh-CN"/>
        </w:rPr>
      </w:pPr>
      <w:r>
        <w:rPr>
          <w:rFonts w:hint="eastAsia" w:ascii="宋体" w:hAnsi="Times New Roman" w:eastAsia="宋体" w:cs="宋体"/>
          <w:b/>
          <w:bCs/>
          <w:kern w:val="0"/>
          <w:sz w:val="28"/>
          <w:szCs w:val="28"/>
          <w:highlight w:val="none"/>
          <w:lang w:val="en-US" w:eastAsia="zh-CN"/>
        </w:rPr>
        <w:t>商务要求</w:t>
      </w:r>
      <w:r>
        <w:rPr>
          <w:rFonts w:hint="eastAsia" w:ascii="宋体" w:cs="宋体"/>
          <w:b/>
          <w:bCs/>
          <w:kern w:val="0"/>
          <w:sz w:val="28"/>
          <w:szCs w:val="28"/>
          <w:highlight w:val="none"/>
          <w:lang w:val="en-US" w:eastAsia="zh-CN"/>
        </w:rPr>
        <w:t>：</w:t>
      </w:r>
    </w:p>
    <w:p>
      <w:pPr>
        <w:spacing w:line="380" w:lineRule="exact"/>
        <w:rPr>
          <w:rFonts w:ascii="宋体" w:hAnsi="宋体"/>
          <w:sz w:val="24"/>
          <w:highlight w:val="none"/>
        </w:rPr>
      </w:pPr>
      <w:r>
        <w:rPr>
          <w:rFonts w:hint="eastAsia" w:ascii="宋体" w:hAnsi="宋体"/>
          <w:sz w:val="24"/>
          <w:highlight w:val="none"/>
        </w:rPr>
        <w:t>1、供货方式：</w:t>
      </w:r>
    </w:p>
    <w:p>
      <w:pPr>
        <w:spacing w:line="380" w:lineRule="exact"/>
        <w:rPr>
          <w:rFonts w:ascii="宋体" w:hAnsi="宋体"/>
          <w:sz w:val="24"/>
          <w:highlight w:val="none"/>
        </w:rPr>
      </w:pPr>
      <w:r>
        <w:rPr>
          <w:rFonts w:hint="eastAsia" w:ascii="宋体" w:hAnsi="宋体"/>
          <w:sz w:val="24"/>
          <w:highlight w:val="none"/>
        </w:rPr>
        <w:t>送货由供方负责，供方自签订合同之日起，</w:t>
      </w:r>
      <w:r>
        <w:rPr>
          <w:rFonts w:hint="eastAsia" w:ascii="宋体" w:hAnsi="宋体"/>
          <w:sz w:val="24"/>
          <w:highlight w:val="none"/>
          <w:lang w:val="en-US" w:eastAsia="zh-CN"/>
        </w:rPr>
        <w:t>10个工作日</w:t>
      </w:r>
      <w:r>
        <w:rPr>
          <w:rFonts w:hint="eastAsia" w:ascii="宋体" w:hAnsi="宋体"/>
          <w:sz w:val="24"/>
          <w:highlight w:val="none"/>
        </w:rPr>
        <w:t>内必须将产品送到需方所在地的指定地点</w:t>
      </w:r>
      <w:r>
        <w:rPr>
          <w:rFonts w:hint="eastAsia" w:ascii="宋体" w:hAnsi="宋体"/>
          <w:sz w:val="24"/>
          <w:highlight w:val="none"/>
          <w:lang w:eastAsia="zh-CN"/>
        </w:rPr>
        <w:t>，</w:t>
      </w:r>
      <w:r>
        <w:rPr>
          <w:rFonts w:hint="eastAsia" w:ascii="宋体" w:hAnsi="宋体"/>
          <w:sz w:val="24"/>
          <w:highlight w:val="none"/>
          <w:lang w:val="en-US" w:eastAsia="zh-CN"/>
        </w:rPr>
        <w:t>并完成安装调试</w:t>
      </w:r>
      <w:r>
        <w:rPr>
          <w:rFonts w:hint="eastAsia" w:ascii="宋体" w:hAnsi="宋体"/>
          <w:sz w:val="24"/>
          <w:highlight w:val="none"/>
        </w:rPr>
        <w:t>。</w:t>
      </w:r>
    </w:p>
    <w:p>
      <w:pPr>
        <w:spacing w:line="380" w:lineRule="exact"/>
        <w:rPr>
          <w:rFonts w:ascii="宋体" w:hAnsi="宋体"/>
          <w:sz w:val="24"/>
          <w:highlight w:val="none"/>
        </w:rPr>
      </w:pPr>
      <w:r>
        <w:rPr>
          <w:rFonts w:hint="eastAsia" w:ascii="宋体" w:hAnsi="宋体"/>
          <w:sz w:val="24"/>
          <w:highlight w:val="none"/>
        </w:rPr>
        <w:t>2、交货地点：</w:t>
      </w:r>
    </w:p>
    <w:p>
      <w:pPr>
        <w:spacing w:line="380" w:lineRule="exact"/>
        <w:rPr>
          <w:rFonts w:hint="eastAsia" w:ascii="宋体" w:hAnsi="宋体"/>
          <w:sz w:val="24"/>
          <w:highlight w:val="none"/>
        </w:rPr>
      </w:pPr>
      <w:r>
        <w:rPr>
          <w:rFonts w:hint="eastAsia" w:ascii="宋体" w:hAnsi="宋体"/>
          <w:sz w:val="24"/>
          <w:highlight w:val="none"/>
        </w:rPr>
        <w:t>由供方将货物送至需方所在地的指定地点，并交需方指定的人员验收，运输途中及装卸货的所有风险</w:t>
      </w:r>
      <w:r>
        <w:rPr>
          <w:rFonts w:hint="eastAsia" w:ascii="宋体" w:hAnsi="宋体"/>
          <w:sz w:val="24"/>
          <w:highlight w:val="none"/>
        </w:rPr>
        <w:t>由供方负责。</w:t>
      </w:r>
    </w:p>
    <w:p>
      <w:pPr>
        <w:spacing w:line="380" w:lineRule="exact"/>
        <w:rPr>
          <w:rFonts w:hint="eastAsia" w:ascii="宋体" w:hAnsi="宋体"/>
          <w:sz w:val="24"/>
          <w:highlight w:val="none"/>
          <w:lang w:val="en-US" w:eastAsia="zh-CN"/>
        </w:rPr>
      </w:pPr>
      <w:r>
        <w:rPr>
          <w:rFonts w:hint="eastAsia" w:ascii="宋体" w:hAnsi="宋体"/>
          <w:sz w:val="24"/>
          <w:highlight w:val="none"/>
          <w:lang w:val="en-US" w:eastAsia="zh-CN"/>
        </w:rPr>
        <w:t>3、付款方式：</w:t>
      </w:r>
    </w:p>
    <w:p>
      <w:pPr>
        <w:spacing w:line="380" w:lineRule="exact"/>
        <w:rPr>
          <w:rFonts w:hint="default" w:ascii="宋体" w:hAnsi="宋体"/>
          <w:sz w:val="24"/>
          <w:highlight w:val="none"/>
          <w:lang w:val="en-US" w:eastAsia="zh-CN"/>
        </w:rPr>
      </w:pPr>
      <w:r>
        <w:rPr>
          <w:rFonts w:hint="eastAsia" w:ascii="宋体" w:hAnsi="宋体"/>
          <w:sz w:val="24"/>
          <w:highlight w:val="none"/>
          <w:lang w:val="en-US" w:eastAsia="zh-CN"/>
        </w:rPr>
        <w:t>货到需方指定地点，经安装调试后且验收合格，并提供全额增值税（税率13%）专用发票后三个月内付本批次货款的95%，剩余5%作为质保金在质保期满12个月后付清（无息）。</w:t>
      </w:r>
    </w:p>
    <w:p>
      <w:pPr>
        <w:pStyle w:val="2"/>
      </w:pPr>
    </w:p>
    <w:p>
      <w:pPr>
        <w:spacing w:line="360" w:lineRule="auto"/>
        <w:jc w:val="left"/>
        <w:rPr>
          <w:rFonts w:hint="eastAsia" w:ascii="宋体" w:hAnsi="宋体" w:eastAsia="宋体" w:cs="宋体"/>
          <w:sz w:val="24"/>
          <w:szCs w:val="24"/>
          <w:highlight w:val="none"/>
        </w:rPr>
      </w:pPr>
      <w:bookmarkStart w:id="2" w:name="_GoBack"/>
      <w:bookmarkEnd w:id="2"/>
    </w:p>
    <w:p>
      <w:pPr>
        <w:spacing w:line="360" w:lineRule="auto"/>
        <w:ind w:left="3" w:leftChars="-15" w:right="-44" w:rightChars="-21" w:hanging="34" w:hangingChars="12"/>
        <w:rPr>
          <w:rFonts w:ascii="宋体" w:hAnsi="宋体"/>
          <w:b/>
          <w:sz w:val="28"/>
          <w:szCs w:val="28"/>
        </w:rPr>
      </w:pPr>
      <w:r>
        <w:rPr>
          <w:rFonts w:hint="eastAsia" w:ascii="宋体" w:hAnsi="宋体"/>
          <w:b/>
          <w:sz w:val="28"/>
          <w:szCs w:val="28"/>
        </w:rPr>
        <w:t>资格</w:t>
      </w:r>
      <w:r>
        <w:rPr>
          <w:rFonts w:hint="eastAsia" w:ascii="宋体" w:hAnsi="宋体"/>
          <w:b/>
          <w:sz w:val="28"/>
          <w:szCs w:val="28"/>
          <w:lang w:val="en-US" w:eastAsia="zh-CN"/>
        </w:rPr>
        <w:t>要求：</w:t>
      </w:r>
    </w:p>
    <w:p>
      <w:pPr>
        <w:spacing w:line="560" w:lineRule="exact"/>
        <w:rPr>
          <w:rFonts w:hint="eastAsia" w:ascii="宋体" w:hAnsi="宋体" w:cs="宋体"/>
          <w:kern w:val="0"/>
          <w:sz w:val="24"/>
        </w:rPr>
      </w:pPr>
      <w:r>
        <w:rPr>
          <w:rFonts w:hint="eastAsia" w:ascii="宋体" w:hAnsi="宋体"/>
          <w:sz w:val="24"/>
        </w:rPr>
        <w:t>1）供应商需具有独立企业法人资格并且是具备供货能力的制造商或代理商；</w:t>
      </w:r>
    </w:p>
    <w:p>
      <w:pPr>
        <w:spacing w:line="560" w:lineRule="exact"/>
        <w:ind w:left="-2" w:leftChars="-15" w:right="-44" w:rightChars="-21" w:hanging="29" w:hangingChars="12"/>
        <w:rPr>
          <w:rFonts w:ascii="宋体" w:hAnsi="宋体"/>
          <w:b/>
          <w:sz w:val="24"/>
        </w:rPr>
      </w:pPr>
      <w:r>
        <w:rPr>
          <w:rFonts w:hint="eastAsia" w:ascii="宋体" w:hAnsi="宋体"/>
          <w:b/>
          <w:sz w:val="24"/>
        </w:rPr>
        <w:t>评审依据：加盖供应商公章的营业执照复印件。</w:t>
      </w:r>
    </w:p>
    <w:p>
      <w:pPr>
        <w:pStyle w:val="10"/>
        <w:spacing w:line="360" w:lineRule="auto"/>
        <w:rPr>
          <w:rFonts w:ascii="宋体" w:hAnsi="宋体" w:cs="宋体"/>
          <w:sz w:val="24"/>
          <w:szCs w:val="24"/>
        </w:rPr>
      </w:pPr>
      <w:r>
        <w:rPr>
          <w:rFonts w:hint="eastAsia" w:ascii="宋体" w:hAnsi="宋体"/>
          <w:sz w:val="24"/>
        </w:rPr>
        <w:t>2）</w:t>
      </w:r>
      <w:r>
        <w:rPr>
          <w:rFonts w:hint="eastAsia" w:ascii="宋体" w:hAnsi="宋体" w:cs="宋体"/>
          <w:sz w:val="24"/>
          <w:szCs w:val="22"/>
        </w:rPr>
        <w:t>如投标人为代理商，须提供所投产品制造商的授权函；</w:t>
      </w:r>
    </w:p>
    <w:p>
      <w:pPr>
        <w:shd w:val="clear" w:color="auto" w:fill="FFFFFF"/>
        <w:spacing w:line="360" w:lineRule="auto"/>
        <w:rPr>
          <w:rFonts w:hint="eastAsia"/>
          <w:b/>
          <w:bCs/>
          <w:sz w:val="24"/>
        </w:rPr>
      </w:pPr>
      <w:r>
        <w:rPr>
          <w:rFonts w:hint="eastAsia"/>
          <w:b/>
          <w:bCs/>
          <w:sz w:val="24"/>
        </w:rPr>
        <w:t>评审依据：授权函复印件加盖投标人公章。</w:t>
      </w:r>
    </w:p>
    <w:p>
      <w:pPr>
        <w:spacing w:line="360" w:lineRule="auto"/>
        <w:rPr>
          <w:rFonts w:hint="eastAsia" w:ascii="宋体" w:hAnsi="宋体"/>
          <w:sz w:val="24"/>
          <w:szCs w:val="22"/>
        </w:rPr>
      </w:pPr>
      <w:r>
        <w:rPr>
          <w:rFonts w:hint="eastAsia" w:ascii="宋体" w:hAnsi="宋体" w:cs="Calibri"/>
          <w:sz w:val="24"/>
          <w:szCs w:val="22"/>
          <w:lang w:val="en-US" w:eastAsia="zh-CN"/>
        </w:rPr>
        <w:t>3</w:t>
      </w:r>
      <w:r>
        <w:rPr>
          <w:rFonts w:ascii="宋体" w:hAnsi="宋体" w:cs="Calibri"/>
          <w:sz w:val="24"/>
          <w:szCs w:val="22"/>
        </w:rPr>
        <w:t>）</w:t>
      </w:r>
      <w:r>
        <w:rPr>
          <w:rFonts w:hint="eastAsia" w:ascii="宋体" w:hAnsi="宋体"/>
          <w:sz w:val="24"/>
          <w:szCs w:val="22"/>
        </w:rPr>
        <w:t>供应商须提供近</w:t>
      </w:r>
      <w:r>
        <w:rPr>
          <w:rFonts w:ascii="宋体" w:hAnsi="宋体"/>
          <w:sz w:val="24"/>
          <w:szCs w:val="22"/>
        </w:rPr>
        <w:t>3年</w:t>
      </w:r>
      <w:r>
        <w:rPr>
          <w:rFonts w:hint="eastAsia" w:ascii="宋体" w:hAnsi="宋体"/>
          <w:sz w:val="24"/>
          <w:szCs w:val="22"/>
        </w:rPr>
        <w:t>（</w:t>
      </w:r>
      <w:r>
        <w:rPr>
          <w:rFonts w:ascii="宋体" w:hAnsi="宋体"/>
          <w:sz w:val="24"/>
          <w:szCs w:val="22"/>
        </w:rPr>
        <w:t>202</w:t>
      </w:r>
      <w:r>
        <w:rPr>
          <w:rFonts w:hint="eastAsia" w:ascii="宋体" w:hAnsi="宋体"/>
          <w:sz w:val="24"/>
          <w:szCs w:val="22"/>
          <w:lang w:val="en-US" w:eastAsia="zh-CN"/>
        </w:rPr>
        <w:t>1</w:t>
      </w:r>
      <w:r>
        <w:rPr>
          <w:rFonts w:ascii="宋体" w:hAnsi="宋体"/>
          <w:sz w:val="24"/>
          <w:szCs w:val="22"/>
        </w:rPr>
        <w:t>年</w:t>
      </w:r>
      <w:r>
        <w:rPr>
          <w:rFonts w:hint="eastAsia" w:ascii="宋体" w:hAnsi="宋体"/>
          <w:sz w:val="24"/>
          <w:szCs w:val="22"/>
          <w:lang w:val="en-US" w:eastAsia="zh-CN"/>
        </w:rPr>
        <w:t>1</w:t>
      </w:r>
      <w:r>
        <w:rPr>
          <w:rFonts w:ascii="宋体" w:hAnsi="宋体"/>
          <w:sz w:val="24"/>
          <w:szCs w:val="22"/>
        </w:rPr>
        <w:t>月1日至今）</w:t>
      </w:r>
      <w:r>
        <w:rPr>
          <w:rFonts w:hint="eastAsia" w:ascii="宋体" w:hAnsi="宋体"/>
          <w:sz w:val="24"/>
          <w:szCs w:val="22"/>
        </w:rPr>
        <w:t>内，所投产品的制造商或代理商至少具备一项</w:t>
      </w:r>
      <w:r>
        <w:rPr>
          <w:rFonts w:ascii="宋体" w:hAnsi="宋体"/>
          <w:sz w:val="24"/>
          <w:szCs w:val="22"/>
        </w:rPr>
        <w:t>同类试验设备供货业绩（合同复印件至少包含首页、签字盖章页、供货范围页等内容）；</w:t>
      </w:r>
    </w:p>
    <w:p>
      <w:pPr>
        <w:spacing w:line="360" w:lineRule="auto"/>
        <w:jc w:val="left"/>
        <w:rPr>
          <w:rFonts w:hint="eastAsia" w:ascii="宋体" w:hAnsi="宋体"/>
          <w:b/>
          <w:sz w:val="24"/>
        </w:rPr>
      </w:pPr>
      <w:r>
        <w:rPr>
          <w:rFonts w:hint="eastAsia" w:ascii="宋体" w:hAnsi="宋体"/>
          <w:b/>
          <w:sz w:val="24"/>
        </w:rPr>
        <w:t>评审依据：业绩合同复印件加盖供应商公章（须提供合同签章盖章页、供货范围表或技术需求）。</w:t>
      </w:r>
    </w:p>
    <w:p>
      <w:pPr>
        <w:rPr>
          <w:highlight w:val="none"/>
        </w:rPr>
      </w:pPr>
    </w:p>
    <w:sectPr>
      <w:headerReference r:id="rId3" w:type="default"/>
      <w:pgSz w:w="11906" w:h="16838"/>
      <w:pgMar w:top="1247" w:right="1588" w:bottom="935" w:left="1588" w:header="623"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06345E2C"/>
    <w:rsid w:val="23077DF3"/>
    <w:rsid w:val="6BCB1A85"/>
    <w:rsid w:val="79EA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autoRedefine/>
    <w:qFormat/>
    <w:uiPriority w:val="0"/>
    <w:pPr>
      <w:ind w:left="158"/>
      <w:jc w:val="center"/>
      <w:outlineLvl w:val="0"/>
    </w:pPr>
    <w:rPr>
      <w:rFonts w:ascii="黑体" w:hAnsi="黑体" w:eastAsia="宋体" w:cs="黑体"/>
      <w:b/>
      <w:bCs/>
      <w:sz w:val="32"/>
      <w:szCs w:val="32"/>
      <w:lang w:val="zh-CN" w:bidi="zh-CN"/>
    </w:rPr>
  </w:style>
  <w:style w:type="paragraph" w:styleId="2">
    <w:name w:val="heading 2"/>
    <w:basedOn w:val="1"/>
    <w:next w:val="1"/>
    <w:autoRedefine/>
    <w:semiHidden/>
    <w:unhideWhenUsed/>
    <w:qFormat/>
    <w:uiPriority w:val="0"/>
    <w:pPr>
      <w:ind w:left="215"/>
      <w:jc w:val="center"/>
      <w:outlineLvl w:val="1"/>
    </w:pPr>
    <w:rPr>
      <w:rFonts w:ascii="宋体" w:hAnsi="宋体" w:eastAsia="宋体" w:cs="宋体"/>
      <w:b/>
      <w:bCs/>
      <w:sz w:val="24"/>
      <w:szCs w:val="24"/>
      <w:lang w:val="zh-CN" w:bidi="zh-CN"/>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autoRedefine/>
    <w:qFormat/>
    <w:uiPriority w:val="0"/>
    <w:pPr>
      <w:spacing w:before="240" w:after="60"/>
      <w:jc w:val="center"/>
      <w:outlineLvl w:val="0"/>
    </w:pPr>
    <w:rPr>
      <w:rFonts w:ascii="Cambria" w:hAnsi="Cambria"/>
      <w:b/>
      <w:bCs/>
      <w:sz w:val="32"/>
      <w:szCs w:val="32"/>
    </w:rPr>
  </w:style>
  <w:style w:type="character" w:customStyle="1" w:styleId="8">
    <w:name w:val="标题 1 Char"/>
    <w:link w:val="3"/>
    <w:autoRedefine/>
    <w:qFormat/>
    <w:uiPriority w:val="0"/>
    <w:rPr>
      <w:rFonts w:ascii="黑体" w:hAnsi="黑体" w:eastAsia="宋体" w:cs="黑体"/>
      <w:b/>
      <w:bCs/>
      <w:sz w:val="32"/>
      <w:szCs w:val="32"/>
      <w:lang w:val="zh-CN" w:eastAsia="zh-CN" w:bidi="zh-CN"/>
    </w:rPr>
  </w:style>
  <w:style w:type="paragraph" w:customStyle="1" w:styleId="9">
    <w:name w:val="Char"/>
    <w:basedOn w:val="1"/>
    <w:autoRedefine/>
    <w:qFormat/>
    <w:uiPriority w:val="0"/>
  </w:style>
  <w:style w:type="paragraph" w:customStyle="1" w:styleId="10">
    <w:name w:val="No Spacing1"/>
    <w:basedOn w:val="1"/>
    <w:autoRedefine/>
    <w:qFormat/>
    <w:uiPriority w:val="0"/>
    <w:pPr>
      <w:tabs>
        <w:tab w:val="left" w:pos="737"/>
      </w:tabs>
      <w:spacing w:line="400" w:lineRule="exact"/>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2020-11-21T03:20:00Z</dcterms:created>
  <dc:creator>admin</dc:creator>
  <cp:lastModifiedBy>Borlin</cp:lastModifiedBy>
  <dcterms:modified xsi:type="dcterms:W3CDTF">2024-01-02T08:08:33Z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76EEC431B62E48D7ABF5080978E0DD88_12</vt:lpwstr>
  </property>
</Properties>
</file>