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4EE9" w14:textId="77777777" w:rsidR="00DF48CE" w:rsidRPr="00A97CD2" w:rsidRDefault="002938B2">
      <w:pPr>
        <w:spacing w:line="360" w:lineRule="auto"/>
        <w:rPr>
          <w:rFonts w:asciiTheme="minorEastAsia" w:hAnsiTheme="minorEastAsia"/>
          <w:b/>
          <w:sz w:val="24"/>
        </w:rPr>
      </w:pPr>
      <w:r w:rsidRPr="00A97CD2">
        <w:rPr>
          <w:rFonts w:asciiTheme="minorEastAsia" w:hAnsiTheme="minorEastAsia" w:hint="eastAsia"/>
          <w:b/>
          <w:sz w:val="24"/>
        </w:rPr>
        <w:t>一、基本情况</w:t>
      </w:r>
    </w:p>
    <w:p w14:paraId="4D080906" w14:textId="52739F0D" w:rsidR="00DF48CE" w:rsidRPr="00A97CD2" w:rsidRDefault="002938B2">
      <w:pPr>
        <w:spacing w:line="360" w:lineRule="auto"/>
        <w:rPr>
          <w:rFonts w:asciiTheme="minorEastAsia" w:hAnsiTheme="minorEastAsia"/>
          <w:sz w:val="24"/>
        </w:rPr>
      </w:pPr>
      <w:r w:rsidRPr="00A97CD2">
        <w:rPr>
          <w:rFonts w:asciiTheme="minorEastAsia" w:hAnsiTheme="minorEastAsia" w:hint="eastAsia"/>
          <w:sz w:val="24"/>
        </w:rPr>
        <w:t>（一）项目名称：</w:t>
      </w:r>
      <w:r w:rsidRPr="00A97CD2">
        <w:rPr>
          <w:rFonts w:hint="eastAsia"/>
          <w:sz w:val="24"/>
          <w:szCs w:val="28"/>
        </w:rPr>
        <w:t>赣江新区人民医院</w:t>
      </w:r>
      <w:r w:rsidR="00482C8E" w:rsidRPr="00A97CD2">
        <w:rPr>
          <w:rFonts w:hint="eastAsia"/>
          <w:sz w:val="24"/>
          <w:szCs w:val="28"/>
        </w:rPr>
        <w:t>钢制纱窗</w:t>
      </w:r>
      <w:r w:rsidRPr="00A97CD2">
        <w:rPr>
          <w:rFonts w:hint="eastAsia"/>
          <w:sz w:val="24"/>
          <w:szCs w:val="28"/>
        </w:rPr>
        <w:t>采购</w:t>
      </w:r>
    </w:p>
    <w:p w14:paraId="4FC5A0C7" w14:textId="1F1673CF" w:rsidR="00DF48CE" w:rsidRPr="00A97CD2" w:rsidRDefault="002938B2">
      <w:pPr>
        <w:spacing w:line="360" w:lineRule="auto"/>
        <w:rPr>
          <w:rFonts w:asciiTheme="minorEastAsia" w:eastAsiaTheme="minorEastAsia" w:hAnsiTheme="minorEastAsia"/>
          <w:sz w:val="24"/>
        </w:rPr>
      </w:pPr>
      <w:r w:rsidRPr="00A97CD2">
        <w:rPr>
          <w:rFonts w:asciiTheme="minorEastAsia" w:hAnsiTheme="minorEastAsia" w:hint="eastAsia"/>
          <w:sz w:val="24"/>
        </w:rPr>
        <w:t>（</w:t>
      </w:r>
      <w:r>
        <w:rPr>
          <w:rFonts w:asciiTheme="minorEastAsia" w:hAnsiTheme="minorEastAsia" w:hint="eastAsia"/>
          <w:sz w:val="24"/>
        </w:rPr>
        <w:t>二</w:t>
      </w:r>
      <w:r w:rsidRPr="00A97CD2">
        <w:rPr>
          <w:rFonts w:asciiTheme="minorEastAsia" w:hAnsiTheme="minorEastAsia" w:hint="eastAsia"/>
          <w:sz w:val="24"/>
        </w:rPr>
        <w:t>）项目预算：</w:t>
      </w:r>
      <w:r w:rsidR="00482C8E" w:rsidRPr="00A97CD2">
        <w:rPr>
          <w:rFonts w:asciiTheme="minorEastAsia" w:hAnsiTheme="minorEastAsia"/>
          <w:sz w:val="24"/>
        </w:rPr>
        <w:t>536364</w:t>
      </w:r>
      <w:r w:rsidRPr="00A97CD2">
        <w:rPr>
          <w:rFonts w:asciiTheme="minorEastAsia" w:hAnsiTheme="minorEastAsia" w:hint="eastAsia"/>
          <w:sz w:val="24"/>
        </w:rPr>
        <w:t>元</w:t>
      </w:r>
    </w:p>
    <w:p w14:paraId="3D318526" w14:textId="77777777" w:rsidR="00DF48CE" w:rsidRDefault="00DF48CE">
      <w:pPr>
        <w:spacing w:line="360" w:lineRule="auto"/>
        <w:rPr>
          <w:rFonts w:ascii="宋体" w:hAnsi="宋体" w:cs="宋体"/>
          <w:sz w:val="24"/>
        </w:rPr>
      </w:pPr>
    </w:p>
    <w:p w14:paraId="2FCDC5F1" w14:textId="41C5ABAA" w:rsidR="00DF48CE" w:rsidRDefault="002938B2">
      <w:pPr>
        <w:pStyle w:val="TOC1"/>
        <w:jc w:val="both"/>
        <w:rPr>
          <w:rFonts w:eastAsia="宋体"/>
          <w:lang w:val="en-US"/>
        </w:rPr>
      </w:pPr>
      <w:r>
        <w:rPr>
          <w:rFonts w:ascii="宋体" w:eastAsia="宋体" w:hAnsi="宋体" w:cs="宋体" w:hint="eastAsia"/>
          <w:sz w:val="24"/>
          <w:szCs w:val="24"/>
          <w:lang w:val="en-US"/>
        </w:rPr>
        <w:t>二</w:t>
      </w:r>
      <w:r>
        <w:rPr>
          <w:rFonts w:ascii="宋体" w:eastAsia="宋体" w:hAnsi="宋体" w:cs="宋体" w:hint="eastAsia"/>
          <w:sz w:val="24"/>
          <w:szCs w:val="24"/>
          <w:lang w:val="en-US"/>
        </w:rPr>
        <w:t>、采购需求</w:t>
      </w:r>
    </w:p>
    <w:p w14:paraId="042F7ECE" w14:textId="77777777" w:rsidR="00DF48CE" w:rsidRDefault="002938B2">
      <w:pPr>
        <w:spacing w:line="360" w:lineRule="auto"/>
        <w:rPr>
          <w:rFonts w:ascii="宋体" w:hAnsi="宋体" w:cs="宋体"/>
          <w:sz w:val="24"/>
        </w:rPr>
      </w:pPr>
      <w:r>
        <w:rPr>
          <w:rFonts w:ascii="宋体" w:hAnsi="宋体" w:cs="宋体" w:hint="eastAsia"/>
          <w:sz w:val="24"/>
        </w:rPr>
        <w:t>（一）采购需求表</w:t>
      </w:r>
    </w:p>
    <w:tbl>
      <w:tblPr>
        <w:tblpPr w:leftFromText="180" w:rightFromText="180" w:vertAnchor="text" w:tblpXSpec="center" w:tblpY="1"/>
        <w:tblOverlap w:val="neve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5825"/>
      </w:tblGrid>
      <w:tr w:rsidR="00A97CD2" w:rsidRPr="00A97CD2" w14:paraId="01ECEB9A" w14:textId="77777777">
        <w:trPr>
          <w:cantSplit/>
          <w:trHeight w:val="2307"/>
          <w:jc w:val="center"/>
        </w:trPr>
        <w:tc>
          <w:tcPr>
            <w:tcW w:w="2820" w:type="dxa"/>
            <w:tcBorders>
              <w:top w:val="single" w:sz="12" w:space="0" w:color="auto"/>
              <w:left w:val="single" w:sz="12" w:space="0" w:color="auto"/>
            </w:tcBorders>
          </w:tcPr>
          <w:p w14:paraId="2D20468E" w14:textId="77777777" w:rsidR="00DF48CE" w:rsidRPr="00A97CD2" w:rsidRDefault="002938B2">
            <w:pPr>
              <w:spacing w:line="360" w:lineRule="auto"/>
              <w:rPr>
                <w:rFonts w:ascii="宋体" w:hAnsi="宋体" w:cs="宋体"/>
                <w:sz w:val="24"/>
              </w:rPr>
            </w:pPr>
            <w:r w:rsidRPr="00A97CD2">
              <w:rPr>
                <w:rFonts w:ascii="宋体" w:hAnsi="宋体" w:cs="宋体" w:hint="eastAsia"/>
                <w:noProof/>
                <w:sz w:val="24"/>
              </w:rPr>
              <mc:AlternateContent>
                <mc:Choice Requires="wpg">
                  <w:drawing>
                    <wp:anchor distT="0" distB="0" distL="114300" distR="114300" simplePos="0" relativeHeight="251660288" behindDoc="0" locked="0" layoutInCell="1" allowOverlap="1" wp14:anchorId="5BB0565E" wp14:editId="16EE33FC">
                      <wp:simplePos x="0" y="0"/>
                      <wp:positionH relativeFrom="column">
                        <wp:posOffset>-59055</wp:posOffset>
                      </wp:positionH>
                      <wp:positionV relativeFrom="paragraph">
                        <wp:posOffset>0</wp:posOffset>
                      </wp:positionV>
                      <wp:extent cx="1781175" cy="1479550"/>
                      <wp:effectExtent l="3175" t="3810" r="6350" b="21590"/>
                      <wp:wrapNone/>
                      <wp:docPr id="214" name="组合 214"/>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15" name="__TH_L88"/>
                              <wps:cNvCnPr>
                                <a:cxnSpLocks noChangeShapeType="1"/>
                              </wps:cNvCnPr>
                              <wps:spPr bwMode="auto">
                                <a:xfrm>
                                  <a:off x="1716" y="3057"/>
                                  <a:ext cx="2805" cy="2330"/>
                                </a:xfrm>
                                <a:prstGeom prst="line">
                                  <a:avLst/>
                                </a:prstGeom>
                                <a:noFill/>
                                <a:ln w="6350">
                                  <a:solidFill>
                                    <a:srgbClr val="000000"/>
                                  </a:solidFill>
                                  <a:round/>
                                </a:ln>
                                <a:effectLst/>
                              </wps:spPr>
                              <wps:bodyPr/>
                            </wps:wsp>
                            <wps:wsp>
                              <wps:cNvPr id="216" name="__TH_B1189"/>
                              <wps:cNvSpPr txBox="1">
                                <a:spLocks noChangeArrowheads="1"/>
                              </wps:cNvSpPr>
                              <wps:spPr bwMode="auto">
                                <a:xfrm>
                                  <a:off x="2769" y="3199"/>
                                  <a:ext cx="300" cy="300"/>
                                </a:xfrm>
                                <a:prstGeom prst="rect">
                                  <a:avLst/>
                                </a:prstGeom>
                                <a:noFill/>
                                <a:ln>
                                  <a:noFill/>
                                </a:ln>
                                <a:effectLst/>
                              </wps:spPr>
                              <wps:txbx>
                                <w:txbxContent>
                                  <w:p w14:paraId="11751633" w14:textId="77777777" w:rsidR="00DF48CE" w:rsidRDefault="002938B2">
                                    <w:pPr>
                                      <w:snapToGrid w:val="0"/>
                                    </w:pPr>
                                    <w:r>
                                      <w:rPr>
                                        <w:rFonts w:hint="eastAsia"/>
                                      </w:rPr>
                                      <w:t>采</w:t>
                                    </w:r>
                                  </w:p>
                                </w:txbxContent>
                              </wps:txbx>
                              <wps:bodyPr rot="0" vert="horz" wrap="square" lIns="0" tIns="0" rIns="0" bIns="0" anchor="t" anchorCtr="0" upright="1">
                                <a:noAutofit/>
                              </wps:bodyPr>
                            </wps:wsp>
                            <wps:wsp>
                              <wps:cNvPr id="218" name="__TH_B1290"/>
                              <wps:cNvSpPr txBox="1">
                                <a:spLocks noChangeArrowheads="1"/>
                              </wps:cNvSpPr>
                              <wps:spPr bwMode="auto">
                                <a:xfrm>
                                  <a:off x="3184" y="3544"/>
                                  <a:ext cx="300" cy="300"/>
                                </a:xfrm>
                                <a:prstGeom prst="rect">
                                  <a:avLst/>
                                </a:prstGeom>
                                <a:noFill/>
                                <a:ln>
                                  <a:noFill/>
                                </a:ln>
                                <a:effectLst/>
                              </wps:spPr>
                              <wps:txbx>
                                <w:txbxContent>
                                  <w:p w14:paraId="05966E16" w14:textId="77777777" w:rsidR="00DF48CE" w:rsidRDefault="002938B2">
                                    <w:pPr>
                                      <w:snapToGrid w:val="0"/>
                                    </w:pPr>
                                    <w:r>
                                      <w:rPr>
                                        <w:rFonts w:hint="eastAsia"/>
                                      </w:rPr>
                                      <w:t>购</w:t>
                                    </w:r>
                                  </w:p>
                                </w:txbxContent>
                              </wps:txbx>
                              <wps:bodyPr rot="0" vert="horz" wrap="square" lIns="0" tIns="0" rIns="0" bIns="0" anchor="t" anchorCtr="0" upright="1">
                                <a:noAutofit/>
                              </wps:bodyPr>
                            </wps:wsp>
                            <wps:wsp>
                              <wps:cNvPr id="219" name="__TH_B1391"/>
                              <wps:cNvSpPr txBox="1">
                                <a:spLocks noChangeArrowheads="1"/>
                              </wps:cNvSpPr>
                              <wps:spPr bwMode="auto">
                                <a:xfrm>
                                  <a:off x="3599" y="3888"/>
                                  <a:ext cx="300" cy="300"/>
                                </a:xfrm>
                                <a:prstGeom prst="rect">
                                  <a:avLst/>
                                </a:prstGeom>
                                <a:noFill/>
                                <a:ln>
                                  <a:noFill/>
                                </a:ln>
                                <a:effectLst/>
                              </wps:spPr>
                              <wps:txbx>
                                <w:txbxContent>
                                  <w:p w14:paraId="52E73C1A" w14:textId="77777777" w:rsidR="00DF48CE" w:rsidRDefault="002938B2">
                                    <w:pPr>
                                      <w:snapToGrid w:val="0"/>
                                    </w:pPr>
                                    <w:r>
                                      <w:rPr>
                                        <w:rFonts w:hint="eastAsia"/>
                                      </w:rPr>
                                      <w:t>名</w:t>
                                    </w:r>
                                  </w:p>
                                </w:txbxContent>
                              </wps:txbx>
                              <wps:bodyPr rot="0" vert="horz" wrap="square" lIns="0" tIns="0" rIns="0" bIns="0" anchor="t" anchorCtr="0" upright="1">
                                <a:noAutofit/>
                              </wps:bodyPr>
                            </wps:wsp>
                            <wps:wsp>
                              <wps:cNvPr id="220" name="__TH_B1492"/>
                              <wps:cNvSpPr txBox="1">
                                <a:spLocks noChangeArrowheads="1"/>
                              </wps:cNvSpPr>
                              <wps:spPr bwMode="auto">
                                <a:xfrm>
                                  <a:off x="4014" y="4233"/>
                                  <a:ext cx="300" cy="300"/>
                                </a:xfrm>
                                <a:prstGeom prst="rect">
                                  <a:avLst/>
                                </a:prstGeom>
                                <a:noFill/>
                                <a:ln>
                                  <a:noFill/>
                                </a:ln>
                                <a:effectLst/>
                              </wps:spPr>
                              <wps:txbx>
                                <w:txbxContent>
                                  <w:p w14:paraId="022A211F" w14:textId="77777777" w:rsidR="00DF48CE" w:rsidRDefault="002938B2">
                                    <w:pPr>
                                      <w:snapToGrid w:val="0"/>
                                    </w:pPr>
                                    <w:r>
                                      <w:rPr>
                                        <w:rFonts w:hint="eastAsia"/>
                                      </w:rPr>
                                      <w:t>称</w:t>
                                    </w:r>
                                  </w:p>
                                </w:txbxContent>
                              </wps:txbx>
                              <wps:bodyPr rot="0" vert="horz" wrap="square" lIns="0" tIns="0" rIns="0" bIns="0" anchor="t" anchorCtr="0" upright="1">
                                <a:noAutofit/>
                              </wps:bodyPr>
                            </wps:wsp>
                            <wps:wsp>
                              <wps:cNvPr id="221" name="__TH_B2193"/>
                              <wps:cNvSpPr txBox="1">
                                <a:spLocks noChangeArrowheads="1"/>
                              </wps:cNvSpPr>
                              <wps:spPr bwMode="auto">
                                <a:xfrm>
                                  <a:off x="2140" y="4061"/>
                                  <a:ext cx="300" cy="300"/>
                                </a:xfrm>
                                <a:prstGeom prst="rect">
                                  <a:avLst/>
                                </a:prstGeom>
                                <a:noFill/>
                                <a:ln>
                                  <a:noFill/>
                                </a:ln>
                                <a:effectLst/>
                              </wps:spPr>
                              <wps:txbx>
                                <w:txbxContent>
                                  <w:p w14:paraId="71F6AE50" w14:textId="77777777" w:rsidR="00DF48CE" w:rsidRDefault="002938B2">
                                    <w:pPr>
                                      <w:snapToGrid w:val="0"/>
                                    </w:pPr>
                                    <w:r>
                                      <w:rPr>
                                        <w:rFonts w:hint="eastAsia"/>
                                      </w:rPr>
                                      <w:t>内</w:t>
                                    </w:r>
                                  </w:p>
                                </w:txbxContent>
                              </wps:txbx>
                              <wps:bodyPr rot="0" vert="horz" wrap="square" lIns="0" tIns="0" rIns="0" bIns="0" anchor="t" anchorCtr="0" upright="1">
                                <a:noAutofit/>
                              </wps:bodyPr>
                            </wps:wsp>
                            <wps:wsp>
                              <wps:cNvPr id="222" name="__TH_B2294"/>
                              <wps:cNvSpPr txBox="1">
                                <a:spLocks noChangeArrowheads="1"/>
                              </wps:cNvSpPr>
                              <wps:spPr bwMode="auto">
                                <a:xfrm>
                                  <a:off x="2987" y="4765"/>
                                  <a:ext cx="300" cy="300"/>
                                </a:xfrm>
                                <a:prstGeom prst="rect">
                                  <a:avLst/>
                                </a:prstGeom>
                                <a:noFill/>
                                <a:ln>
                                  <a:noFill/>
                                </a:ln>
                                <a:effectLst/>
                              </wps:spPr>
                              <wps:txbx>
                                <w:txbxContent>
                                  <w:p w14:paraId="10CCCCD6" w14:textId="77777777" w:rsidR="00DF48CE" w:rsidRDefault="002938B2">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w14:anchorId="5BB0565E" id="组合 214" o:spid="_x0000_s1026" style="position:absolute;left:0;text-align:left;margin-left:-4.65pt;margin-top:0;width:140.25pt;height:116.5pt;z-index:251660288" coordorigin="1716,3057" coordsize="280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">
                      <v:line id="__TH_L88" o:spid="_x0000_s1027" style="position:absolute;visibility:visible;mso-wrap-style:square" from="1716,3057" to="452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shapetype id="_x0000_t202" coordsize="21600,21600" o:spt="202" path="m,l,21600r21600,l21600,xe">
                        <v:stroke joinstyle="miter"/>
                        <v:path gradientshapeok="t" o:connecttype="rect"/>
                      </v:shapetype>
                      <v:shape id="__TH_B1189" o:spid="_x0000_s1028" type="#_x0000_t202" style="position:absolute;left:2769;top:319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1751633" w14:textId="77777777" w:rsidR="00DF48CE" w:rsidRDefault="002938B2">
                              <w:pPr>
                                <w:snapToGrid w:val="0"/>
                              </w:pPr>
                              <w:r>
                                <w:rPr>
                                  <w:rFonts w:hint="eastAsia"/>
                                </w:rPr>
                                <w:t>采</w:t>
                              </w:r>
                            </w:p>
                          </w:txbxContent>
                        </v:textbox>
                      </v:shape>
                      <v:shape id="__TH_B1290" o:spid="_x0000_s1029" type="#_x0000_t202" style="position:absolute;left:3184;top:3544;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05966E16" w14:textId="77777777" w:rsidR="00DF48CE" w:rsidRDefault="002938B2">
                              <w:pPr>
                                <w:snapToGrid w:val="0"/>
                              </w:pPr>
                              <w:r>
                                <w:rPr>
                                  <w:rFonts w:hint="eastAsia"/>
                                </w:rPr>
                                <w:t>购</w:t>
                              </w:r>
                            </w:p>
                          </w:txbxContent>
                        </v:textbox>
                      </v:shape>
                      <v:shape id="__TH_B1391" o:spid="_x0000_s1030" type="#_x0000_t202" style="position:absolute;left:3599;top:388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52E73C1A" w14:textId="77777777" w:rsidR="00DF48CE" w:rsidRDefault="002938B2">
                              <w:pPr>
                                <w:snapToGrid w:val="0"/>
                              </w:pPr>
                              <w:r>
                                <w:rPr>
                                  <w:rFonts w:hint="eastAsia"/>
                                </w:rPr>
                                <w:t>名</w:t>
                              </w:r>
                            </w:p>
                          </w:txbxContent>
                        </v:textbox>
                      </v:shape>
                      <v:shape id="__TH_B1492" o:spid="_x0000_s1031" type="#_x0000_t202" style="position:absolute;left:4014;top:423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022A211F" w14:textId="77777777" w:rsidR="00DF48CE" w:rsidRDefault="002938B2">
                              <w:pPr>
                                <w:snapToGrid w:val="0"/>
                              </w:pPr>
                              <w:r>
                                <w:rPr>
                                  <w:rFonts w:hint="eastAsia"/>
                                </w:rPr>
                                <w:t>称</w:t>
                              </w:r>
                            </w:p>
                          </w:txbxContent>
                        </v:textbox>
                      </v:shape>
                      <v:shape id="__TH_B2193" o:spid="_x0000_s1032" type="#_x0000_t202" style="position:absolute;left:2140;top:4061;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71F6AE50" w14:textId="77777777" w:rsidR="00DF48CE" w:rsidRDefault="002938B2">
                              <w:pPr>
                                <w:snapToGrid w:val="0"/>
                              </w:pPr>
                              <w:r>
                                <w:rPr>
                                  <w:rFonts w:hint="eastAsia"/>
                                </w:rPr>
                                <w:t>内</w:t>
                              </w:r>
                            </w:p>
                          </w:txbxContent>
                        </v:textbox>
                      </v:shape>
                      <v:shape id="__TH_B2294" o:spid="_x0000_s1033" type="#_x0000_t202" style="position:absolute;left:2987;top:4765;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10CCCCD6" w14:textId="77777777" w:rsidR="00DF48CE" w:rsidRDefault="002938B2">
                              <w:pPr>
                                <w:snapToGrid w:val="0"/>
                              </w:pPr>
                              <w:r>
                                <w:rPr>
                                  <w:rFonts w:hint="eastAsia"/>
                                </w:rPr>
                                <w:t>容</w:t>
                              </w:r>
                            </w:p>
                          </w:txbxContent>
                        </v:textbox>
                      </v:shape>
                    </v:group>
                  </w:pict>
                </mc:Fallback>
              </mc:AlternateContent>
            </w:r>
          </w:p>
        </w:tc>
        <w:tc>
          <w:tcPr>
            <w:tcW w:w="5825" w:type="dxa"/>
            <w:tcBorders>
              <w:top w:val="single" w:sz="12" w:space="0" w:color="auto"/>
              <w:right w:val="single" w:sz="12" w:space="0" w:color="auto"/>
            </w:tcBorders>
            <w:vAlign w:val="center"/>
          </w:tcPr>
          <w:p w14:paraId="4A3F8562" w14:textId="560E6C64" w:rsidR="00DF48CE" w:rsidRPr="00A97CD2" w:rsidRDefault="00F80F59">
            <w:pPr>
              <w:spacing w:line="360" w:lineRule="auto"/>
              <w:jc w:val="center"/>
              <w:rPr>
                <w:rFonts w:ascii="宋体" w:hAnsi="宋体" w:cs="宋体"/>
                <w:sz w:val="24"/>
              </w:rPr>
            </w:pPr>
            <w:r w:rsidRPr="00A97CD2">
              <w:rPr>
                <w:rFonts w:hint="eastAsia"/>
                <w:sz w:val="24"/>
                <w:szCs w:val="28"/>
              </w:rPr>
              <w:t>赣江新区人民医院</w:t>
            </w:r>
            <w:r w:rsidR="00482C8E" w:rsidRPr="00A97CD2">
              <w:rPr>
                <w:rFonts w:hint="eastAsia"/>
                <w:sz w:val="24"/>
                <w:szCs w:val="28"/>
              </w:rPr>
              <w:t>钢制纱窗</w:t>
            </w:r>
            <w:r w:rsidRPr="00A97CD2">
              <w:rPr>
                <w:rFonts w:hint="eastAsia"/>
                <w:sz w:val="24"/>
                <w:szCs w:val="28"/>
              </w:rPr>
              <w:t>采购</w:t>
            </w:r>
          </w:p>
        </w:tc>
      </w:tr>
      <w:tr w:rsidR="00A97CD2" w:rsidRPr="00A97CD2" w14:paraId="34DC9D52" w14:textId="77777777">
        <w:trPr>
          <w:cantSplit/>
          <w:trHeight w:val="501"/>
          <w:jc w:val="center"/>
        </w:trPr>
        <w:tc>
          <w:tcPr>
            <w:tcW w:w="2820" w:type="dxa"/>
            <w:tcBorders>
              <w:left w:val="single" w:sz="12" w:space="0" w:color="auto"/>
            </w:tcBorders>
            <w:vAlign w:val="center"/>
          </w:tcPr>
          <w:p w14:paraId="7917351B" w14:textId="77777777" w:rsidR="00DF48CE" w:rsidRPr="00A97CD2" w:rsidRDefault="002938B2">
            <w:pPr>
              <w:spacing w:line="360" w:lineRule="auto"/>
              <w:jc w:val="center"/>
              <w:rPr>
                <w:rFonts w:ascii="宋体" w:hAnsi="宋体" w:cs="宋体"/>
                <w:sz w:val="24"/>
              </w:rPr>
            </w:pPr>
            <w:r w:rsidRPr="00A97CD2">
              <w:rPr>
                <w:rFonts w:ascii="宋体" w:hAnsi="宋体" w:cs="宋体" w:hint="eastAsia"/>
                <w:sz w:val="24"/>
              </w:rPr>
              <w:t>数量</w:t>
            </w:r>
          </w:p>
        </w:tc>
        <w:tc>
          <w:tcPr>
            <w:tcW w:w="5825" w:type="dxa"/>
            <w:tcBorders>
              <w:right w:val="single" w:sz="12" w:space="0" w:color="auto"/>
            </w:tcBorders>
            <w:vAlign w:val="center"/>
          </w:tcPr>
          <w:p w14:paraId="0A5D3590" w14:textId="77777777" w:rsidR="00DF48CE" w:rsidRPr="00A97CD2" w:rsidRDefault="002938B2">
            <w:pPr>
              <w:spacing w:line="360" w:lineRule="auto"/>
              <w:jc w:val="center"/>
              <w:rPr>
                <w:rFonts w:ascii="宋体" w:hAnsi="宋体" w:cs="宋体"/>
                <w:sz w:val="24"/>
              </w:rPr>
            </w:pPr>
            <w:r w:rsidRPr="00A97CD2">
              <w:rPr>
                <w:rFonts w:ascii="宋体" w:hAnsi="宋体" w:cs="宋体" w:hint="eastAsia"/>
                <w:sz w:val="24"/>
              </w:rPr>
              <w:t>一批</w:t>
            </w:r>
          </w:p>
        </w:tc>
      </w:tr>
      <w:tr w:rsidR="00A97CD2" w:rsidRPr="00A97CD2" w14:paraId="67858F1A" w14:textId="77777777">
        <w:trPr>
          <w:cantSplit/>
          <w:trHeight w:val="646"/>
          <w:jc w:val="center"/>
        </w:trPr>
        <w:tc>
          <w:tcPr>
            <w:tcW w:w="2820" w:type="dxa"/>
            <w:tcBorders>
              <w:left w:val="single" w:sz="12" w:space="0" w:color="auto"/>
            </w:tcBorders>
            <w:vAlign w:val="center"/>
          </w:tcPr>
          <w:p w14:paraId="0E8C1B9F" w14:textId="77777777" w:rsidR="00DF48CE" w:rsidRPr="00A97CD2" w:rsidRDefault="002938B2">
            <w:pPr>
              <w:spacing w:line="360" w:lineRule="auto"/>
              <w:jc w:val="center"/>
              <w:rPr>
                <w:rFonts w:ascii="宋体" w:hAnsi="宋体" w:cs="宋体"/>
                <w:sz w:val="24"/>
              </w:rPr>
            </w:pPr>
            <w:r w:rsidRPr="00A97CD2">
              <w:rPr>
                <w:rFonts w:ascii="宋体" w:hAnsi="宋体" w:cs="宋体" w:hint="eastAsia"/>
                <w:sz w:val="24"/>
              </w:rPr>
              <w:t>服务期</w:t>
            </w:r>
          </w:p>
        </w:tc>
        <w:tc>
          <w:tcPr>
            <w:tcW w:w="5825" w:type="dxa"/>
            <w:tcBorders>
              <w:right w:val="single" w:sz="12" w:space="0" w:color="auto"/>
            </w:tcBorders>
            <w:vAlign w:val="center"/>
          </w:tcPr>
          <w:p w14:paraId="300C6B85" w14:textId="77777777" w:rsidR="00DF48CE" w:rsidRPr="00A97CD2" w:rsidRDefault="002938B2">
            <w:pPr>
              <w:spacing w:line="360" w:lineRule="auto"/>
              <w:jc w:val="center"/>
              <w:rPr>
                <w:rFonts w:ascii="宋体" w:hAnsi="宋体" w:cs="宋体"/>
                <w:sz w:val="24"/>
              </w:rPr>
            </w:pPr>
            <w:r w:rsidRPr="00A97CD2">
              <w:rPr>
                <w:rFonts w:ascii="宋体" w:hAnsi="宋体" w:cs="宋体" w:hint="eastAsia"/>
                <w:sz w:val="24"/>
              </w:rPr>
              <w:t>按采购人要求，分批次供货</w:t>
            </w:r>
          </w:p>
        </w:tc>
      </w:tr>
      <w:tr w:rsidR="00A97CD2" w:rsidRPr="00A97CD2" w14:paraId="49A82E4B" w14:textId="77777777">
        <w:trPr>
          <w:cantSplit/>
          <w:trHeight w:val="647"/>
          <w:jc w:val="center"/>
        </w:trPr>
        <w:tc>
          <w:tcPr>
            <w:tcW w:w="2820" w:type="dxa"/>
            <w:tcBorders>
              <w:left w:val="single" w:sz="12" w:space="0" w:color="auto"/>
            </w:tcBorders>
            <w:vAlign w:val="center"/>
          </w:tcPr>
          <w:p w14:paraId="09CFC4B8" w14:textId="77777777" w:rsidR="00DF48CE" w:rsidRPr="00A97CD2" w:rsidRDefault="002938B2">
            <w:pPr>
              <w:spacing w:line="360" w:lineRule="auto"/>
              <w:jc w:val="center"/>
              <w:rPr>
                <w:rFonts w:ascii="宋体" w:hAnsi="宋体" w:cs="宋体"/>
                <w:sz w:val="24"/>
              </w:rPr>
            </w:pPr>
            <w:r w:rsidRPr="00A97CD2">
              <w:rPr>
                <w:rFonts w:ascii="宋体" w:hAnsi="宋体" w:cs="宋体" w:hint="eastAsia"/>
                <w:sz w:val="24"/>
              </w:rPr>
              <w:t>服务地点</w:t>
            </w:r>
          </w:p>
        </w:tc>
        <w:tc>
          <w:tcPr>
            <w:tcW w:w="5825" w:type="dxa"/>
            <w:tcBorders>
              <w:right w:val="single" w:sz="12" w:space="0" w:color="auto"/>
            </w:tcBorders>
            <w:vAlign w:val="center"/>
          </w:tcPr>
          <w:p w14:paraId="02BA8C62" w14:textId="77777777" w:rsidR="00DF48CE" w:rsidRPr="00A97CD2" w:rsidRDefault="00F80F59">
            <w:pPr>
              <w:spacing w:line="360" w:lineRule="auto"/>
              <w:jc w:val="center"/>
              <w:rPr>
                <w:rFonts w:ascii="宋体" w:hAnsi="宋体" w:cs="宋体"/>
                <w:sz w:val="24"/>
              </w:rPr>
            </w:pPr>
            <w:r w:rsidRPr="00A97CD2">
              <w:rPr>
                <w:rFonts w:ascii="宋体" w:hAnsi="宋体" w:cs="宋体" w:hint="eastAsia"/>
                <w:sz w:val="24"/>
              </w:rPr>
              <w:t>赣江新区人民医院</w:t>
            </w:r>
          </w:p>
        </w:tc>
      </w:tr>
      <w:tr w:rsidR="00A97CD2" w:rsidRPr="00A97CD2" w14:paraId="45E661DE" w14:textId="77777777">
        <w:trPr>
          <w:cantSplit/>
          <w:trHeight w:val="2336"/>
          <w:jc w:val="center"/>
        </w:trPr>
        <w:tc>
          <w:tcPr>
            <w:tcW w:w="2820" w:type="dxa"/>
            <w:tcBorders>
              <w:left w:val="single" w:sz="12" w:space="0" w:color="auto"/>
            </w:tcBorders>
            <w:vAlign w:val="center"/>
          </w:tcPr>
          <w:p w14:paraId="5404D0E8" w14:textId="77777777" w:rsidR="00DF48CE" w:rsidRPr="00A97CD2" w:rsidRDefault="002938B2">
            <w:pPr>
              <w:spacing w:line="360" w:lineRule="auto"/>
              <w:jc w:val="center"/>
              <w:rPr>
                <w:rFonts w:asciiTheme="minorEastAsia" w:hAnsiTheme="minorEastAsia"/>
                <w:sz w:val="24"/>
              </w:rPr>
            </w:pPr>
            <w:r w:rsidRPr="00A97CD2">
              <w:rPr>
                <w:rFonts w:asciiTheme="minorEastAsia" w:hAnsiTheme="minorEastAsia" w:hint="eastAsia"/>
                <w:sz w:val="24"/>
              </w:rPr>
              <w:t>备注</w:t>
            </w:r>
          </w:p>
        </w:tc>
        <w:tc>
          <w:tcPr>
            <w:tcW w:w="5825" w:type="dxa"/>
            <w:tcBorders>
              <w:right w:val="single" w:sz="12" w:space="0" w:color="auto"/>
            </w:tcBorders>
            <w:vAlign w:val="center"/>
          </w:tcPr>
          <w:p w14:paraId="57CF4712" w14:textId="77777777" w:rsidR="00DF48CE" w:rsidRPr="00A97CD2" w:rsidRDefault="002938B2">
            <w:pPr>
              <w:tabs>
                <w:tab w:val="left" w:pos="0"/>
                <w:tab w:val="left" w:pos="1140"/>
              </w:tabs>
              <w:spacing w:line="360" w:lineRule="auto"/>
              <w:ind w:firstLineChars="200" w:firstLine="480"/>
              <w:jc w:val="left"/>
              <w:rPr>
                <w:rFonts w:asciiTheme="minorEastAsia" w:hAnsiTheme="minorEastAsia"/>
                <w:sz w:val="24"/>
              </w:rPr>
            </w:pPr>
            <w:r w:rsidRPr="00A97CD2">
              <w:rPr>
                <w:rFonts w:asciiTheme="minorEastAsia" w:hAnsiTheme="minorEastAsia" w:hint="eastAsia"/>
                <w:sz w:val="24"/>
              </w:rPr>
              <w:t>投标报价应包含人员工资福利、机械设备及耗材费、运输费、缴纳各项保险费、国家法定假日加班费、劳保用品费、办公设备及办公费、管理费、售后服务、利润、质保期内维修材料、税金等一切与完成本项目服务要求所需的全部费用。且合同期内单价不做调整。</w:t>
            </w:r>
          </w:p>
        </w:tc>
      </w:tr>
    </w:tbl>
    <w:p w14:paraId="324563CE" w14:textId="77777777" w:rsidR="00DF48CE" w:rsidRDefault="00DF48CE">
      <w:pPr>
        <w:spacing w:line="360" w:lineRule="auto"/>
        <w:rPr>
          <w:rFonts w:ascii="宋体" w:hAnsi="宋体" w:cs="宋体"/>
          <w:sz w:val="24"/>
        </w:rPr>
      </w:pPr>
    </w:p>
    <w:p w14:paraId="2B12ADBA" w14:textId="77777777" w:rsidR="00DF48CE" w:rsidRDefault="002938B2">
      <w:pPr>
        <w:spacing w:line="360" w:lineRule="auto"/>
        <w:rPr>
          <w:rFonts w:ascii="宋体" w:hAnsi="宋体" w:cs="宋体"/>
          <w:sz w:val="24"/>
        </w:rPr>
      </w:pPr>
      <w:r>
        <w:rPr>
          <w:rFonts w:ascii="宋体" w:hAnsi="宋体" w:cs="宋体" w:hint="eastAsia"/>
          <w:sz w:val="24"/>
        </w:rPr>
        <w:t>（二）采购要求</w:t>
      </w:r>
    </w:p>
    <w:p w14:paraId="069F94E3" w14:textId="77777777" w:rsidR="00DF48CE" w:rsidRDefault="002938B2">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、基本要求</w:t>
      </w:r>
    </w:p>
    <w:p w14:paraId="331F738D" w14:textId="77777777" w:rsidR="00DF48CE" w:rsidRDefault="002938B2">
      <w:pPr>
        <w:spacing w:line="360" w:lineRule="auto"/>
        <w:ind w:left="480" w:hangingChars="200" w:hanging="480"/>
        <w:rPr>
          <w:rFonts w:ascii="宋体" w:hAnsi="宋体" w:cs="宋体"/>
          <w:sz w:val="24"/>
        </w:rPr>
      </w:pPr>
      <w:r>
        <w:rPr>
          <w:rFonts w:ascii="宋体" w:hAnsi="宋体" w:cs="宋体" w:hint="eastAsia"/>
          <w:sz w:val="24"/>
        </w:rPr>
        <w:t>1.1</w:t>
      </w:r>
      <w:r>
        <w:rPr>
          <w:rFonts w:ascii="宋体" w:hAnsi="宋体" w:cs="宋体" w:hint="eastAsia"/>
          <w:sz w:val="24"/>
        </w:rPr>
        <w:t>投标人在满足招标人基本技术要求的情况下各类产品只能使用一种产品竞标；投标人须按单价报价，按清单项目列好报价清单，计算总价；</w:t>
      </w:r>
      <w:r>
        <w:rPr>
          <w:rFonts w:ascii="宋体" w:hAnsi="宋体" w:cs="宋体" w:hint="eastAsia"/>
          <w:b/>
          <w:color w:val="000000" w:themeColor="text1"/>
          <w:sz w:val="24"/>
          <w:u w:val="single"/>
        </w:rPr>
        <w:t>合同期内中标单价不因任何因素改变。</w:t>
      </w:r>
    </w:p>
    <w:p w14:paraId="58A0ACB5" w14:textId="77777777" w:rsidR="00DF48CE" w:rsidRDefault="002938B2">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承诺可及时、保质、保量按采购人要求分批供货；</w:t>
      </w:r>
    </w:p>
    <w:p w14:paraId="270E7658" w14:textId="77777777" w:rsidR="00DF48CE" w:rsidRDefault="002938B2">
      <w:pPr>
        <w:spacing w:line="360" w:lineRule="auto"/>
      </w:pPr>
      <w:r>
        <w:rPr>
          <w:rFonts w:ascii="宋体" w:hAnsi="宋体" w:cs="宋体" w:hint="eastAsia"/>
          <w:sz w:val="24"/>
        </w:rPr>
        <w:t>1.3</w:t>
      </w:r>
      <w:r>
        <w:rPr>
          <w:rFonts w:ascii="宋体" w:hAnsi="宋体" w:cs="宋体" w:hint="eastAsia"/>
          <w:sz w:val="24"/>
        </w:rPr>
        <w:t>最终总金额按实际采购数量分批次结算；</w:t>
      </w:r>
    </w:p>
    <w:p w14:paraId="70DED898" w14:textId="77777777" w:rsidR="00DF48CE" w:rsidRDefault="002938B2">
      <w:pPr>
        <w:numPr>
          <w:ilvl w:val="0"/>
          <w:numId w:val="2"/>
        </w:numPr>
        <w:spacing w:line="360" w:lineRule="auto"/>
        <w:ind w:left="360" w:hangingChars="150" w:hanging="360"/>
        <w:rPr>
          <w:rFonts w:ascii="宋体" w:hAnsi="宋体" w:cs="宋体"/>
          <w:sz w:val="24"/>
        </w:rPr>
      </w:pPr>
      <w:r>
        <w:rPr>
          <w:rFonts w:ascii="宋体" w:hAnsi="宋体" w:cs="宋体" w:hint="eastAsia"/>
          <w:sz w:val="24"/>
        </w:rPr>
        <w:t>技术要求</w:t>
      </w:r>
    </w:p>
    <w:p w14:paraId="30283C20" w14:textId="77777777" w:rsidR="00DF48CE" w:rsidRDefault="002938B2">
      <w:pPr>
        <w:pStyle w:val="TOC1"/>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2.1</w:t>
      </w:r>
      <w:r>
        <w:rPr>
          <w:rFonts w:ascii="宋体" w:eastAsia="宋体" w:hAnsi="宋体" w:cs="宋体" w:hint="eastAsia"/>
          <w:b w:val="0"/>
          <w:bCs w:val="0"/>
          <w:sz w:val="24"/>
          <w:szCs w:val="24"/>
          <w:lang w:val="en-US"/>
        </w:rPr>
        <w:t>采购清单</w:t>
      </w:r>
    </w:p>
    <w:tbl>
      <w:tblPr>
        <w:tblW w:w="5000" w:type="pct"/>
        <w:jc w:val="center"/>
        <w:tblLook w:val="04A0" w:firstRow="1" w:lastRow="0" w:firstColumn="1" w:lastColumn="0" w:noHBand="0" w:noVBand="1"/>
      </w:tblPr>
      <w:tblGrid>
        <w:gridCol w:w="630"/>
        <w:gridCol w:w="1212"/>
        <w:gridCol w:w="2355"/>
        <w:gridCol w:w="3411"/>
        <w:gridCol w:w="914"/>
      </w:tblGrid>
      <w:tr w:rsidR="002938B2" w14:paraId="5CA72D4A" w14:textId="77777777" w:rsidTr="002938B2">
        <w:trPr>
          <w:trHeight w:val="54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769AD" w14:textId="77777777" w:rsidR="002938B2" w:rsidRDefault="002938B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序号</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55BDC15A" w14:textId="77777777" w:rsidR="002938B2" w:rsidRDefault="002938B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品名</w:t>
            </w:r>
          </w:p>
        </w:tc>
        <w:tc>
          <w:tcPr>
            <w:tcW w:w="1382" w:type="pct"/>
            <w:tcBorders>
              <w:top w:val="single" w:sz="4" w:space="0" w:color="000000"/>
              <w:left w:val="single" w:sz="4" w:space="0" w:color="auto"/>
              <w:bottom w:val="single" w:sz="4" w:space="0" w:color="000000"/>
              <w:right w:val="single" w:sz="4" w:space="0" w:color="000000"/>
            </w:tcBorders>
            <w:shd w:val="clear" w:color="auto" w:fill="auto"/>
            <w:vAlign w:val="center"/>
          </w:tcPr>
          <w:p w14:paraId="6BAF79AD" w14:textId="77777777" w:rsidR="002938B2" w:rsidRDefault="002938B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规格参数</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BD5D6" w14:textId="77777777" w:rsidR="002938B2" w:rsidRDefault="002938B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参考图片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7537A" w14:textId="77777777" w:rsidR="002938B2" w:rsidRDefault="002938B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面积</w:t>
            </w:r>
          </w:p>
        </w:tc>
      </w:tr>
      <w:tr w:rsidR="002938B2" w14:paraId="639A7485" w14:textId="77777777" w:rsidTr="002938B2">
        <w:trPr>
          <w:trHeight w:val="2468"/>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15257" w14:textId="77777777" w:rsidR="002938B2" w:rsidRDefault="002938B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711" w:type="pct"/>
            <w:tcBorders>
              <w:top w:val="single" w:sz="4" w:space="0" w:color="000000"/>
              <w:left w:val="single" w:sz="4" w:space="0" w:color="000000"/>
              <w:bottom w:val="single" w:sz="4" w:space="0" w:color="000000"/>
              <w:right w:val="single" w:sz="4" w:space="0" w:color="auto"/>
            </w:tcBorders>
            <w:shd w:val="clear" w:color="auto" w:fill="auto"/>
            <w:vAlign w:val="center"/>
          </w:tcPr>
          <w:p w14:paraId="4040A102" w14:textId="1D4CECB1" w:rsidR="002938B2" w:rsidRDefault="002938B2">
            <w:pPr>
              <w:widowControl/>
              <w:jc w:val="center"/>
              <w:textAlignment w:val="center"/>
              <w:rPr>
                <w:rFonts w:ascii="宋体" w:hAnsi="宋体" w:cs="宋体"/>
                <w:color w:val="000000"/>
                <w:sz w:val="24"/>
              </w:rPr>
            </w:pPr>
            <w:r>
              <w:rPr>
                <w:rFonts w:ascii="宋体" w:hAnsi="宋体" w:cs="宋体" w:hint="eastAsia"/>
                <w:color w:val="000000"/>
                <w:kern w:val="0"/>
                <w:sz w:val="24"/>
                <w:lang w:bidi="ar"/>
              </w:rPr>
              <w:t>钢制纱窗</w:t>
            </w:r>
          </w:p>
        </w:tc>
        <w:tc>
          <w:tcPr>
            <w:tcW w:w="1382" w:type="pct"/>
            <w:tcBorders>
              <w:top w:val="single" w:sz="4" w:space="0" w:color="000000"/>
              <w:left w:val="single" w:sz="4" w:space="0" w:color="auto"/>
              <w:bottom w:val="single" w:sz="4" w:space="0" w:color="000000"/>
              <w:right w:val="single" w:sz="4" w:space="0" w:color="000000"/>
            </w:tcBorders>
            <w:shd w:val="clear" w:color="auto" w:fill="auto"/>
            <w:vAlign w:val="center"/>
          </w:tcPr>
          <w:p w14:paraId="0A6D958F" w14:textId="4568BEE2" w:rsidR="002938B2" w:rsidRDefault="002938B2" w:rsidP="00482C8E">
            <w:pPr>
              <w:widowControl/>
              <w:textAlignment w:val="center"/>
              <w:rPr>
                <w:rFonts w:ascii="宋体" w:hAnsi="宋体" w:cs="宋体"/>
                <w:color w:val="000000"/>
                <w:kern w:val="0"/>
                <w:sz w:val="24"/>
                <w:lang w:bidi="ar"/>
              </w:rPr>
            </w:pPr>
            <w:r>
              <w:rPr>
                <w:rFonts w:ascii="宋体" w:hAnsi="宋体" w:cs="宋体" w:hint="eastAsia"/>
                <w:color w:val="000000"/>
                <w:kern w:val="0"/>
                <w:sz w:val="24"/>
                <w:lang w:bidi="ar"/>
              </w:rPr>
              <w:t>尺寸需满足院区内各窗户实际大小，纱网材质为3</w:t>
            </w:r>
            <w:r>
              <w:rPr>
                <w:rFonts w:ascii="宋体" w:hAnsi="宋体" w:cs="宋体"/>
                <w:color w:val="000000"/>
                <w:kern w:val="0"/>
                <w:sz w:val="24"/>
                <w:lang w:bidi="ar"/>
              </w:rPr>
              <w:t>04</w:t>
            </w:r>
            <w:proofErr w:type="gramStart"/>
            <w:r>
              <w:rPr>
                <w:rFonts w:ascii="宋体" w:hAnsi="宋体" w:cs="宋体" w:hint="eastAsia"/>
                <w:color w:val="000000"/>
                <w:kern w:val="0"/>
                <w:sz w:val="24"/>
                <w:lang w:bidi="ar"/>
              </w:rPr>
              <w:t>金刚网</w:t>
            </w:r>
            <w:proofErr w:type="gramEnd"/>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F3B89" w14:textId="3167E53C" w:rsidR="002938B2" w:rsidRDefault="002938B2">
            <w:pPr>
              <w:widowControl/>
              <w:jc w:val="center"/>
              <w:textAlignment w:val="center"/>
              <w:rPr>
                <w:rFonts w:ascii="宋体" w:hAnsi="宋体" w:cs="宋体"/>
                <w:color w:val="000000"/>
                <w:sz w:val="22"/>
                <w:szCs w:val="22"/>
              </w:rPr>
            </w:pPr>
            <w:r>
              <w:rPr>
                <w:noProof/>
              </w:rPr>
              <w:drawing>
                <wp:inline distT="0" distB="0" distL="0" distR="0" wp14:anchorId="79D1FF57" wp14:editId="083DB6ED">
                  <wp:extent cx="1969770" cy="3498215"/>
                  <wp:effectExtent l="0" t="0" r="0" b="6985"/>
                  <wp:docPr id="15156444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44484" name=""/>
                          <pic:cNvPicPr/>
                        </pic:nvPicPr>
                        <pic:blipFill>
                          <a:blip r:embed="rId9"/>
                          <a:stretch>
                            <a:fillRect/>
                          </a:stretch>
                        </pic:blipFill>
                        <pic:spPr>
                          <a:xfrm>
                            <a:off x="0" y="0"/>
                            <a:ext cx="1969770" cy="3498215"/>
                          </a:xfrm>
                          <a:prstGeom prst="rect">
                            <a:avLst/>
                          </a:prstGeom>
                        </pic:spPr>
                      </pic:pic>
                    </a:graphicData>
                  </a:graphic>
                </wp:inline>
              </w:drawing>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BAD2B" w14:textId="4CC8B1C2" w:rsidR="002938B2" w:rsidRDefault="002938B2">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2853</w:t>
            </w:r>
          </w:p>
        </w:tc>
      </w:tr>
    </w:tbl>
    <w:p w14:paraId="70162480" w14:textId="77777777" w:rsidR="00DF48CE" w:rsidRDefault="002938B2">
      <w:pPr>
        <w:rPr>
          <w:rFonts w:asciiTheme="minorEastAsia" w:eastAsiaTheme="minorEastAsia" w:hAnsiTheme="minorEastAsia" w:cstheme="minorEastAsia"/>
          <w:snapToGrid w:val="0"/>
          <w:kern w:val="0"/>
          <w:sz w:val="24"/>
        </w:rPr>
      </w:pPr>
      <w:r>
        <w:rPr>
          <w:rFonts w:ascii="宋体" w:hAnsi="宋体" w:cs="宋体" w:hint="eastAsia"/>
          <w:sz w:val="24"/>
        </w:rPr>
        <w:t>2.2</w:t>
      </w:r>
      <w:r>
        <w:rPr>
          <w:rFonts w:ascii="宋体" w:hAnsi="宋体" w:cs="宋体" w:hint="eastAsia"/>
          <w:sz w:val="24"/>
        </w:rPr>
        <w:t>技术参数要求：</w:t>
      </w:r>
    </w:p>
    <w:p w14:paraId="1C83336B" w14:textId="7BD1FC75" w:rsidR="00DF48CE" w:rsidRDefault="002938B2">
      <w:pPr>
        <w:pStyle w:val="TableParagraph"/>
        <w:spacing w:before="74"/>
        <w:rPr>
          <w:rFonts w:asciiTheme="minorEastAsia" w:eastAsiaTheme="minorEastAsia" w:hAnsiTheme="minorEastAsia" w:cstheme="minorEastAsia"/>
          <w:snapToGrid w:val="0"/>
          <w:kern w:val="0"/>
          <w:sz w:val="24"/>
          <w:lang w:val="en-US"/>
        </w:rPr>
      </w:pPr>
      <w:r>
        <w:rPr>
          <w:rFonts w:asciiTheme="minorEastAsia" w:eastAsiaTheme="minorEastAsia" w:hAnsiTheme="minorEastAsia" w:cstheme="minorEastAsia" w:hint="eastAsia"/>
          <w:snapToGrid w:val="0"/>
          <w:kern w:val="0"/>
          <w:sz w:val="24"/>
          <w:lang w:val="en-US"/>
        </w:rPr>
        <w:t>（</w:t>
      </w:r>
      <w:r>
        <w:rPr>
          <w:rFonts w:asciiTheme="minorEastAsia" w:eastAsiaTheme="minorEastAsia" w:hAnsiTheme="minorEastAsia" w:cstheme="minorEastAsia" w:hint="eastAsia"/>
          <w:snapToGrid w:val="0"/>
          <w:kern w:val="0"/>
          <w:sz w:val="24"/>
          <w:lang w:val="en-US"/>
        </w:rPr>
        <w:t>1</w:t>
      </w:r>
      <w:r>
        <w:rPr>
          <w:rFonts w:asciiTheme="minorEastAsia" w:eastAsiaTheme="minorEastAsia" w:hAnsiTheme="minorEastAsia" w:cstheme="minorEastAsia" w:hint="eastAsia"/>
          <w:snapToGrid w:val="0"/>
          <w:kern w:val="0"/>
          <w:sz w:val="24"/>
          <w:lang w:val="en-US"/>
        </w:rPr>
        <w:t>）</w:t>
      </w:r>
      <w:r w:rsidR="00482C8E">
        <w:rPr>
          <w:rFonts w:asciiTheme="minorEastAsia" w:eastAsiaTheme="minorEastAsia" w:hAnsiTheme="minorEastAsia" w:cstheme="minorEastAsia" w:hint="eastAsia"/>
          <w:snapToGrid w:val="0"/>
          <w:kern w:val="0"/>
          <w:sz w:val="24"/>
          <w:lang w:val="en-US"/>
        </w:rPr>
        <w:t>铝材材质</w:t>
      </w:r>
    </w:p>
    <w:p w14:paraId="70585F84" w14:textId="075B2236" w:rsidR="00DF48CE" w:rsidRDefault="0006182F">
      <w:pPr>
        <w:pStyle w:val="TableParagraph"/>
        <w:spacing w:before="74"/>
        <w:rPr>
          <w:rFonts w:asciiTheme="minorEastAsia" w:eastAsiaTheme="minorEastAsia" w:hAnsiTheme="minorEastAsia" w:cstheme="minorEastAsia"/>
          <w:snapToGrid w:val="0"/>
          <w:kern w:val="0"/>
          <w:sz w:val="24"/>
          <w:lang w:val="en-US"/>
        </w:rPr>
      </w:pPr>
      <w:r>
        <w:rPr>
          <w:rFonts w:asciiTheme="minorEastAsia" w:eastAsiaTheme="minorEastAsia" w:hAnsiTheme="minorEastAsia" w:cstheme="minorEastAsia" w:hint="eastAsia"/>
          <w:snapToGrid w:val="0"/>
          <w:kern w:val="0"/>
          <w:sz w:val="24"/>
          <w:lang w:val="en-US"/>
        </w:rPr>
        <w:t>符合国标6</w:t>
      </w:r>
      <w:r>
        <w:rPr>
          <w:rFonts w:asciiTheme="minorEastAsia" w:eastAsiaTheme="minorEastAsia" w:hAnsiTheme="minorEastAsia" w:cstheme="minorEastAsia"/>
          <w:snapToGrid w:val="0"/>
          <w:kern w:val="0"/>
          <w:sz w:val="24"/>
          <w:lang w:val="en-US"/>
        </w:rPr>
        <w:t>063T5</w:t>
      </w:r>
      <w:r>
        <w:rPr>
          <w:rFonts w:asciiTheme="minorEastAsia" w:eastAsiaTheme="minorEastAsia" w:hAnsiTheme="minorEastAsia" w:cstheme="minorEastAsia" w:hint="eastAsia"/>
          <w:snapToGrid w:val="0"/>
          <w:kern w:val="0"/>
          <w:sz w:val="24"/>
          <w:lang w:val="en-US"/>
        </w:rPr>
        <w:t>标准，铝材厚度≥1</w:t>
      </w:r>
      <w:r>
        <w:rPr>
          <w:rFonts w:asciiTheme="minorEastAsia" w:eastAsiaTheme="minorEastAsia" w:hAnsiTheme="minorEastAsia" w:cstheme="minorEastAsia"/>
          <w:snapToGrid w:val="0"/>
          <w:kern w:val="0"/>
          <w:sz w:val="24"/>
          <w:lang w:val="en-US"/>
        </w:rPr>
        <w:t>.0MM</w:t>
      </w:r>
      <w:r>
        <w:rPr>
          <w:rFonts w:asciiTheme="minorEastAsia" w:eastAsiaTheme="minorEastAsia" w:hAnsiTheme="minorEastAsia" w:cstheme="minorEastAsia" w:hint="eastAsia"/>
          <w:snapToGrid w:val="0"/>
          <w:kern w:val="0"/>
          <w:sz w:val="24"/>
          <w:lang w:val="en-US"/>
        </w:rPr>
        <w:t>；</w:t>
      </w:r>
    </w:p>
    <w:p w14:paraId="28ACA9CB" w14:textId="59C21F78" w:rsidR="00DF48CE" w:rsidRDefault="002938B2">
      <w:pPr>
        <w:pStyle w:val="TableParagraph"/>
        <w:spacing w:before="74"/>
        <w:rPr>
          <w:rFonts w:asciiTheme="minorEastAsia" w:eastAsiaTheme="minorEastAsia" w:hAnsiTheme="minorEastAsia" w:cstheme="minorEastAsia"/>
          <w:snapToGrid w:val="0"/>
          <w:kern w:val="0"/>
          <w:sz w:val="24"/>
          <w:lang w:val="en-US"/>
        </w:rPr>
      </w:pPr>
      <w:r>
        <w:rPr>
          <w:rFonts w:asciiTheme="minorEastAsia" w:eastAsiaTheme="minorEastAsia" w:hAnsiTheme="minorEastAsia" w:cstheme="minorEastAsia" w:hint="eastAsia"/>
          <w:snapToGrid w:val="0"/>
          <w:kern w:val="0"/>
          <w:sz w:val="24"/>
          <w:lang w:val="en-US"/>
        </w:rPr>
        <w:t>（</w:t>
      </w:r>
      <w:r>
        <w:rPr>
          <w:rFonts w:asciiTheme="minorEastAsia" w:eastAsiaTheme="minorEastAsia" w:hAnsiTheme="minorEastAsia" w:cstheme="minorEastAsia" w:hint="eastAsia"/>
          <w:snapToGrid w:val="0"/>
          <w:kern w:val="0"/>
          <w:sz w:val="24"/>
          <w:lang w:val="en-US"/>
        </w:rPr>
        <w:t>2</w:t>
      </w:r>
      <w:r>
        <w:rPr>
          <w:rFonts w:asciiTheme="minorEastAsia" w:eastAsiaTheme="minorEastAsia" w:hAnsiTheme="minorEastAsia" w:cstheme="minorEastAsia" w:hint="eastAsia"/>
          <w:snapToGrid w:val="0"/>
          <w:kern w:val="0"/>
          <w:sz w:val="24"/>
          <w:lang w:val="en-US"/>
        </w:rPr>
        <w:t>）</w:t>
      </w:r>
      <w:r w:rsidR="0006182F">
        <w:rPr>
          <w:rFonts w:asciiTheme="minorEastAsia" w:eastAsiaTheme="minorEastAsia" w:hAnsiTheme="minorEastAsia" w:cstheme="minorEastAsia" w:hint="eastAsia"/>
          <w:snapToGrid w:val="0"/>
          <w:kern w:val="0"/>
          <w:sz w:val="24"/>
          <w:lang w:val="en-US"/>
        </w:rPr>
        <w:t>纱网材质</w:t>
      </w:r>
    </w:p>
    <w:p w14:paraId="02FAA053" w14:textId="76A3E1A7" w:rsidR="00DF48CE" w:rsidRDefault="0006182F">
      <w:pPr>
        <w:pStyle w:val="TableParagraph"/>
        <w:spacing w:before="74"/>
        <w:rPr>
          <w:sz w:val="24"/>
          <w:lang w:val="en-US"/>
        </w:rPr>
      </w:pPr>
      <w:r w:rsidRPr="0006182F">
        <w:rPr>
          <w:rFonts w:hint="eastAsia"/>
          <w:sz w:val="24"/>
          <w:lang w:val="en-US"/>
        </w:rPr>
        <w:t>3</w:t>
      </w:r>
      <w:r w:rsidRPr="0006182F">
        <w:rPr>
          <w:sz w:val="24"/>
          <w:lang w:val="en-US"/>
        </w:rPr>
        <w:t>04</w:t>
      </w:r>
      <w:r w:rsidRPr="0006182F">
        <w:rPr>
          <w:rFonts w:hint="eastAsia"/>
          <w:sz w:val="24"/>
          <w:lang w:val="en-US"/>
        </w:rPr>
        <w:t>材质</w:t>
      </w:r>
      <w:proofErr w:type="gramStart"/>
      <w:r w:rsidRPr="0006182F">
        <w:rPr>
          <w:rFonts w:hint="eastAsia"/>
          <w:sz w:val="24"/>
          <w:lang w:val="en-US"/>
        </w:rPr>
        <w:t>金</w:t>
      </w:r>
      <w:r>
        <w:rPr>
          <w:rFonts w:hint="eastAsia"/>
          <w:sz w:val="24"/>
          <w:lang w:val="en-US"/>
        </w:rPr>
        <w:t>钢</w:t>
      </w:r>
      <w:proofErr w:type="gramEnd"/>
      <w:r w:rsidRPr="0006182F">
        <w:rPr>
          <w:rFonts w:hint="eastAsia"/>
          <w:sz w:val="24"/>
          <w:lang w:val="en-US"/>
        </w:rPr>
        <w:t>网</w:t>
      </w:r>
    </w:p>
    <w:p w14:paraId="1822EBC2" w14:textId="5AF83A6D" w:rsidR="00DF48CE" w:rsidRDefault="002938B2">
      <w:pPr>
        <w:pStyle w:val="TableParagraph"/>
        <w:spacing w:before="74"/>
        <w:rPr>
          <w:rFonts w:asciiTheme="minorEastAsia" w:eastAsiaTheme="minorEastAsia" w:hAnsiTheme="minorEastAsia" w:cstheme="minorEastAsia"/>
          <w:snapToGrid w:val="0"/>
          <w:kern w:val="0"/>
          <w:sz w:val="24"/>
          <w:lang w:val="en-US"/>
        </w:rPr>
      </w:pPr>
      <w:r>
        <w:rPr>
          <w:rFonts w:asciiTheme="minorEastAsia" w:eastAsiaTheme="minorEastAsia" w:hAnsiTheme="minorEastAsia" w:cstheme="minorEastAsia" w:hint="eastAsia"/>
          <w:snapToGrid w:val="0"/>
          <w:kern w:val="0"/>
          <w:sz w:val="24"/>
          <w:lang w:val="en-US"/>
        </w:rPr>
        <w:t>（</w:t>
      </w:r>
      <w:r>
        <w:rPr>
          <w:rFonts w:asciiTheme="minorEastAsia" w:eastAsiaTheme="minorEastAsia" w:hAnsiTheme="minorEastAsia" w:cstheme="minorEastAsia" w:hint="eastAsia"/>
          <w:snapToGrid w:val="0"/>
          <w:kern w:val="0"/>
          <w:sz w:val="24"/>
          <w:lang w:val="en-US"/>
        </w:rPr>
        <w:t>3</w:t>
      </w:r>
      <w:r>
        <w:rPr>
          <w:rFonts w:asciiTheme="minorEastAsia" w:eastAsiaTheme="minorEastAsia" w:hAnsiTheme="minorEastAsia" w:cstheme="minorEastAsia" w:hint="eastAsia"/>
          <w:snapToGrid w:val="0"/>
          <w:kern w:val="0"/>
          <w:sz w:val="24"/>
          <w:lang w:val="en-US"/>
        </w:rPr>
        <w:t>）</w:t>
      </w:r>
      <w:r w:rsidR="0006182F">
        <w:rPr>
          <w:rFonts w:asciiTheme="minorEastAsia" w:eastAsiaTheme="minorEastAsia" w:hAnsiTheme="minorEastAsia" w:cstheme="minorEastAsia" w:hint="eastAsia"/>
          <w:snapToGrid w:val="0"/>
          <w:kern w:val="0"/>
          <w:sz w:val="24"/>
          <w:lang w:val="en-US"/>
        </w:rPr>
        <w:t>配件材质</w:t>
      </w:r>
    </w:p>
    <w:p w14:paraId="3BCBBDC4" w14:textId="4862A9B9" w:rsidR="00DF48CE" w:rsidRDefault="0006182F" w:rsidP="0006182F">
      <w:pPr>
        <w:spacing w:line="360" w:lineRule="auto"/>
        <w:rPr>
          <w:rFonts w:ascii="宋体" w:hAnsi="宋体" w:cs="宋体"/>
          <w:sz w:val="24"/>
        </w:rPr>
      </w:pPr>
      <w:r>
        <w:rPr>
          <w:rFonts w:ascii="宋体" w:hAnsi="宋体" w:cs="宋体" w:hint="eastAsia"/>
          <w:sz w:val="24"/>
        </w:rPr>
        <w:t>尼龙材质和A</w:t>
      </w:r>
      <w:r>
        <w:rPr>
          <w:rFonts w:ascii="宋体" w:hAnsi="宋体" w:cs="宋体"/>
          <w:sz w:val="24"/>
        </w:rPr>
        <w:t>BS</w:t>
      </w:r>
      <w:r>
        <w:rPr>
          <w:rFonts w:ascii="宋体" w:hAnsi="宋体" w:cs="宋体" w:hint="eastAsia"/>
          <w:sz w:val="24"/>
        </w:rPr>
        <w:t>一级品</w:t>
      </w:r>
    </w:p>
    <w:p w14:paraId="123BD1F0" w14:textId="260F56F1" w:rsidR="00DF48CE" w:rsidRDefault="0006182F">
      <w:pPr>
        <w:spacing w:line="360" w:lineRule="auto"/>
        <w:rPr>
          <w:rFonts w:ascii="宋体" w:hAnsi="宋体" w:cs="宋体"/>
          <w:sz w:val="24"/>
        </w:rPr>
      </w:pPr>
      <w:r>
        <w:rPr>
          <w:rFonts w:ascii="宋体" w:hAnsi="宋体" w:cs="宋体" w:hint="eastAsia"/>
          <w:sz w:val="24"/>
        </w:rPr>
        <w:t>（4）功能</w:t>
      </w:r>
    </w:p>
    <w:p w14:paraId="0B8F1BA0" w14:textId="11810C13" w:rsidR="0006182F" w:rsidRDefault="0006182F" w:rsidP="0006182F">
      <w:pPr>
        <w:spacing w:line="360" w:lineRule="auto"/>
        <w:rPr>
          <w:rFonts w:ascii="宋体" w:hAnsi="宋体" w:cs="宋体"/>
          <w:sz w:val="24"/>
        </w:rPr>
      </w:pPr>
      <w:r>
        <w:rPr>
          <w:rFonts w:ascii="宋体" w:hAnsi="宋体" w:cs="宋体" w:hint="eastAsia"/>
          <w:sz w:val="24"/>
        </w:rPr>
        <w:t>纱网可拆卸</w:t>
      </w:r>
    </w:p>
    <w:p w14:paraId="1A5B0594" w14:textId="77777777" w:rsidR="0006182F" w:rsidRPr="0006182F" w:rsidRDefault="0006182F" w:rsidP="0006182F">
      <w:pPr>
        <w:pStyle w:val="TOC1"/>
        <w:rPr>
          <w:rFonts w:eastAsiaTheme="minorEastAsia"/>
          <w:lang w:val="en-US" w:bidi="ar-SA"/>
        </w:rPr>
      </w:pPr>
    </w:p>
    <w:p w14:paraId="1BF18D7A" w14:textId="77777777" w:rsidR="00DF48CE" w:rsidRDefault="002938B2">
      <w:pPr>
        <w:spacing w:line="360" w:lineRule="auto"/>
        <w:rPr>
          <w:rFonts w:ascii="宋体" w:hAnsi="宋体" w:cs="宋体"/>
          <w:sz w:val="24"/>
        </w:rPr>
      </w:pPr>
      <w:r>
        <w:rPr>
          <w:rFonts w:ascii="宋体" w:hAnsi="宋体" w:cs="宋体" w:hint="eastAsia"/>
          <w:sz w:val="24"/>
        </w:rPr>
        <w:t>2.3</w:t>
      </w:r>
      <w:r>
        <w:rPr>
          <w:rFonts w:ascii="宋体" w:hAnsi="宋体" w:cs="宋体" w:hint="eastAsia"/>
          <w:sz w:val="24"/>
        </w:rPr>
        <w:t>其他要求：</w:t>
      </w:r>
    </w:p>
    <w:p w14:paraId="1CCD3805" w14:textId="77777777" w:rsidR="00DF48CE" w:rsidRDefault="002938B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）质量保证：投标人对所供所有产品的质量负责，质保期从验收入库当日算起，按产品包装及国家相关政策执行。</w:t>
      </w:r>
    </w:p>
    <w:p w14:paraId="07EAE239" w14:textId="77777777" w:rsidR="00DF48CE" w:rsidRDefault="002938B2">
      <w:pPr>
        <w:pStyle w:val="TOC1"/>
        <w:spacing w:line="360" w:lineRule="auto"/>
        <w:ind w:left="0"/>
        <w:jc w:val="both"/>
        <w:rPr>
          <w:rFonts w:ascii="宋体" w:eastAsia="宋体" w:hAnsi="宋体" w:cs="宋体"/>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2</w:t>
      </w:r>
      <w:r>
        <w:rPr>
          <w:rFonts w:ascii="宋体" w:eastAsia="宋体" w:hAnsi="宋体" w:cs="宋体" w:hint="eastAsia"/>
          <w:b w:val="0"/>
          <w:bCs w:val="0"/>
          <w:sz w:val="24"/>
          <w:szCs w:val="24"/>
          <w:lang w:val="en-US"/>
        </w:rPr>
        <w:t>）中标人必须按照采购人清单要求的型号、参数、规格供货，不得随意更改，所供产品必须为原制造商制造的全新货物且必须符合国家规定的相关标准及行业规范，并未对其子部件等作任何的更改和替换，产品无污染，无任何缺陷隐患，否则采购人有权拒收并要求退货换货，中标人承担由此产生的一切费用。</w:t>
      </w:r>
    </w:p>
    <w:p w14:paraId="58F56658"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3</w:t>
      </w:r>
      <w:r>
        <w:rPr>
          <w:rFonts w:ascii="宋体" w:eastAsia="宋体" w:hAnsi="宋体" w:cs="宋体" w:hint="eastAsia"/>
          <w:b w:val="0"/>
          <w:bCs w:val="0"/>
          <w:sz w:val="24"/>
          <w:szCs w:val="24"/>
          <w:lang w:val="en-US"/>
        </w:rPr>
        <w:t>）中标人不能交付货物，则由中标人向采购人支付合同总价的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‰的违约金，</w:t>
      </w:r>
      <w:r>
        <w:rPr>
          <w:rFonts w:ascii="宋体" w:eastAsia="宋体" w:hAnsi="宋体" w:cs="宋体" w:hint="eastAsia"/>
          <w:b w:val="0"/>
          <w:bCs w:val="0"/>
          <w:sz w:val="24"/>
          <w:szCs w:val="24"/>
          <w:lang w:val="en-US"/>
        </w:rPr>
        <w:lastRenderedPageBreak/>
        <w:t>且采购人有权终止合同。</w:t>
      </w:r>
    </w:p>
    <w:p w14:paraId="59641C4D"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4</w:t>
      </w:r>
      <w:r>
        <w:rPr>
          <w:rFonts w:ascii="宋体" w:eastAsia="宋体" w:hAnsi="宋体" w:cs="宋体" w:hint="eastAsia"/>
          <w:b w:val="0"/>
          <w:bCs w:val="0"/>
          <w:sz w:val="24"/>
          <w:szCs w:val="24"/>
          <w:lang w:val="en-US"/>
        </w:rPr>
        <w:t>）中标人逾期交付货物的，每逾期</w:t>
      </w:r>
      <w:r>
        <w:rPr>
          <w:rFonts w:ascii="宋体" w:eastAsia="宋体" w:hAnsi="宋体" w:cs="宋体" w:hint="eastAsia"/>
          <w:b w:val="0"/>
          <w:bCs w:val="0"/>
          <w:sz w:val="24"/>
          <w:szCs w:val="24"/>
          <w:lang w:val="en-US"/>
        </w:rPr>
        <w:t>1</w:t>
      </w:r>
      <w:r>
        <w:rPr>
          <w:rFonts w:ascii="宋体" w:eastAsia="宋体" w:hAnsi="宋体" w:cs="宋体" w:hint="eastAsia"/>
          <w:b w:val="0"/>
          <w:bCs w:val="0"/>
          <w:sz w:val="24"/>
          <w:szCs w:val="24"/>
          <w:lang w:val="en-US"/>
        </w:rPr>
        <w:t>天，采购人有权收取逾期交货部分货款总额的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‰的滞纳金，累计滞纳金不超过逾期交货部分货款总额的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，逾期</w:t>
      </w:r>
      <w:r>
        <w:rPr>
          <w:rFonts w:ascii="宋体" w:eastAsia="宋体" w:hAnsi="宋体" w:cs="宋体" w:hint="eastAsia"/>
          <w:b w:val="0"/>
          <w:bCs w:val="0"/>
          <w:sz w:val="24"/>
          <w:szCs w:val="24"/>
          <w:lang w:val="en-US"/>
        </w:rPr>
        <w:t>交货超过</w:t>
      </w:r>
      <w:r>
        <w:rPr>
          <w:rFonts w:ascii="宋体" w:eastAsia="宋体" w:hAnsi="宋体" w:cs="宋体" w:hint="eastAsia"/>
          <w:b w:val="0"/>
          <w:bCs w:val="0"/>
          <w:sz w:val="24"/>
          <w:szCs w:val="24"/>
          <w:lang w:val="en-US"/>
        </w:rPr>
        <w:t>10</w:t>
      </w:r>
      <w:r>
        <w:rPr>
          <w:rFonts w:ascii="宋体" w:eastAsia="宋体" w:hAnsi="宋体" w:cs="宋体" w:hint="eastAsia"/>
          <w:b w:val="0"/>
          <w:bCs w:val="0"/>
          <w:sz w:val="24"/>
          <w:szCs w:val="24"/>
          <w:lang w:val="en-US"/>
        </w:rPr>
        <w:t>天，采购人有权终止合同。</w:t>
      </w:r>
    </w:p>
    <w:p w14:paraId="709EAA1C"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）中标人所交的货物品种、型号、规格、材质、工艺等不符合采购人要求的，采购人有权拒收货物。中标人向采购人支付该批货款总额的</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‰的违约金。</w:t>
      </w:r>
    </w:p>
    <w:p w14:paraId="11F0E2D8"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6</w:t>
      </w:r>
      <w:r>
        <w:rPr>
          <w:rFonts w:ascii="宋体" w:eastAsia="宋体" w:hAnsi="宋体" w:cs="宋体" w:hint="eastAsia"/>
          <w:b w:val="0"/>
          <w:bCs w:val="0"/>
          <w:sz w:val="24"/>
          <w:szCs w:val="24"/>
          <w:lang w:val="en-US"/>
        </w:rPr>
        <w:t>）如经中标人两次退换，货物仍不能达到合同约定质量标准，采购人有权退货，中标人退回全部货款，同时，中标人还须赔偿采购人因此遭受的损失。</w:t>
      </w:r>
    </w:p>
    <w:p w14:paraId="613B36E2"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7</w:t>
      </w:r>
      <w:r>
        <w:rPr>
          <w:rFonts w:ascii="宋体" w:eastAsia="宋体" w:hAnsi="宋体" w:cs="宋体" w:hint="eastAsia"/>
          <w:b w:val="0"/>
          <w:bCs w:val="0"/>
          <w:sz w:val="24"/>
          <w:szCs w:val="24"/>
          <w:lang w:val="en-US"/>
        </w:rPr>
        <w:t>）中标人所供货物必须权属清楚，不得侵害他人的知识产权，否则构成对采购人违约，中标人须赔偿采购人两倍货物价款。</w:t>
      </w:r>
    </w:p>
    <w:p w14:paraId="37B561B5"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8</w:t>
      </w:r>
      <w:r>
        <w:rPr>
          <w:rFonts w:ascii="宋体" w:eastAsia="宋体" w:hAnsi="宋体" w:cs="宋体" w:hint="eastAsia"/>
          <w:b w:val="0"/>
          <w:bCs w:val="0"/>
          <w:sz w:val="24"/>
          <w:szCs w:val="24"/>
          <w:lang w:val="en-US"/>
        </w:rPr>
        <w:t>）中标人在送货过程中如发生调换货物有质量问题，须</w:t>
      </w:r>
      <w:proofErr w:type="gramStart"/>
      <w:r>
        <w:rPr>
          <w:rFonts w:ascii="宋体" w:eastAsia="宋体" w:hAnsi="宋体" w:cs="宋体" w:hint="eastAsia"/>
          <w:b w:val="0"/>
          <w:bCs w:val="0"/>
          <w:sz w:val="24"/>
          <w:szCs w:val="24"/>
          <w:lang w:val="en-US"/>
        </w:rPr>
        <w:t>承担假</w:t>
      </w:r>
      <w:proofErr w:type="gramEnd"/>
      <w:r>
        <w:rPr>
          <w:rFonts w:ascii="宋体" w:eastAsia="宋体" w:hAnsi="宋体" w:cs="宋体" w:hint="eastAsia"/>
          <w:b w:val="0"/>
          <w:bCs w:val="0"/>
          <w:sz w:val="24"/>
          <w:szCs w:val="24"/>
          <w:lang w:val="en-US"/>
        </w:rPr>
        <w:t>一罚十的责任。</w:t>
      </w:r>
    </w:p>
    <w:p w14:paraId="44721BEB" w14:textId="77777777" w:rsidR="00DF48CE" w:rsidRDefault="002938B2">
      <w:pPr>
        <w:pStyle w:val="TOC1"/>
        <w:spacing w:line="360" w:lineRule="auto"/>
        <w:ind w:left="0"/>
        <w:jc w:val="both"/>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9</w:t>
      </w:r>
      <w:r>
        <w:rPr>
          <w:rFonts w:ascii="宋体" w:eastAsia="宋体" w:hAnsi="宋体" w:cs="宋体" w:hint="eastAsia"/>
          <w:b w:val="0"/>
          <w:bCs w:val="0"/>
          <w:sz w:val="24"/>
          <w:szCs w:val="24"/>
          <w:lang w:val="en-US"/>
        </w:rPr>
        <w:t>）合</w:t>
      </w:r>
      <w:r>
        <w:rPr>
          <w:rFonts w:ascii="宋体" w:eastAsia="宋体" w:hAnsi="宋体" w:cs="宋体" w:hint="eastAsia"/>
          <w:b w:val="0"/>
          <w:bCs w:val="0"/>
          <w:sz w:val="24"/>
          <w:szCs w:val="24"/>
          <w:lang w:val="en-US"/>
        </w:rPr>
        <w:t>作期间，所有因中标</w:t>
      </w:r>
      <w:proofErr w:type="gramStart"/>
      <w:r>
        <w:rPr>
          <w:rFonts w:ascii="宋体" w:eastAsia="宋体" w:hAnsi="宋体" w:cs="宋体" w:hint="eastAsia"/>
          <w:b w:val="0"/>
          <w:bCs w:val="0"/>
          <w:sz w:val="24"/>
          <w:szCs w:val="24"/>
          <w:lang w:val="en-US"/>
        </w:rPr>
        <w:t>人原因</w:t>
      </w:r>
      <w:proofErr w:type="gramEnd"/>
      <w:r>
        <w:rPr>
          <w:rFonts w:ascii="宋体" w:eastAsia="宋体" w:hAnsi="宋体" w:cs="宋体" w:hint="eastAsia"/>
          <w:b w:val="0"/>
          <w:bCs w:val="0"/>
          <w:sz w:val="24"/>
          <w:szCs w:val="24"/>
          <w:lang w:val="en-US"/>
        </w:rPr>
        <w:t>逾期交货或货物质量问题更换不及时的，采购人向中标人出具书面整改通知，如果中标人在规定时间内整改不到位或拒绝整改，采购人有权视实际情况扣款</w:t>
      </w:r>
      <w:r>
        <w:rPr>
          <w:rFonts w:ascii="宋体" w:eastAsia="宋体" w:hAnsi="宋体" w:cs="宋体" w:hint="eastAsia"/>
          <w:b w:val="0"/>
          <w:bCs w:val="0"/>
          <w:sz w:val="24"/>
          <w:szCs w:val="24"/>
          <w:lang w:val="en-US"/>
        </w:rPr>
        <w:t>100-5000</w:t>
      </w:r>
      <w:r>
        <w:rPr>
          <w:rFonts w:ascii="宋体" w:eastAsia="宋体" w:hAnsi="宋体" w:cs="宋体" w:hint="eastAsia"/>
          <w:b w:val="0"/>
          <w:bCs w:val="0"/>
          <w:sz w:val="24"/>
          <w:szCs w:val="24"/>
          <w:lang w:val="en-US"/>
        </w:rPr>
        <w:t>元。</w:t>
      </w:r>
    </w:p>
    <w:p w14:paraId="68A5E4EE" w14:textId="77777777" w:rsidR="00DF48CE" w:rsidRDefault="002938B2">
      <w:pPr>
        <w:pStyle w:val="TOC1"/>
        <w:spacing w:line="360" w:lineRule="auto"/>
        <w:ind w:left="0"/>
        <w:jc w:val="both"/>
        <w:rPr>
          <w:rFonts w:ascii="宋体" w:eastAsia="宋体" w:hAnsi="宋体" w:cs="宋体"/>
          <w:sz w:val="24"/>
          <w:szCs w:val="24"/>
        </w:rPr>
      </w:pP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10</w:t>
      </w:r>
      <w:r>
        <w:rPr>
          <w:rFonts w:ascii="宋体" w:eastAsia="宋体" w:hAnsi="宋体" w:cs="宋体" w:hint="eastAsia"/>
          <w:b w:val="0"/>
          <w:bCs w:val="0"/>
          <w:sz w:val="24"/>
          <w:szCs w:val="24"/>
          <w:lang w:val="en-US"/>
        </w:rPr>
        <w:t>）所有扣款从货物应付货款中扣除。</w:t>
      </w:r>
    </w:p>
    <w:p w14:paraId="3F4C6124" w14:textId="77777777" w:rsidR="00DF48CE" w:rsidRDefault="002938B2">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、商务条件</w:t>
      </w:r>
    </w:p>
    <w:p w14:paraId="70378462" w14:textId="77777777" w:rsidR="00DF48CE" w:rsidRDefault="002938B2">
      <w:pPr>
        <w:spacing w:line="360" w:lineRule="auto"/>
        <w:ind w:left="360" w:hangingChars="150" w:hanging="360"/>
        <w:rPr>
          <w:rFonts w:ascii="宋体" w:hAnsi="宋体" w:cs="宋体"/>
          <w:sz w:val="24"/>
        </w:rPr>
      </w:pPr>
      <w:r>
        <w:rPr>
          <w:rFonts w:ascii="宋体" w:hAnsi="宋体" w:cs="宋体" w:hint="eastAsia"/>
          <w:sz w:val="24"/>
        </w:rPr>
        <w:t>3.1</w:t>
      </w:r>
      <w:r>
        <w:rPr>
          <w:rFonts w:ascii="宋体" w:hAnsi="宋体" w:cs="宋体" w:hint="eastAsia"/>
          <w:sz w:val="24"/>
        </w:rPr>
        <w:t>付款方式：货到验收合格后，据实结算货款，采购人收到乙方开具合法、等额、完税的正规发票后，</w:t>
      </w:r>
      <w:r>
        <w:rPr>
          <w:rFonts w:ascii="宋体" w:hAnsi="宋体" w:cs="宋体" w:hint="eastAsia"/>
          <w:sz w:val="24"/>
        </w:rPr>
        <w:t>60</w:t>
      </w:r>
      <w:r>
        <w:rPr>
          <w:rFonts w:ascii="宋体" w:hAnsi="宋体" w:cs="宋体" w:hint="eastAsia"/>
          <w:sz w:val="24"/>
        </w:rPr>
        <w:t>日内采购人将本批次付款至乙方发票指定的开户银行及账号。</w:t>
      </w:r>
    </w:p>
    <w:p w14:paraId="1CDE896E" w14:textId="77777777" w:rsidR="00DF48CE" w:rsidRDefault="002938B2">
      <w:pPr>
        <w:spacing w:line="360" w:lineRule="auto"/>
        <w:ind w:left="240" w:hangingChars="100" w:hanging="240"/>
        <w:rPr>
          <w:rFonts w:asciiTheme="minorEastAsia" w:hAnsiTheme="minorEastAsia"/>
        </w:rPr>
      </w:pPr>
      <w:r>
        <w:rPr>
          <w:rFonts w:ascii="宋体" w:hAnsi="宋体" w:cs="宋体" w:hint="eastAsia"/>
          <w:sz w:val="24"/>
        </w:rPr>
        <w:t>3.2</w:t>
      </w:r>
      <w:r>
        <w:rPr>
          <w:rFonts w:ascii="宋体" w:hAnsi="宋体" w:cs="宋体" w:hint="eastAsia"/>
          <w:sz w:val="24"/>
        </w:rPr>
        <w:t>验收方式：首次送货采用集体随机抽样验收方式（保留验收单），要求品质与样品完全一致，往后送货采用入库验收方式，要求品质</w:t>
      </w:r>
      <w:r>
        <w:rPr>
          <w:rFonts w:ascii="宋体" w:hAnsi="宋体" w:cs="宋体" w:hint="eastAsia"/>
          <w:sz w:val="24"/>
        </w:rPr>
        <w:t>与样品完全一致。货物交付时，需提供相关资质材料、送货清单等，且货物包装完好，否则，采购人有权拒收。</w:t>
      </w:r>
    </w:p>
    <w:p w14:paraId="204B151C" w14:textId="77777777" w:rsidR="00DF48CE" w:rsidRDefault="002938B2">
      <w:pPr>
        <w:spacing w:line="360" w:lineRule="auto"/>
        <w:ind w:left="480" w:hangingChars="200" w:hanging="480"/>
        <w:rPr>
          <w:rFonts w:ascii="宋体" w:hAnsi="宋体" w:cs="宋体"/>
          <w:sz w:val="24"/>
        </w:rPr>
      </w:pPr>
      <w:r>
        <w:rPr>
          <w:rFonts w:ascii="宋体" w:hAnsi="宋体" w:cs="宋体" w:hint="eastAsia"/>
          <w:sz w:val="24"/>
        </w:rPr>
        <w:t>4</w:t>
      </w:r>
      <w:r>
        <w:rPr>
          <w:rFonts w:ascii="宋体" w:hAnsi="宋体" w:cs="宋体" w:hint="eastAsia"/>
          <w:sz w:val="24"/>
        </w:rPr>
        <w:t>、运输、安装、质保、售后</w:t>
      </w:r>
    </w:p>
    <w:p w14:paraId="7B7585F8" w14:textId="77777777" w:rsidR="00DF48CE" w:rsidRDefault="002938B2">
      <w:pPr>
        <w:spacing w:line="360" w:lineRule="auto"/>
        <w:ind w:left="480" w:hangingChars="200" w:hanging="480"/>
        <w:rPr>
          <w:rFonts w:ascii="宋体" w:hAnsi="宋体" w:cs="宋体"/>
          <w:sz w:val="24"/>
        </w:rPr>
      </w:pPr>
      <w:r>
        <w:rPr>
          <w:rFonts w:ascii="宋体" w:hAnsi="宋体" w:cs="宋体" w:hint="eastAsia"/>
          <w:sz w:val="24"/>
        </w:rPr>
        <w:t>4.1</w:t>
      </w:r>
      <w:r>
        <w:rPr>
          <w:rFonts w:ascii="宋体" w:hAnsi="宋体" w:cs="宋体" w:hint="eastAsia"/>
          <w:sz w:val="24"/>
        </w:rPr>
        <w:t>运输：中标人负责送货上门、安装、调试（过程中所需的专用工具和辅助材料由中标人提供，并提供设备使用的全部资料）、培训等。</w:t>
      </w:r>
    </w:p>
    <w:p w14:paraId="66A18123" w14:textId="77777777" w:rsidR="00DF48CE" w:rsidRDefault="002938B2">
      <w:pPr>
        <w:spacing w:line="360" w:lineRule="auto"/>
        <w:ind w:left="480" w:hangingChars="200" w:hanging="480"/>
        <w:rPr>
          <w:rFonts w:ascii="宋体" w:hAnsi="宋体" w:cs="宋体"/>
          <w:sz w:val="24"/>
        </w:rPr>
      </w:pPr>
      <w:r>
        <w:rPr>
          <w:rFonts w:ascii="宋体" w:hAnsi="宋体" w:cs="宋体" w:hint="eastAsia"/>
          <w:sz w:val="24"/>
        </w:rPr>
        <w:t>4.2</w:t>
      </w:r>
      <w:r>
        <w:rPr>
          <w:rFonts w:ascii="宋体" w:hAnsi="宋体" w:cs="宋体" w:hint="eastAsia"/>
          <w:sz w:val="24"/>
        </w:rPr>
        <w:t>售后服务：提供</w:t>
      </w:r>
      <w:r>
        <w:rPr>
          <w:rFonts w:ascii="宋体" w:hAnsi="宋体" w:cs="宋体" w:hint="eastAsia"/>
          <w:sz w:val="24"/>
        </w:rPr>
        <w:t>7x24</w:t>
      </w:r>
      <w:r>
        <w:rPr>
          <w:rFonts w:ascii="宋体" w:hAnsi="宋体" w:cs="宋体" w:hint="eastAsia"/>
          <w:sz w:val="24"/>
        </w:rPr>
        <w:t>小时售后服务热线，在接到采购人维修通知后服务随时响应。若通讯工具不能解决问题，必须在</w:t>
      </w:r>
      <w:r>
        <w:rPr>
          <w:rFonts w:ascii="宋体" w:hAnsi="宋体" w:cs="宋体" w:hint="eastAsia"/>
          <w:sz w:val="24"/>
        </w:rPr>
        <w:t>24</w:t>
      </w:r>
      <w:r>
        <w:rPr>
          <w:rFonts w:ascii="宋体" w:hAnsi="宋体" w:cs="宋体" w:hint="eastAsia"/>
          <w:sz w:val="24"/>
        </w:rPr>
        <w:t>小时之内到达现场予以解决。</w:t>
      </w:r>
    </w:p>
    <w:p w14:paraId="5CE41A44" w14:textId="77777777" w:rsidR="00DF48CE" w:rsidRDefault="002938B2">
      <w:pPr>
        <w:spacing w:line="360" w:lineRule="auto"/>
        <w:rPr>
          <w:rFonts w:ascii="宋体" w:hAnsi="宋体" w:cs="宋体"/>
          <w:sz w:val="24"/>
        </w:rPr>
      </w:pPr>
      <w:r>
        <w:rPr>
          <w:rFonts w:ascii="宋体" w:hAnsi="宋体" w:cs="宋体" w:hint="eastAsia"/>
          <w:sz w:val="24"/>
        </w:rPr>
        <w:t>4.3</w:t>
      </w:r>
      <w:r>
        <w:rPr>
          <w:rFonts w:ascii="宋体" w:hAnsi="宋体" w:cs="宋体" w:hint="eastAsia"/>
          <w:sz w:val="24"/>
        </w:rPr>
        <w:t>质保期：</w:t>
      </w:r>
      <w:r>
        <w:rPr>
          <w:rFonts w:ascii="宋体" w:hAnsi="宋体" w:cs="宋体" w:hint="eastAsia"/>
          <w:sz w:val="24"/>
        </w:rPr>
        <w:t>1</w:t>
      </w:r>
      <w:r>
        <w:rPr>
          <w:rFonts w:ascii="宋体" w:hAnsi="宋体" w:cs="宋体" w:hint="eastAsia"/>
          <w:sz w:val="24"/>
        </w:rPr>
        <w:t>年免费质保，产品质量出现问题</w:t>
      </w:r>
      <w:r>
        <w:rPr>
          <w:rFonts w:ascii="宋体" w:hAnsi="宋体" w:cs="宋体" w:hint="eastAsia"/>
          <w:sz w:val="24"/>
        </w:rPr>
        <w:t>30</w:t>
      </w:r>
      <w:r>
        <w:rPr>
          <w:rFonts w:ascii="宋体" w:hAnsi="宋体" w:cs="宋体" w:hint="eastAsia"/>
          <w:sz w:val="24"/>
        </w:rPr>
        <w:t>天包退包换。</w:t>
      </w:r>
    </w:p>
    <w:p w14:paraId="35D09AE4" w14:textId="77777777" w:rsidR="00DF48CE" w:rsidRDefault="002938B2">
      <w:pPr>
        <w:spacing w:line="360" w:lineRule="auto"/>
        <w:rPr>
          <w:rFonts w:ascii="宋体" w:hAnsi="宋体" w:cs="宋体"/>
          <w:sz w:val="24"/>
        </w:rPr>
      </w:pPr>
      <w:r>
        <w:rPr>
          <w:rFonts w:ascii="宋体" w:hAnsi="宋体" w:cs="宋体" w:hint="eastAsia"/>
          <w:sz w:val="24"/>
        </w:rPr>
        <w:lastRenderedPageBreak/>
        <w:t>4.4</w:t>
      </w:r>
      <w:r>
        <w:rPr>
          <w:rFonts w:ascii="宋体" w:hAnsi="宋体" w:cs="宋体" w:hint="eastAsia"/>
          <w:sz w:val="24"/>
        </w:rPr>
        <w:t>投标人必须承诺在接到采购人通知后，</w:t>
      </w:r>
      <w:r>
        <w:rPr>
          <w:rFonts w:ascii="宋体" w:hAnsi="宋体" w:cs="宋体" w:hint="eastAsia"/>
          <w:sz w:val="24"/>
        </w:rPr>
        <w:t>3</w:t>
      </w:r>
      <w:r>
        <w:rPr>
          <w:rFonts w:ascii="宋体" w:hAnsi="宋体" w:cs="宋体" w:hint="eastAsia"/>
          <w:sz w:val="24"/>
        </w:rPr>
        <w:t>天内送货到位，</w:t>
      </w:r>
      <w:r>
        <w:rPr>
          <w:rFonts w:ascii="宋体" w:hAnsi="宋体" w:cs="宋体" w:hint="eastAsia"/>
          <w:b/>
          <w:bCs/>
          <w:sz w:val="24"/>
          <w:u w:val="single"/>
        </w:rPr>
        <w:t>承诺所有投标货物不使用快递送货。</w:t>
      </w:r>
    </w:p>
    <w:p w14:paraId="1ED2DDCB" w14:textId="77777777" w:rsidR="00DF48CE" w:rsidRDefault="002938B2">
      <w:pPr>
        <w:pStyle w:val="TOC1"/>
        <w:spacing w:line="360" w:lineRule="auto"/>
        <w:ind w:left="0"/>
        <w:jc w:val="left"/>
        <w:rPr>
          <w:rFonts w:ascii="宋体" w:eastAsia="宋体" w:hAnsi="宋体" w:cs="宋体"/>
          <w:sz w:val="24"/>
          <w:szCs w:val="24"/>
        </w:rPr>
      </w:pPr>
      <w:r>
        <w:rPr>
          <w:rFonts w:ascii="宋体" w:eastAsia="宋体" w:hAnsi="宋体" w:cs="宋体" w:hint="eastAsia"/>
          <w:b w:val="0"/>
          <w:bCs w:val="0"/>
          <w:sz w:val="24"/>
          <w:szCs w:val="24"/>
          <w:lang w:val="en-US"/>
        </w:rPr>
        <w:t>4.5</w:t>
      </w:r>
      <w:r>
        <w:rPr>
          <w:rFonts w:ascii="宋体" w:eastAsia="宋体" w:hAnsi="宋体" w:cs="宋体" w:hint="eastAsia"/>
          <w:b w:val="0"/>
          <w:bCs w:val="0"/>
          <w:sz w:val="24"/>
          <w:szCs w:val="24"/>
          <w:lang w:val="en-US"/>
        </w:rPr>
        <w:t>工作内容：包括但不限于采购方单位内部需求采集以及除上述内容外，与本项目密切相关且必不可少的工作内容。</w:t>
      </w:r>
    </w:p>
    <w:p w14:paraId="1A937ABB" w14:textId="77777777" w:rsidR="00DF48CE" w:rsidRDefault="00DF48CE">
      <w:pPr>
        <w:spacing w:line="360" w:lineRule="auto"/>
        <w:rPr>
          <w:rFonts w:ascii="宋体" w:hAnsi="宋体" w:cs="宋体"/>
          <w:b/>
          <w:sz w:val="24"/>
        </w:rPr>
      </w:pPr>
    </w:p>
    <w:p w14:paraId="2C9498A2" w14:textId="620CEA3E" w:rsidR="00DF48CE" w:rsidRDefault="00DF48CE">
      <w:pPr>
        <w:pStyle w:val="TOC1"/>
        <w:spacing w:line="360" w:lineRule="auto"/>
        <w:jc w:val="right"/>
        <w:rPr>
          <w:rFonts w:eastAsiaTheme="minorEastAsia"/>
        </w:rPr>
      </w:pPr>
    </w:p>
    <w:p w14:paraId="7A1566F2" w14:textId="77777777" w:rsidR="002938B2" w:rsidRPr="00FD425F" w:rsidRDefault="002938B2" w:rsidP="002938B2">
      <w:pPr>
        <w:rPr>
          <w:b/>
          <w:bCs/>
          <w:sz w:val="28"/>
          <w:szCs w:val="36"/>
          <w:lang w:val="zh-CN" w:bidi="zh-CN"/>
        </w:rPr>
      </w:pPr>
      <w:r w:rsidRPr="00FD425F">
        <w:rPr>
          <w:rFonts w:hint="eastAsia"/>
          <w:b/>
          <w:bCs/>
          <w:sz w:val="28"/>
          <w:szCs w:val="36"/>
          <w:lang w:val="zh-CN" w:bidi="zh-CN"/>
        </w:rPr>
        <w:t>三、评审办法</w:t>
      </w:r>
    </w:p>
    <w:p w14:paraId="221B3964" w14:textId="77777777" w:rsidR="002938B2" w:rsidRDefault="002938B2" w:rsidP="002938B2">
      <w:pPr>
        <w:pStyle w:val="2"/>
        <w:jc w:val="center"/>
        <w:rPr>
          <w:rFonts w:ascii="仿宋" w:eastAsia="仿宋" w:hAnsi="仿宋" w:cs="仿宋"/>
        </w:rPr>
      </w:pPr>
      <w:bookmarkStart w:id="0" w:name="_Toc30260"/>
      <w:r>
        <w:rPr>
          <w:rFonts w:ascii="仿宋" w:eastAsia="仿宋" w:hAnsi="仿宋" w:cs="仿宋" w:hint="eastAsia"/>
        </w:rPr>
        <w:t>一、价格评分</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9"/>
        <w:gridCol w:w="1033"/>
      </w:tblGrid>
      <w:tr w:rsidR="002938B2" w14:paraId="1D7E4D2B" w14:textId="77777777" w:rsidTr="00A26B9D">
        <w:trPr>
          <w:trHeight w:val="624"/>
        </w:trPr>
        <w:tc>
          <w:tcPr>
            <w:tcW w:w="4394" w:type="pct"/>
            <w:vAlign w:val="center"/>
          </w:tcPr>
          <w:p w14:paraId="09758554" w14:textId="77777777" w:rsidR="002938B2" w:rsidRDefault="002938B2" w:rsidP="00A26B9D">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b/>
                <w:bCs/>
                <w:sz w:val="24"/>
              </w:rPr>
              <w:t>评审内容</w:t>
            </w:r>
          </w:p>
        </w:tc>
        <w:tc>
          <w:tcPr>
            <w:tcW w:w="606" w:type="pct"/>
            <w:vAlign w:val="center"/>
          </w:tcPr>
          <w:p w14:paraId="7C888C61" w14:textId="77777777" w:rsidR="002938B2" w:rsidRDefault="002938B2" w:rsidP="00A26B9D">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b/>
                <w:bCs/>
                <w:sz w:val="24"/>
              </w:rPr>
              <w:t>分值</w:t>
            </w:r>
          </w:p>
        </w:tc>
      </w:tr>
      <w:tr w:rsidR="002938B2" w14:paraId="2DB1539A" w14:textId="77777777" w:rsidTr="00A26B9D">
        <w:trPr>
          <w:trHeight w:val="838"/>
        </w:trPr>
        <w:tc>
          <w:tcPr>
            <w:tcW w:w="4394" w:type="pct"/>
            <w:vAlign w:val="center"/>
          </w:tcPr>
          <w:p w14:paraId="11631BB4" w14:textId="77777777" w:rsidR="002938B2" w:rsidRDefault="002938B2" w:rsidP="00A26B9D">
            <w:pPr>
              <w:spacing w:line="500" w:lineRule="atLeast"/>
              <w:ind w:firstLineChars="150" w:firstLine="360"/>
              <w:rPr>
                <w:rFonts w:asciiTheme="minorEastAsia" w:eastAsiaTheme="minorEastAsia" w:hAnsiTheme="minorEastAsia" w:cs="仿宋"/>
                <w:bCs/>
                <w:sz w:val="24"/>
              </w:rPr>
            </w:pPr>
            <w:r>
              <w:rPr>
                <w:rFonts w:asciiTheme="minorEastAsia" w:eastAsiaTheme="minorEastAsia" w:hAnsiTheme="minorEastAsia" w:cs="仿宋" w:hint="eastAsia"/>
                <w:bCs/>
                <w:sz w:val="24"/>
              </w:rPr>
              <w:t>价格分采用低价优先法计算，即满足招标文件要求且投标价格最低的投标报价为评标基准价，其价格分为满分。其他投标人的价格</w:t>
            </w:r>
            <w:proofErr w:type="gramStart"/>
            <w:r>
              <w:rPr>
                <w:rFonts w:asciiTheme="minorEastAsia" w:eastAsiaTheme="minorEastAsia" w:hAnsiTheme="minorEastAsia" w:cs="仿宋" w:hint="eastAsia"/>
                <w:bCs/>
                <w:sz w:val="24"/>
              </w:rPr>
              <w:t>分统一</w:t>
            </w:r>
            <w:proofErr w:type="gramEnd"/>
            <w:r>
              <w:rPr>
                <w:rFonts w:asciiTheme="minorEastAsia" w:eastAsiaTheme="minorEastAsia" w:hAnsiTheme="minorEastAsia" w:cs="仿宋" w:hint="eastAsia"/>
                <w:bCs/>
                <w:sz w:val="24"/>
              </w:rPr>
              <w:t>按下列公式计算：</w:t>
            </w:r>
          </w:p>
          <w:p w14:paraId="222A7AE5" w14:textId="77777777" w:rsidR="002938B2" w:rsidRPr="003E18BE" w:rsidRDefault="002938B2" w:rsidP="00A26B9D">
            <w:pPr>
              <w:spacing w:line="500" w:lineRule="atLeast"/>
              <w:rPr>
                <w:rFonts w:asciiTheme="minorEastAsia" w:eastAsiaTheme="minorEastAsia" w:hAnsiTheme="minorEastAsia" w:cs="仿宋"/>
                <w:sz w:val="24"/>
              </w:rPr>
            </w:pPr>
            <w:r>
              <w:rPr>
                <w:rFonts w:asciiTheme="minorEastAsia" w:eastAsiaTheme="minorEastAsia" w:hAnsiTheme="minorEastAsia" w:cs="仿宋" w:hint="eastAsia"/>
                <w:bCs/>
                <w:sz w:val="24"/>
              </w:rPr>
              <w:t>投标报价得分=（评标基准价/投标报价）×</w:t>
            </w:r>
            <w:r>
              <w:rPr>
                <w:rFonts w:asciiTheme="minorEastAsia" w:eastAsiaTheme="minorEastAsia" w:hAnsiTheme="minorEastAsia" w:cs="仿宋"/>
                <w:sz w:val="24"/>
              </w:rPr>
              <w:t>30</w:t>
            </w:r>
            <w:r>
              <w:rPr>
                <w:rFonts w:asciiTheme="minorEastAsia" w:eastAsiaTheme="minorEastAsia" w:hAnsiTheme="minorEastAsia" w:cs="仿宋" w:hint="eastAsia"/>
                <w:bCs/>
                <w:sz w:val="24"/>
              </w:rPr>
              <w:t>分</w:t>
            </w:r>
          </w:p>
        </w:tc>
        <w:tc>
          <w:tcPr>
            <w:tcW w:w="606" w:type="pct"/>
            <w:vAlign w:val="center"/>
          </w:tcPr>
          <w:p w14:paraId="52B96700" w14:textId="77777777" w:rsidR="002938B2" w:rsidRDefault="002938B2" w:rsidP="00A26B9D">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sz w:val="24"/>
              </w:rPr>
              <w:t>30</w:t>
            </w:r>
            <w:r>
              <w:rPr>
                <w:rFonts w:asciiTheme="minorEastAsia" w:eastAsiaTheme="minorEastAsia" w:hAnsiTheme="minorEastAsia" w:cs="仿宋" w:hint="eastAsia"/>
                <w:bCs/>
                <w:sz w:val="24"/>
              </w:rPr>
              <w:t>分</w:t>
            </w:r>
          </w:p>
        </w:tc>
      </w:tr>
    </w:tbl>
    <w:p w14:paraId="06E1044E" w14:textId="77777777" w:rsidR="002938B2" w:rsidRDefault="002938B2" w:rsidP="002938B2">
      <w:pPr>
        <w:spacing w:line="500" w:lineRule="atLeast"/>
        <w:rPr>
          <w:rFonts w:asciiTheme="minorEastAsia" w:eastAsiaTheme="minorEastAsia" w:hAnsiTheme="minorEastAsia" w:cs="仿宋"/>
          <w:sz w:val="24"/>
        </w:rPr>
      </w:pPr>
    </w:p>
    <w:p w14:paraId="016ED126" w14:textId="77777777" w:rsidR="002938B2" w:rsidRDefault="002938B2" w:rsidP="002938B2">
      <w:pPr>
        <w:pStyle w:val="2"/>
        <w:jc w:val="center"/>
        <w:rPr>
          <w:rFonts w:ascii="仿宋" w:eastAsia="仿宋" w:hAnsi="仿宋" w:cs="仿宋"/>
        </w:rPr>
      </w:pPr>
      <w:bookmarkStart w:id="1" w:name="_Toc27161"/>
      <w:r>
        <w:rPr>
          <w:rFonts w:ascii="仿宋" w:eastAsia="仿宋" w:hAnsi="仿宋" w:cs="仿宋" w:hint="eastAsia"/>
        </w:rPr>
        <w:t>二、技术评</w:t>
      </w:r>
      <w:bookmarkEnd w:id="1"/>
      <w:r>
        <w:rPr>
          <w:rFonts w:ascii="仿宋" w:eastAsia="仿宋" w:hAnsi="仿宋" w:cs="仿宋" w:hint="eastAsia"/>
        </w:rPr>
        <w:t>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82"/>
        <w:gridCol w:w="982"/>
      </w:tblGrid>
      <w:tr w:rsidR="002938B2" w14:paraId="7A758BD1" w14:textId="77777777" w:rsidTr="00A26B9D">
        <w:trPr>
          <w:trHeight w:val="465"/>
        </w:trPr>
        <w:tc>
          <w:tcPr>
            <w:tcW w:w="1090" w:type="pct"/>
            <w:vAlign w:val="center"/>
          </w:tcPr>
          <w:p w14:paraId="135A43BF" w14:textId="77777777" w:rsidR="002938B2" w:rsidRDefault="002938B2" w:rsidP="00A26B9D">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评分点</w:t>
            </w:r>
          </w:p>
        </w:tc>
        <w:tc>
          <w:tcPr>
            <w:tcW w:w="3334" w:type="pct"/>
            <w:vAlign w:val="center"/>
          </w:tcPr>
          <w:p w14:paraId="08E5BEEC" w14:textId="77777777" w:rsidR="002938B2" w:rsidRDefault="002938B2" w:rsidP="00A26B9D">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评审内容</w:t>
            </w:r>
          </w:p>
        </w:tc>
        <w:tc>
          <w:tcPr>
            <w:tcW w:w="577" w:type="pct"/>
            <w:vAlign w:val="center"/>
          </w:tcPr>
          <w:p w14:paraId="70DA1C1E" w14:textId="77777777" w:rsidR="002938B2" w:rsidRDefault="002938B2" w:rsidP="00A26B9D">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总分值</w:t>
            </w:r>
          </w:p>
        </w:tc>
      </w:tr>
      <w:tr w:rsidR="002938B2" w14:paraId="7F751298" w14:textId="77777777" w:rsidTr="00A26B9D">
        <w:trPr>
          <w:trHeight w:val="438"/>
        </w:trPr>
        <w:tc>
          <w:tcPr>
            <w:tcW w:w="1090" w:type="pct"/>
            <w:vAlign w:val="center"/>
          </w:tcPr>
          <w:p w14:paraId="0A81BC27" w14:textId="77777777" w:rsidR="002938B2" w:rsidRDefault="002938B2" w:rsidP="00A26B9D">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sz w:val="24"/>
              </w:rPr>
              <w:t>符合性审查</w:t>
            </w:r>
          </w:p>
        </w:tc>
        <w:tc>
          <w:tcPr>
            <w:tcW w:w="3334" w:type="pct"/>
          </w:tcPr>
          <w:p w14:paraId="2E1BD4F3" w14:textId="77777777" w:rsidR="002938B2" w:rsidRDefault="002938B2" w:rsidP="00A26B9D">
            <w:pPr>
              <w:spacing w:line="500" w:lineRule="atLeast"/>
              <w:rPr>
                <w:rFonts w:asciiTheme="minorEastAsia" w:eastAsiaTheme="minorEastAsia" w:hAnsiTheme="minorEastAsia" w:cs="仿宋"/>
                <w:bCs/>
                <w:sz w:val="24"/>
              </w:rPr>
            </w:pPr>
            <w:r>
              <w:rPr>
                <w:rFonts w:asciiTheme="minorEastAsia" w:eastAsiaTheme="minorEastAsia" w:hAnsiTheme="minorEastAsia" w:cs="仿宋" w:hint="eastAsia"/>
                <w:bCs/>
                <w:sz w:val="24"/>
              </w:rPr>
              <w:t>投标人须完全满足以上所有内容，任意一条不满足作无效投标处理。</w:t>
            </w:r>
          </w:p>
          <w:p w14:paraId="7CC52B44" w14:textId="77777777" w:rsidR="002938B2" w:rsidRDefault="002938B2" w:rsidP="00A26B9D">
            <w:pPr>
              <w:spacing w:line="500" w:lineRule="atLeast"/>
              <w:rPr>
                <w:rFonts w:asciiTheme="minorEastAsia" w:eastAsiaTheme="minorEastAsia" w:hAnsiTheme="minorEastAsia" w:cs="仿宋"/>
                <w:bCs/>
                <w:sz w:val="24"/>
              </w:rPr>
            </w:pPr>
            <w:r>
              <w:rPr>
                <w:rFonts w:asciiTheme="minorEastAsia" w:eastAsiaTheme="minorEastAsia" w:hAnsiTheme="minorEastAsia" w:cs="仿宋" w:hint="eastAsia"/>
                <w:b/>
                <w:sz w:val="24"/>
              </w:rPr>
              <w:t>评审依据：投标人提供承诺函，承诺完全满足本项目采购需求，并加盖投标人公章。</w:t>
            </w:r>
          </w:p>
        </w:tc>
        <w:tc>
          <w:tcPr>
            <w:tcW w:w="577" w:type="pct"/>
            <w:vAlign w:val="center"/>
          </w:tcPr>
          <w:p w14:paraId="3319CA5D" w14:textId="77777777" w:rsidR="002938B2" w:rsidRDefault="002938B2" w:rsidP="00A26B9D">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hint="eastAsia"/>
                <w:bCs/>
                <w:sz w:val="24"/>
              </w:rPr>
              <w:t>符合性评审</w:t>
            </w:r>
          </w:p>
        </w:tc>
      </w:tr>
      <w:tr w:rsidR="002938B2" w14:paraId="71B14F13" w14:textId="77777777" w:rsidTr="00A26B9D">
        <w:trPr>
          <w:trHeight w:val="438"/>
        </w:trPr>
        <w:tc>
          <w:tcPr>
            <w:tcW w:w="1090" w:type="pct"/>
            <w:vAlign w:val="center"/>
          </w:tcPr>
          <w:p w14:paraId="495755FE" w14:textId="77777777" w:rsidR="002938B2" w:rsidRPr="00C27098" w:rsidRDefault="002938B2" w:rsidP="00A26B9D">
            <w:pPr>
              <w:spacing w:line="360" w:lineRule="auto"/>
              <w:ind w:firstLineChars="14" w:firstLine="34"/>
              <w:jc w:val="center"/>
              <w:rPr>
                <w:rFonts w:ascii="宋体" w:hAnsi="宋体" w:cs="宋体"/>
                <w:sz w:val="24"/>
              </w:rPr>
            </w:pPr>
            <w:r>
              <w:rPr>
                <w:rFonts w:ascii="宋体" w:hAnsi="宋体" w:cs="宋体" w:hint="eastAsia"/>
                <w:sz w:val="24"/>
              </w:rPr>
              <w:t>品牌知名度、市场占有率</w:t>
            </w:r>
          </w:p>
        </w:tc>
        <w:tc>
          <w:tcPr>
            <w:tcW w:w="3334" w:type="pct"/>
            <w:vAlign w:val="center"/>
          </w:tcPr>
          <w:p w14:paraId="368AC605" w14:textId="77777777" w:rsidR="002938B2" w:rsidRPr="000A4AC4" w:rsidRDefault="002938B2" w:rsidP="00A26B9D">
            <w:pPr>
              <w:spacing w:line="360" w:lineRule="auto"/>
              <w:ind w:firstLineChars="14" w:firstLine="34"/>
              <w:rPr>
                <w:rFonts w:ascii="宋体" w:hAnsi="宋体" w:cs="宋体"/>
                <w:color w:val="000000" w:themeColor="text1"/>
                <w:sz w:val="24"/>
              </w:rPr>
            </w:pPr>
            <w:r>
              <w:rPr>
                <w:rFonts w:ascii="宋体" w:hAnsi="宋体" w:cs="宋体" w:hint="eastAsia"/>
                <w:color w:val="000000" w:themeColor="text1"/>
                <w:sz w:val="24"/>
              </w:rPr>
              <w:t>评审委员会根据所投产品的品牌知名度、市场占有率等因素进行打分，打分区间为0</w:t>
            </w:r>
            <w:r>
              <w:rPr>
                <w:rFonts w:ascii="宋体" w:hAnsi="宋体" w:cs="宋体"/>
                <w:color w:val="000000" w:themeColor="text1"/>
                <w:sz w:val="24"/>
              </w:rPr>
              <w:t>-30</w:t>
            </w:r>
            <w:r>
              <w:rPr>
                <w:rFonts w:ascii="宋体" w:hAnsi="宋体" w:cs="宋体" w:hint="eastAsia"/>
                <w:color w:val="000000" w:themeColor="text1"/>
                <w:sz w:val="24"/>
              </w:rPr>
              <w:t>分。</w:t>
            </w:r>
          </w:p>
        </w:tc>
        <w:tc>
          <w:tcPr>
            <w:tcW w:w="577" w:type="pct"/>
            <w:vAlign w:val="center"/>
          </w:tcPr>
          <w:p w14:paraId="04DB7201" w14:textId="77777777" w:rsidR="002938B2" w:rsidRPr="001864F6" w:rsidRDefault="002938B2" w:rsidP="00A26B9D">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bCs/>
                <w:sz w:val="24"/>
              </w:rPr>
              <w:t>30</w:t>
            </w:r>
            <w:r>
              <w:rPr>
                <w:rFonts w:asciiTheme="minorEastAsia" w:eastAsiaTheme="minorEastAsia" w:hAnsiTheme="minorEastAsia" w:cs="仿宋" w:hint="eastAsia"/>
                <w:bCs/>
                <w:sz w:val="24"/>
              </w:rPr>
              <w:t>分</w:t>
            </w:r>
          </w:p>
        </w:tc>
      </w:tr>
      <w:tr w:rsidR="002938B2" w14:paraId="34F66393" w14:textId="77777777" w:rsidTr="00A26B9D">
        <w:trPr>
          <w:trHeight w:val="438"/>
        </w:trPr>
        <w:tc>
          <w:tcPr>
            <w:tcW w:w="1090" w:type="pct"/>
            <w:vAlign w:val="center"/>
          </w:tcPr>
          <w:p w14:paraId="3A338D61" w14:textId="77777777" w:rsidR="002938B2" w:rsidRPr="00C27098" w:rsidRDefault="002938B2" w:rsidP="00A26B9D">
            <w:pPr>
              <w:spacing w:line="360" w:lineRule="auto"/>
              <w:ind w:firstLineChars="14" w:firstLine="34"/>
              <w:jc w:val="center"/>
              <w:rPr>
                <w:rFonts w:ascii="宋体" w:hAnsi="宋体" w:cs="宋体"/>
                <w:sz w:val="24"/>
              </w:rPr>
            </w:pPr>
            <w:r>
              <w:rPr>
                <w:rFonts w:ascii="宋体" w:hAnsi="宋体" w:cs="宋体" w:hint="eastAsia"/>
                <w:sz w:val="24"/>
              </w:rPr>
              <w:t>产品质量</w:t>
            </w:r>
          </w:p>
        </w:tc>
        <w:tc>
          <w:tcPr>
            <w:tcW w:w="3334" w:type="pct"/>
            <w:vAlign w:val="center"/>
          </w:tcPr>
          <w:p w14:paraId="66C39748" w14:textId="77777777" w:rsidR="002938B2" w:rsidRPr="000A4AC4" w:rsidRDefault="002938B2" w:rsidP="00A26B9D">
            <w:pPr>
              <w:spacing w:line="360" w:lineRule="auto"/>
              <w:ind w:firstLineChars="14" w:firstLine="34"/>
              <w:rPr>
                <w:rFonts w:ascii="宋体" w:hAnsi="宋体" w:cs="宋体"/>
                <w:color w:val="000000" w:themeColor="text1"/>
                <w:sz w:val="24"/>
              </w:rPr>
            </w:pPr>
            <w:r>
              <w:rPr>
                <w:rFonts w:ascii="宋体" w:hAnsi="宋体" w:cs="宋体" w:hint="eastAsia"/>
                <w:color w:val="000000" w:themeColor="text1"/>
                <w:sz w:val="24"/>
              </w:rPr>
              <w:t>投标人在投标文件中提供产品介绍，详细描述产品的主要材质、配件材质、规格、环保等级、甲醛含量等内容，并</w:t>
            </w:r>
            <w:proofErr w:type="gramStart"/>
            <w:r>
              <w:rPr>
                <w:rFonts w:ascii="宋体" w:hAnsi="宋体" w:cs="宋体" w:hint="eastAsia"/>
                <w:color w:val="000000" w:themeColor="text1"/>
                <w:sz w:val="24"/>
              </w:rPr>
              <w:t>配产品</w:t>
            </w:r>
            <w:proofErr w:type="gramEnd"/>
            <w:r>
              <w:rPr>
                <w:rFonts w:ascii="宋体" w:hAnsi="宋体" w:cs="宋体" w:hint="eastAsia"/>
                <w:color w:val="000000" w:themeColor="text1"/>
                <w:sz w:val="24"/>
              </w:rPr>
              <w:t>图片。评审委员会根据以上情况进行</w:t>
            </w:r>
            <w:r>
              <w:rPr>
                <w:rFonts w:ascii="宋体" w:hAnsi="宋体" w:cs="宋体" w:hint="eastAsia"/>
                <w:color w:val="000000" w:themeColor="text1"/>
                <w:sz w:val="24"/>
              </w:rPr>
              <w:lastRenderedPageBreak/>
              <w:t>打分，打分区间为0</w:t>
            </w:r>
            <w:r>
              <w:rPr>
                <w:rFonts w:ascii="宋体" w:hAnsi="宋体" w:cs="宋体"/>
                <w:color w:val="000000" w:themeColor="text1"/>
                <w:sz w:val="24"/>
              </w:rPr>
              <w:t>-30</w:t>
            </w:r>
            <w:r>
              <w:rPr>
                <w:rFonts w:ascii="宋体" w:hAnsi="宋体" w:cs="宋体" w:hint="eastAsia"/>
                <w:color w:val="000000" w:themeColor="text1"/>
                <w:sz w:val="24"/>
              </w:rPr>
              <w:t>分。</w:t>
            </w:r>
          </w:p>
        </w:tc>
        <w:tc>
          <w:tcPr>
            <w:tcW w:w="577" w:type="pct"/>
            <w:vAlign w:val="center"/>
          </w:tcPr>
          <w:p w14:paraId="788F8536" w14:textId="77777777" w:rsidR="002938B2" w:rsidRPr="001864F6" w:rsidRDefault="002938B2" w:rsidP="00A26B9D">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bCs/>
                <w:sz w:val="24"/>
              </w:rPr>
              <w:lastRenderedPageBreak/>
              <w:t>30</w:t>
            </w:r>
            <w:r>
              <w:rPr>
                <w:rFonts w:asciiTheme="minorEastAsia" w:eastAsiaTheme="minorEastAsia" w:hAnsiTheme="minorEastAsia" w:cs="仿宋" w:hint="eastAsia"/>
                <w:bCs/>
                <w:sz w:val="24"/>
              </w:rPr>
              <w:t>分</w:t>
            </w:r>
          </w:p>
        </w:tc>
      </w:tr>
    </w:tbl>
    <w:p w14:paraId="6B56DB16" w14:textId="77777777" w:rsidR="002938B2" w:rsidRDefault="002938B2" w:rsidP="002938B2">
      <w:pPr>
        <w:spacing w:line="500" w:lineRule="atLeast"/>
        <w:rPr>
          <w:rFonts w:asciiTheme="minorEastAsia" w:eastAsiaTheme="minorEastAsia" w:hAnsiTheme="minorEastAsia" w:cs="仿宋"/>
          <w:sz w:val="24"/>
        </w:rPr>
      </w:pPr>
    </w:p>
    <w:p w14:paraId="7E1FCF47" w14:textId="77777777" w:rsidR="002938B2" w:rsidRDefault="002938B2" w:rsidP="002938B2">
      <w:pPr>
        <w:pStyle w:val="2"/>
        <w:jc w:val="center"/>
        <w:rPr>
          <w:rFonts w:ascii="仿宋" w:eastAsia="仿宋" w:hAnsi="仿宋" w:cs="仿宋"/>
        </w:rPr>
      </w:pPr>
      <w:bookmarkStart w:id="2" w:name="_Toc13691"/>
      <w:r>
        <w:rPr>
          <w:rFonts w:ascii="仿宋" w:eastAsia="仿宋" w:hAnsi="仿宋" w:cs="仿宋" w:hint="eastAsia"/>
        </w:rPr>
        <w:t>三、商务评</w:t>
      </w:r>
      <w:bookmarkEnd w:id="2"/>
      <w:r>
        <w:rPr>
          <w:rFonts w:ascii="仿宋" w:eastAsia="仿宋" w:hAnsi="仿宋" w:cs="仿宋" w:hint="eastAsia"/>
        </w:rPr>
        <w:t>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82"/>
        <w:gridCol w:w="982"/>
      </w:tblGrid>
      <w:tr w:rsidR="002938B2" w14:paraId="692806BC" w14:textId="77777777" w:rsidTr="00A26B9D">
        <w:trPr>
          <w:trHeight w:val="465"/>
        </w:trPr>
        <w:tc>
          <w:tcPr>
            <w:tcW w:w="1090" w:type="pct"/>
            <w:vAlign w:val="center"/>
          </w:tcPr>
          <w:p w14:paraId="255FD367" w14:textId="77777777" w:rsidR="002938B2" w:rsidRDefault="002938B2" w:rsidP="00A26B9D">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评分点</w:t>
            </w:r>
          </w:p>
        </w:tc>
        <w:tc>
          <w:tcPr>
            <w:tcW w:w="3334" w:type="pct"/>
            <w:vAlign w:val="center"/>
          </w:tcPr>
          <w:p w14:paraId="683DCC97" w14:textId="77777777" w:rsidR="002938B2" w:rsidRDefault="002938B2" w:rsidP="00A26B9D">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评审内容</w:t>
            </w:r>
          </w:p>
        </w:tc>
        <w:tc>
          <w:tcPr>
            <w:tcW w:w="577" w:type="pct"/>
            <w:vAlign w:val="center"/>
          </w:tcPr>
          <w:p w14:paraId="25DEA336" w14:textId="77777777" w:rsidR="002938B2" w:rsidRDefault="002938B2" w:rsidP="00A26B9D">
            <w:pPr>
              <w:spacing w:line="500" w:lineRule="atLeas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总分值</w:t>
            </w:r>
          </w:p>
        </w:tc>
      </w:tr>
      <w:tr w:rsidR="002938B2" w14:paraId="3CC9D52B" w14:textId="77777777" w:rsidTr="00A26B9D">
        <w:trPr>
          <w:trHeight w:val="438"/>
        </w:trPr>
        <w:tc>
          <w:tcPr>
            <w:tcW w:w="1090" w:type="pct"/>
            <w:vAlign w:val="center"/>
          </w:tcPr>
          <w:p w14:paraId="3F975C5F" w14:textId="77777777" w:rsidR="002938B2" w:rsidRDefault="002938B2" w:rsidP="00A26B9D">
            <w:pPr>
              <w:spacing w:line="500" w:lineRule="atLeast"/>
              <w:jc w:val="center"/>
              <w:rPr>
                <w:rFonts w:asciiTheme="minorEastAsia" w:eastAsiaTheme="minorEastAsia" w:hAnsiTheme="minorEastAsia" w:cs="仿宋"/>
                <w:sz w:val="24"/>
              </w:rPr>
            </w:pPr>
            <w:r>
              <w:rPr>
                <w:rFonts w:asciiTheme="minorEastAsia" w:eastAsiaTheme="minorEastAsia" w:hAnsiTheme="minorEastAsia" w:cs="仿宋" w:hint="eastAsia"/>
                <w:sz w:val="24"/>
              </w:rPr>
              <w:t>质保期</w:t>
            </w:r>
          </w:p>
        </w:tc>
        <w:tc>
          <w:tcPr>
            <w:tcW w:w="3334" w:type="pct"/>
          </w:tcPr>
          <w:p w14:paraId="2CBF8EF1" w14:textId="77777777" w:rsidR="002938B2" w:rsidRDefault="002938B2" w:rsidP="00A26B9D">
            <w:pPr>
              <w:spacing w:line="500" w:lineRule="atLeast"/>
              <w:rPr>
                <w:rFonts w:asciiTheme="minorEastAsia" w:eastAsiaTheme="minorEastAsia" w:hAnsiTheme="minorEastAsia" w:cs="仿宋"/>
                <w:bCs/>
                <w:sz w:val="24"/>
              </w:rPr>
            </w:pPr>
            <w:r>
              <w:rPr>
                <w:rFonts w:asciiTheme="minorEastAsia" w:eastAsiaTheme="minorEastAsia" w:hAnsiTheme="minorEastAsia" w:cs="仿宋" w:hint="eastAsia"/>
                <w:bCs/>
                <w:sz w:val="24"/>
              </w:rPr>
              <w:t>在基础1年质保期的基础上，每增加1年加</w:t>
            </w:r>
            <w:r>
              <w:rPr>
                <w:rFonts w:asciiTheme="minorEastAsia" w:eastAsiaTheme="minorEastAsia" w:hAnsiTheme="minorEastAsia" w:cs="仿宋"/>
                <w:bCs/>
                <w:sz w:val="24"/>
              </w:rPr>
              <w:t>2</w:t>
            </w:r>
            <w:r>
              <w:rPr>
                <w:rFonts w:asciiTheme="minorEastAsia" w:eastAsiaTheme="minorEastAsia" w:hAnsiTheme="minorEastAsia" w:cs="仿宋" w:hint="eastAsia"/>
                <w:bCs/>
                <w:sz w:val="24"/>
              </w:rPr>
              <w:t>分，最多加</w:t>
            </w:r>
            <w:r>
              <w:rPr>
                <w:rFonts w:asciiTheme="minorEastAsia" w:eastAsiaTheme="minorEastAsia" w:hAnsiTheme="minorEastAsia" w:cs="仿宋"/>
                <w:bCs/>
                <w:sz w:val="24"/>
              </w:rPr>
              <w:t>10</w:t>
            </w:r>
            <w:r>
              <w:rPr>
                <w:rFonts w:asciiTheme="minorEastAsia" w:eastAsiaTheme="minorEastAsia" w:hAnsiTheme="minorEastAsia" w:cs="仿宋" w:hint="eastAsia"/>
                <w:bCs/>
                <w:sz w:val="24"/>
              </w:rPr>
              <w:t>分。</w:t>
            </w:r>
            <w:r w:rsidRPr="00A22862">
              <w:rPr>
                <w:rFonts w:asciiTheme="minorEastAsia" w:eastAsiaTheme="minorEastAsia" w:hAnsiTheme="minorEastAsia" w:cs="仿宋" w:hint="eastAsia"/>
                <w:b/>
                <w:sz w:val="24"/>
              </w:rPr>
              <w:t>投标人在投标文件中提供质保期承诺函并加盖投标人公章</w:t>
            </w:r>
            <w:r>
              <w:rPr>
                <w:rFonts w:asciiTheme="minorEastAsia" w:eastAsiaTheme="minorEastAsia" w:hAnsiTheme="minorEastAsia" w:cs="仿宋" w:hint="eastAsia"/>
                <w:b/>
                <w:sz w:val="24"/>
              </w:rPr>
              <w:t>。</w:t>
            </w:r>
          </w:p>
        </w:tc>
        <w:tc>
          <w:tcPr>
            <w:tcW w:w="577" w:type="pct"/>
            <w:vAlign w:val="center"/>
          </w:tcPr>
          <w:p w14:paraId="4BDB72A4" w14:textId="77777777" w:rsidR="002938B2" w:rsidRDefault="002938B2" w:rsidP="00A26B9D">
            <w:pPr>
              <w:spacing w:line="500" w:lineRule="atLeast"/>
              <w:jc w:val="center"/>
              <w:rPr>
                <w:rFonts w:asciiTheme="minorEastAsia" w:eastAsiaTheme="minorEastAsia" w:hAnsiTheme="minorEastAsia" w:cs="仿宋"/>
                <w:bCs/>
                <w:sz w:val="24"/>
              </w:rPr>
            </w:pPr>
            <w:r>
              <w:rPr>
                <w:rFonts w:asciiTheme="minorEastAsia" w:eastAsiaTheme="minorEastAsia" w:hAnsiTheme="minorEastAsia" w:cs="仿宋"/>
                <w:bCs/>
                <w:sz w:val="24"/>
              </w:rPr>
              <w:t>10</w:t>
            </w:r>
            <w:r>
              <w:rPr>
                <w:rFonts w:asciiTheme="minorEastAsia" w:eastAsiaTheme="minorEastAsia" w:hAnsiTheme="minorEastAsia" w:cs="仿宋" w:hint="eastAsia"/>
                <w:bCs/>
                <w:sz w:val="24"/>
              </w:rPr>
              <w:t>分</w:t>
            </w:r>
          </w:p>
        </w:tc>
      </w:tr>
    </w:tbl>
    <w:p w14:paraId="2603B96D" w14:textId="77777777" w:rsidR="002938B2" w:rsidRDefault="002938B2" w:rsidP="002938B2">
      <w:pPr>
        <w:spacing w:line="500" w:lineRule="atLeast"/>
        <w:rPr>
          <w:rFonts w:asciiTheme="minorEastAsia" w:eastAsiaTheme="minorEastAsia" w:hAnsiTheme="minorEastAsia" w:cs="仿宋"/>
          <w:sz w:val="24"/>
        </w:rPr>
      </w:pPr>
    </w:p>
    <w:p w14:paraId="703D488E" w14:textId="77777777" w:rsidR="002938B2" w:rsidRPr="002938B2" w:rsidRDefault="002938B2" w:rsidP="002938B2">
      <w:pPr>
        <w:rPr>
          <w:rFonts w:hint="eastAsia"/>
          <w:lang w:val="zh-CN" w:bidi="zh-CN"/>
        </w:rPr>
      </w:pPr>
    </w:p>
    <w:sectPr w:rsidR="002938B2" w:rsidRPr="002938B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CF5B" w14:textId="77777777" w:rsidR="00EA4C7E" w:rsidRDefault="00EA4C7E">
      <w:r>
        <w:separator/>
      </w:r>
    </w:p>
  </w:endnote>
  <w:endnote w:type="continuationSeparator" w:id="0">
    <w:p w14:paraId="2D7E07AE" w14:textId="77777777" w:rsidR="00EA4C7E" w:rsidRDefault="00EA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B00" w14:textId="77777777" w:rsidR="00DF48CE" w:rsidRDefault="002938B2">
    <w:pPr>
      <w:pStyle w:val="a5"/>
    </w:pPr>
    <w:r>
      <w:rPr>
        <w:noProof/>
      </w:rPr>
      <mc:AlternateContent>
        <mc:Choice Requires="wps">
          <w:drawing>
            <wp:anchor distT="0" distB="0" distL="114300" distR="114300" simplePos="0" relativeHeight="251659264" behindDoc="0" locked="0" layoutInCell="1" allowOverlap="1" wp14:anchorId="645A8C8B" wp14:editId="00CE9D4C">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79E2" w14:textId="77777777" w:rsidR="00DF48CE" w:rsidRDefault="002938B2">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A8C8B" id="_x0000_t202" coordsize="21600,21600" o:spt="202" path="m,l,21600r21600,l21600,xe">
              <v:stroke joinstyle="miter"/>
              <v:path gradientshapeok="t" o:connecttype="rect"/>
            </v:shapetype>
            <v:shape id="文本框 3" o:spid="_x0000_s1034"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5B79E2" w14:textId="77777777" w:rsidR="00DF48CE" w:rsidRDefault="002938B2">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CFF2" w14:textId="77777777" w:rsidR="00EA4C7E" w:rsidRDefault="00EA4C7E">
      <w:r>
        <w:separator/>
      </w:r>
    </w:p>
  </w:footnote>
  <w:footnote w:type="continuationSeparator" w:id="0">
    <w:p w14:paraId="00E83FE1" w14:textId="77777777" w:rsidR="00EA4C7E" w:rsidRDefault="00EA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7E1B"/>
    <w:multiLevelType w:val="multilevel"/>
    <w:tmpl w:val="289B7E1B"/>
    <w:lvl w:ilvl="0">
      <w:start w:val="3"/>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A6E36D"/>
    <w:multiLevelType w:val="singleLevel"/>
    <w:tmpl w:val="37A6E36D"/>
    <w:lvl w:ilvl="0">
      <w:start w:val="2"/>
      <w:numFmt w:val="decimal"/>
      <w:suff w:val="nothing"/>
      <w:lvlText w:val="%1、"/>
      <w:lvlJc w:val="left"/>
    </w:lvl>
  </w:abstractNum>
  <w:num w:numId="1" w16cid:durableId="380978912">
    <w:abstractNumId w:val="0"/>
  </w:num>
  <w:num w:numId="2" w16cid:durableId="188332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RhNWU1OWIwNjBkOGUwZjM1MmMzZjdjNmE4OGQzODMifQ=="/>
  </w:docVars>
  <w:rsids>
    <w:rsidRoot w:val="75FC4393"/>
    <w:rsid w:val="0006182F"/>
    <w:rsid w:val="001D63A8"/>
    <w:rsid w:val="002938B2"/>
    <w:rsid w:val="003D7F36"/>
    <w:rsid w:val="00405F55"/>
    <w:rsid w:val="00482C8E"/>
    <w:rsid w:val="00487576"/>
    <w:rsid w:val="00650A6E"/>
    <w:rsid w:val="0082089F"/>
    <w:rsid w:val="00892CEC"/>
    <w:rsid w:val="008F010F"/>
    <w:rsid w:val="00A97CD2"/>
    <w:rsid w:val="00AC4D98"/>
    <w:rsid w:val="00C810CA"/>
    <w:rsid w:val="00DA507F"/>
    <w:rsid w:val="00DF48CE"/>
    <w:rsid w:val="00EA383B"/>
    <w:rsid w:val="00EA38D7"/>
    <w:rsid w:val="00EA4C7E"/>
    <w:rsid w:val="00F63275"/>
    <w:rsid w:val="00F80F59"/>
    <w:rsid w:val="05506336"/>
    <w:rsid w:val="07E431DB"/>
    <w:rsid w:val="096D549E"/>
    <w:rsid w:val="0B073BA9"/>
    <w:rsid w:val="0B18540E"/>
    <w:rsid w:val="0B384F2E"/>
    <w:rsid w:val="0DA22459"/>
    <w:rsid w:val="0DB73F07"/>
    <w:rsid w:val="11807309"/>
    <w:rsid w:val="11842C6F"/>
    <w:rsid w:val="161128A5"/>
    <w:rsid w:val="16B36687"/>
    <w:rsid w:val="1A9F6EF8"/>
    <w:rsid w:val="1AAA18D0"/>
    <w:rsid w:val="1D5A3F64"/>
    <w:rsid w:val="1E4A3F79"/>
    <w:rsid w:val="1F424D24"/>
    <w:rsid w:val="20DD4FF9"/>
    <w:rsid w:val="21392DE5"/>
    <w:rsid w:val="224D62E5"/>
    <w:rsid w:val="23EC7403"/>
    <w:rsid w:val="26096CD3"/>
    <w:rsid w:val="26BD35C1"/>
    <w:rsid w:val="26F47BE8"/>
    <w:rsid w:val="27B41FEF"/>
    <w:rsid w:val="28853912"/>
    <w:rsid w:val="2DE21587"/>
    <w:rsid w:val="34A91AC3"/>
    <w:rsid w:val="362928D1"/>
    <w:rsid w:val="3703214D"/>
    <w:rsid w:val="39053455"/>
    <w:rsid w:val="3E9B2956"/>
    <w:rsid w:val="4B371306"/>
    <w:rsid w:val="509613D0"/>
    <w:rsid w:val="50EC533A"/>
    <w:rsid w:val="51617028"/>
    <w:rsid w:val="53537782"/>
    <w:rsid w:val="578F25E2"/>
    <w:rsid w:val="57A46057"/>
    <w:rsid w:val="5A663D2E"/>
    <w:rsid w:val="5C310E19"/>
    <w:rsid w:val="5F691FEE"/>
    <w:rsid w:val="5FCF6221"/>
    <w:rsid w:val="60871BE9"/>
    <w:rsid w:val="62896249"/>
    <w:rsid w:val="64A35BBE"/>
    <w:rsid w:val="653773DC"/>
    <w:rsid w:val="673C3E94"/>
    <w:rsid w:val="689A2A3C"/>
    <w:rsid w:val="6F520294"/>
    <w:rsid w:val="75FC4393"/>
    <w:rsid w:val="76C459DC"/>
    <w:rsid w:val="78B55242"/>
    <w:rsid w:val="7EA3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E8C43C"/>
  <w15:docId w15:val="{CDA11F0D-273B-474F-904C-F9641D3A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paragraph" w:styleId="2">
    <w:name w:val="heading 2"/>
    <w:basedOn w:val="a"/>
    <w:next w:val="a"/>
    <w:link w:val="20"/>
    <w:qFormat/>
    <w:rsid w:val="002938B2"/>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1"/>
    <w:qFormat/>
    <w:pPr>
      <w:spacing w:line="307" w:lineRule="exact"/>
      <w:ind w:left="97"/>
      <w:jc w:val="center"/>
    </w:pPr>
    <w:rPr>
      <w:rFonts w:ascii="Microsoft JhengHei" w:eastAsia="Microsoft JhengHei" w:hAnsi="Microsoft JhengHei" w:cs="Microsoft JhengHei"/>
      <w:b/>
      <w:bCs/>
      <w:szCs w:val="21"/>
      <w:lang w:val="zh-CN" w:bidi="zh-CN"/>
    </w:rPr>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a8"/>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paragraph" w:styleId="ab">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1"/>
      <w:szCs w:val="21"/>
      <w:u w:val="none"/>
    </w:rPr>
  </w:style>
  <w:style w:type="paragraph" w:customStyle="1" w:styleId="TableParagraph">
    <w:name w:val="Table Paragraph"/>
    <w:basedOn w:val="a"/>
    <w:uiPriority w:val="1"/>
    <w:qFormat/>
    <w:rPr>
      <w:rFonts w:ascii="宋体" w:hAnsi="宋体" w:cs="宋体"/>
      <w:lang w:val="zh-CN" w:bidi="zh-CN"/>
    </w:rPr>
  </w:style>
  <w:style w:type="character" w:customStyle="1" w:styleId="a4">
    <w:name w:val="批注文字 字符"/>
    <w:basedOn w:val="a0"/>
    <w:link w:val="a3"/>
    <w:qFormat/>
    <w:rPr>
      <w:kern w:val="2"/>
      <w:sz w:val="21"/>
      <w:szCs w:val="24"/>
    </w:rPr>
  </w:style>
  <w:style w:type="character" w:customStyle="1" w:styleId="a8">
    <w:name w:val="批注主题 字符"/>
    <w:basedOn w:val="a4"/>
    <w:link w:val="a7"/>
    <w:rPr>
      <w:b/>
      <w:bCs/>
      <w:kern w:val="2"/>
      <w:sz w:val="21"/>
      <w:szCs w:val="24"/>
    </w:rPr>
  </w:style>
  <w:style w:type="character" w:customStyle="1" w:styleId="20">
    <w:name w:val="标题 2 字符"/>
    <w:basedOn w:val="a0"/>
    <w:link w:val="2"/>
    <w:qFormat/>
    <w:rsid w:val="002938B2"/>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5B41A-18AF-4D11-B4C5-E6F452D8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 万</cp:lastModifiedBy>
  <cp:revision>12</cp:revision>
  <cp:lastPrinted>2021-06-03T08:36:00Z</cp:lastPrinted>
  <dcterms:created xsi:type="dcterms:W3CDTF">2021-06-03T06:23:00Z</dcterms:created>
  <dcterms:modified xsi:type="dcterms:W3CDTF">2023-05-08T07:19:00Z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695F70FA6FE04FA58690826D643F2537</vt:lpwstr>
  </property>
</Properties>
</file>