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9F2A6" w14:textId="17FD99BC" w:rsidR="001903EB" w:rsidRPr="001903EB" w:rsidRDefault="001903EB" w:rsidP="001903EB">
      <w:pPr>
        <w:ind w:firstLine="720"/>
        <w:rPr>
          <w:rFonts w:ascii="仿宋" w:eastAsia="仿宋" w:hAnsi="仿宋"/>
          <w:sz w:val="28"/>
          <w:szCs w:val="28"/>
        </w:rPr>
      </w:pPr>
    </w:p>
    <w:tbl>
      <w:tblPr>
        <w:tblStyle w:val="a5"/>
        <w:tblpPr w:leftFromText="180" w:rightFromText="180" w:vertAnchor="text" w:horzAnchor="margin" w:tblpY="123"/>
        <w:tblOverlap w:val="never"/>
        <w:tblW w:w="8500" w:type="dxa"/>
        <w:tblLayout w:type="fixed"/>
        <w:tblLook w:val="04A0" w:firstRow="1" w:lastRow="0" w:firstColumn="1" w:lastColumn="0" w:noHBand="0" w:noVBand="1"/>
      </w:tblPr>
      <w:tblGrid>
        <w:gridCol w:w="2047"/>
        <w:gridCol w:w="765"/>
        <w:gridCol w:w="4271"/>
        <w:gridCol w:w="1417"/>
      </w:tblGrid>
      <w:tr w:rsidR="007C2139" w:rsidRPr="001903EB" w14:paraId="5ED3C0D9" w14:textId="77777777" w:rsidTr="007C2139">
        <w:trPr>
          <w:trHeight w:val="618"/>
        </w:trPr>
        <w:tc>
          <w:tcPr>
            <w:tcW w:w="2047" w:type="dxa"/>
            <w:vAlign w:val="center"/>
          </w:tcPr>
          <w:p w14:paraId="1DE69B7B" w14:textId="77777777" w:rsidR="007C2139" w:rsidRPr="001903EB" w:rsidRDefault="007C2139" w:rsidP="007C2139">
            <w:pPr>
              <w:jc w:val="center"/>
              <w:rPr>
                <w:rFonts w:ascii="仿宋" w:eastAsia="仿宋" w:hAnsi="仿宋"/>
                <w:sz w:val="24"/>
                <w:szCs w:val="24"/>
              </w:rPr>
            </w:pPr>
            <w:r w:rsidRPr="001903EB">
              <w:rPr>
                <w:rFonts w:ascii="仿宋" w:eastAsia="仿宋" w:hAnsi="仿宋" w:hint="eastAsia"/>
                <w:sz w:val="24"/>
                <w:szCs w:val="24"/>
              </w:rPr>
              <w:t>软件名称</w:t>
            </w:r>
          </w:p>
        </w:tc>
        <w:tc>
          <w:tcPr>
            <w:tcW w:w="765" w:type="dxa"/>
            <w:vAlign w:val="center"/>
          </w:tcPr>
          <w:p w14:paraId="32E78B89" w14:textId="77777777" w:rsidR="007C2139" w:rsidRPr="001903EB" w:rsidRDefault="007C2139" w:rsidP="007C2139">
            <w:pPr>
              <w:jc w:val="center"/>
              <w:rPr>
                <w:rFonts w:ascii="仿宋" w:eastAsia="仿宋" w:hAnsi="仿宋"/>
                <w:sz w:val="24"/>
                <w:szCs w:val="24"/>
              </w:rPr>
            </w:pPr>
            <w:r w:rsidRPr="001903EB">
              <w:rPr>
                <w:rFonts w:ascii="仿宋" w:eastAsia="仿宋" w:hAnsi="仿宋" w:hint="eastAsia"/>
                <w:sz w:val="24"/>
                <w:szCs w:val="24"/>
              </w:rPr>
              <w:t>数量</w:t>
            </w:r>
          </w:p>
        </w:tc>
        <w:tc>
          <w:tcPr>
            <w:tcW w:w="4271" w:type="dxa"/>
            <w:vAlign w:val="center"/>
          </w:tcPr>
          <w:p w14:paraId="77E0D60A" w14:textId="77777777" w:rsidR="007C2139" w:rsidRPr="001903EB" w:rsidRDefault="007C2139" w:rsidP="007C2139">
            <w:pPr>
              <w:jc w:val="center"/>
              <w:rPr>
                <w:rFonts w:ascii="仿宋" w:eastAsia="仿宋" w:hAnsi="仿宋"/>
                <w:sz w:val="24"/>
                <w:szCs w:val="24"/>
              </w:rPr>
            </w:pPr>
            <w:r w:rsidRPr="001903EB">
              <w:rPr>
                <w:rFonts w:ascii="仿宋" w:eastAsia="仿宋" w:hAnsi="仿宋" w:hint="eastAsia"/>
                <w:sz w:val="24"/>
                <w:szCs w:val="24"/>
              </w:rPr>
              <w:t>参 数</w:t>
            </w:r>
          </w:p>
        </w:tc>
        <w:tc>
          <w:tcPr>
            <w:tcW w:w="1417" w:type="dxa"/>
            <w:vAlign w:val="center"/>
          </w:tcPr>
          <w:p w14:paraId="07804495" w14:textId="77777777" w:rsidR="007C2139" w:rsidRPr="001903EB" w:rsidRDefault="007C2139" w:rsidP="007C2139">
            <w:pPr>
              <w:jc w:val="center"/>
              <w:rPr>
                <w:rFonts w:ascii="仿宋" w:eastAsia="仿宋" w:hAnsi="仿宋"/>
                <w:sz w:val="24"/>
                <w:szCs w:val="24"/>
              </w:rPr>
            </w:pPr>
            <w:r>
              <w:rPr>
                <w:rFonts w:ascii="仿宋" w:eastAsia="仿宋" w:hAnsi="仿宋" w:hint="eastAsia"/>
                <w:sz w:val="24"/>
                <w:szCs w:val="24"/>
              </w:rPr>
              <w:t>报价（万元）</w:t>
            </w:r>
          </w:p>
        </w:tc>
      </w:tr>
      <w:tr w:rsidR="007C2139" w:rsidRPr="001903EB" w14:paraId="42FCA0CB" w14:textId="77777777" w:rsidTr="007C2139">
        <w:trPr>
          <w:trHeight w:val="1538"/>
        </w:trPr>
        <w:tc>
          <w:tcPr>
            <w:tcW w:w="2047" w:type="dxa"/>
            <w:vAlign w:val="center"/>
          </w:tcPr>
          <w:p w14:paraId="7C9A31ED" w14:textId="77777777" w:rsidR="007C2139" w:rsidRPr="001903EB" w:rsidRDefault="007C2139" w:rsidP="007C2139">
            <w:pPr>
              <w:jc w:val="center"/>
              <w:rPr>
                <w:rFonts w:ascii="仿宋" w:eastAsia="仿宋" w:hAnsi="仿宋"/>
                <w:sz w:val="24"/>
                <w:szCs w:val="24"/>
              </w:rPr>
            </w:pPr>
            <w:r>
              <w:rPr>
                <w:rFonts w:ascii="仿宋" w:eastAsia="仿宋" w:hAnsi="仿宋" w:hint="eastAsia"/>
                <w:sz w:val="24"/>
                <w:szCs w:val="24"/>
              </w:rPr>
              <w:t>绩效管理系统</w:t>
            </w:r>
          </w:p>
        </w:tc>
        <w:tc>
          <w:tcPr>
            <w:tcW w:w="765" w:type="dxa"/>
            <w:vAlign w:val="center"/>
          </w:tcPr>
          <w:p w14:paraId="427A3CEB" w14:textId="77777777" w:rsidR="007C2139" w:rsidRPr="001903EB" w:rsidRDefault="007C2139" w:rsidP="007C2139">
            <w:pPr>
              <w:jc w:val="center"/>
              <w:rPr>
                <w:rFonts w:ascii="仿宋" w:eastAsia="仿宋" w:hAnsi="仿宋"/>
                <w:sz w:val="24"/>
                <w:szCs w:val="24"/>
              </w:rPr>
            </w:pPr>
            <w:r>
              <w:rPr>
                <w:rFonts w:ascii="仿宋" w:eastAsia="仿宋" w:hAnsi="仿宋" w:hint="eastAsia"/>
                <w:sz w:val="24"/>
                <w:szCs w:val="24"/>
              </w:rPr>
              <w:t>1</w:t>
            </w:r>
          </w:p>
        </w:tc>
        <w:tc>
          <w:tcPr>
            <w:tcW w:w="4271" w:type="dxa"/>
          </w:tcPr>
          <w:p w14:paraId="667FEBE5" w14:textId="77777777" w:rsidR="007C2139" w:rsidRPr="00EE44B6" w:rsidRDefault="007C2139" w:rsidP="007C2139">
            <w:pPr>
              <w:rPr>
                <w:rFonts w:ascii="仿宋" w:eastAsia="仿宋" w:hAnsi="仿宋"/>
                <w:sz w:val="24"/>
                <w:szCs w:val="24"/>
              </w:rPr>
            </w:pPr>
            <w:r w:rsidRPr="00EE44B6">
              <w:rPr>
                <w:rFonts w:ascii="仿宋" w:eastAsia="仿宋" w:hAnsi="仿宋" w:hint="eastAsia"/>
                <w:sz w:val="24"/>
                <w:szCs w:val="24"/>
              </w:rPr>
              <w:t>基于医院现有的HIS系统以及财务管理软件完成医院绩效管理业务体系的项目建设，绩效管理系统与医院现有的会计核算之间保证无缝衔接，建立以岗位工作量、工作质量（劳动强度、技术含量、风险程度）为主导，兼顾关键业绩指标体系、基于DRG 的医疗服务能力评价、成本控制的绩效工资分配机制，实行医护分开核算，同时实现成本管控的目标。医院绩效考核方案包括全院绩效奖金分配方案、科室二次分配方案指导意见。</w:t>
            </w:r>
          </w:p>
          <w:p w14:paraId="548998F1" w14:textId="77777777" w:rsidR="007C2139" w:rsidRPr="00EE44B6" w:rsidRDefault="007C2139" w:rsidP="007C2139">
            <w:pPr>
              <w:rPr>
                <w:rFonts w:ascii="仿宋" w:eastAsia="仿宋" w:hAnsi="仿宋"/>
                <w:sz w:val="24"/>
                <w:szCs w:val="24"/>
              </w:rPr>
            </w:pPr>
            <w:r w:rsidRPr="00EE44B6">
              <w:rPr>
                <w:rFonts w:ascii="仿宋" w:eastAsia="仿宋" w:hAnsi="仿宋" w:hint="eastAsia"/>
                <w:sz w:val="24"/>
                <w:szCs w:val="24"/>
              </w:rPr>
              <w:t>含：</w:t>
            </w:r>
          </w:p>
          <w:p w14:paraId="3DBD2CD8" w14:textId="77777777" w:rsidR="007C2139" w:rsidRPr="00EE44B6" w:rsidRDefault="007C2139" w:rsidP="007C2139">
            <w:pPr>
              <w:rPr>
                <w:rFonts w:ascii="仿宋" w:eastAsia="仿宋" w:hAnsi="仿宋"/>
                <w:sz w:val="24"/>
                <w:szCs w:val="24"/>
              </w:rPr>
            </w:pPr>
            <w:r w:rsidRPr="00EE44B6">
              <w:rPr>
                <w:rFonts w:ascii="仿宋" w:eastAsia="仿宋" w:hAnsi="仿宋" w:hint="eastAsia"/>
                <w:sz w:val="24"/>
                <w:szCs w:val="24"/>
              </w:rPr>
              <w:t>（1）医院绩效管理核算系统</w:t>
            </w:r>
          </w:p>
          <w:p w14:paraId="1D6E2566" w14:textId="77777777" w:rsidR="007C2139" w:rsidRPr="00EE44B6" w:rsidRDefault="007C2139" w:rsidP="007C2139">
            <w:pPr>
              <w:rPr>
                <w:rFonts w:ascii="仿宋" w:eastAsia="仿宋" w:hAnsi="仿宋"/>
                <w:sz w:val="24"/>
                <w:szCs w:val="24"/>
              </w:rPr>
            </w:pPr>
            <w:r w:rsidRPr="00EE44B6">
              <w:rPr>
                <w:rFonts w:ascii="仿宋" w:eastAsia="仿宋" w:hAnsi="仿宋" w:hint="eastAsia"/>
                <w:sz w:val="24"/>
                <w:szCs w:val="24"/>
              </w:rPr>
              <w:t>（2）医院绩效管理分配查询平台</w:t>
            </w:r>
          </w:p>
          <w:p w14:paraId="259D861C" w14:textId="77777777" w:rsidR="007C2139" w:rsidRPr="00B67B59" w:rsidRDefault="007C2139" w:rsidP="007C2139">
            <w:r w:rsidRPr="00EE44B6">
              <w:rPr>
                <w:rFonts w:ascii="仿宋" w:eastAsia="仿宋" w:hAnsi="仿宋" w:hint="eastAsia"/>
                <w:sz w:val="24"/>
                <w:szCs w:val="24"/>
              </w:rPr>
              <w:t>（3）科室二次分配指导意见方案</w:t>
            </w:r>
          </w:p>
        </w:tc>
        <w:tc>
          <w:tcPr>
            <w:tcW w:w="1417" w:type="dxa"/>
            <w:vAlign w:val="center"/>
          </w:tcPr>
          <w:p w14:paraId="272EA1A9" w14:textId="77777777" w:rsidR="007C2139" w:rsidRPr="00B67B59" w:rsidRDefault="007C2139" w:rsidP="007C2139">
            <w:pPr>
              <w:pStyle w:val="2"/>
              <w:ind w:leftChars="0" w:left="0" w:firstLine="0"/>
              <w:jc w:val="center"/>
              <w:rPr>
                <w:rFonts w:ascii="仿宋" w:eastAsia="仿宋" w:hAnsi="仿宋" w:cs="仿宋"/>
                <w:bCs/>
                <w:sz w:val="24"/>
                <w:szCs w:val="24"/>
              </w:rPr>
            </w:pPr>
            <w:r w:rsidRPr="00B67B59">
              <w:rPr>
                <w:rFonts w:ascii="仿宋" w:eastAsia="仿宋" w:hAnsi="仿宋" w:cs="仿宋" w:hint="eastAsia"/>
                <w:bCs/>
                <w:sz w:val="24"/>
                <w:szCs w:val="24"/>
              </w:rPr>
              <w:t>7</w:t>
            </w:r>
            <w:r w:rsidRPr="00B67B59">
              <w:rPr>
                <w:rFonts w:ascii="仿宋" w:eastAsia="仿宋" w:hAnsi="仿宋" w:cs="仿宋"/>
                <w:bCs/>
                <w:sz w:val="24"/>
                <w:szCs w:val="24"/>
              </w:rPr>
              <w:t>0.00</w:t>
            </w:r>
          </w:p>
        </w:tc>
      </w:tr>
      <w:tr w:rsidR="007C2139" w:rsidRPr="001903EB" w14:paraId="2B031A3B" w14:textId="77777777" w:rsidTr="007C2139">
        <w:trPr>
          <w:trHeight w:val="1538"/>
        </w:trPr>
        <w:tc>
          <w:tcPr>
            <w:tcW w:w="2047" w:type="dxa"/>
            <w:vAlign w:val="center"/>
          </w:tcPr>
          <w:p w14:paraId="70B161C3" w14:textId="77777777" w:rsidR="007C2139" w:rsidRPr="001903EB" w:rsidRDefault="007C2139" w:rsidP="007C2139">
            <w:pPr>
              <w:jc w:val="center"/>
              <w:rPr>
                <w:rFonts w:ascii="仿宋" w:eastAsia="仿宋" w:hAnsi="仿宋"/>
                <w:sz w:val="24"/>
                <w:szCs w:val="24"/>
              </w:rPr>
            </w:pPr>
            <w:r>
              <w:rPr>
                <w:rFonts w:ascii="仿宋" w:eastAsia="仿宋" w:hAnsi="仿宋" w:hint="eastAsia"/>
                <w:sz w:val="24"/>
                <w:szCs w:val="24"/>
              </w:rPr>
              <w:t>运营决策分析系统</w:t>
            </w:r>
          </w:p>
        </w:tc>
        <w:tc>
          <w:tcPr>
            <w:tcW w:w="765" w:type="dxa"/>
            <w:vAlign w:val="center"/>
          </w:tcPr>
          <w:p w14:paraId="600063C2" w14:textId="77777777" w:rsidR="007C2139" w:rsidRPr="001903EB" w:rsidRDefault="007C2139" w:rsidP="007C2139">
            <w:pPr>
              <w:jc w:val="center"/>
              <w:rPr>
                <w:rFonts w:ascii="仿宋" w:eastAsia="仿宋" w:hAnsi="仿宋"/>
                <w:sz w:val="24"/>
                <w:szCs w:val="24"/>
              </w:rPr>
            </w:pPr>
            <w:r>
              <w:rPr>
                <w:rFonts w:ascii="仿宋" w:eastAsia="仿宋" w:hAnsi="仿宋" w:hint="eastAsia"/>
                <w:sz w:val="24"/>
                <w:szCs w:val="24"/>
              </w:rPr>
              <w:t>1</w:t>
            </w:r>
          </w:p>
        </w:tc>
        <w:tc>
          <w:tcPr>
            <w:tcW w:w="4271" w:type="dxa"/>
          </w:tcPr>
          <w:p w14:paraId="09FFF54D" w14:textId="77777777" w:rsidR="007C2139" w:rsidRPr="001903EB" w:rsidRDefault="007C2139" w:rsidP="007C2139">
            <w:pPr>
              <w:rPr>
                <w:rFonts w:ascii="仿宋" w:eastAsia="仿宋" w:hAnsi="仿宋"/>
                <w:sz w:val="24"/>
                <w:szCs w:val="24"/>
              </w:rPr>
            </w:pPr>
            <w:r w:rsidRPr="004E1F9B">
              <w:rPr>
                <w:rFonts w:ascii="仿宋" w:eastAsia="仿宋" w:hAnsi="仿宋" w:hint="eastAsia"/>
                <w:sz w:val="24"/>
                <w:szCs w:val="24"/>
              </w:rPr>
              <w:t>运营决策分析是通过</w:t>
            </w:r>
            <w:r>
              <w:rPr>
                <w:rFonts w:ascii="仿宋" w:eastAsia="仿宋" w:hAnsi="仿宋" w:hint="eastAsia"/>
                <w:sz w:val="24"/>
                <w:szCs w:val="24"/>
              </w:rPr>
              <w:t>分析系统</w:t>
            </w:r>
            <w:r w:rsidRPr="004E1F9B">
              <w:rPr>
                <w:rFonts w:ascii="仿宋" w:eastAsia="仿宋" w:hAnsi="仿宋" w:hint="eastAsia"/>
                <w:sz w:val="24"/>
                <w:szCs w:val="24"/>
              </w:rPr>
              <w:t>对医院业务系统的数据进行挖掘、分析、整合、计算等处理，以直观图形图表的方式，多角度，多方位向院长和各个职能负责人呈现全院的运行和医院发展状况，能够有效实现医院各类信息数据整合统一，提升数据处理的及时性和准确性，通过工具模型，自动进行绩效监控和经营监控分析，帮助医院领导</w:t>
            </w:r>
            <w:proofErr w:type="gramStart"/>
            <w:r w:rsidRPr="004E1F9B">
              <w:rPr>
                <w:rFonts w:ascii="仿宋" w:eastAsia="仿宋" w:hAnsi="仿宋" w:hint="eastAsia"/>
                <w:sz w:val="24"/>
                <w:szCs w:val="24"/>
              </w:rPr>
              <w:t>层规划人</w:t>
            </w:r>
            <w:proofErr w:type="gramEnd"/>
            <w:r w:rsidRPr="004E1F9B">
              <w:rPr>
                <w:rFonts w:ascii="仿宋" w:eastAsia="仿宋" w:hAnsi="仿宋" w:hint="eastAsia"/>
                <w:sz w:val="24"/>
                <w:szCs w:val="24"/>
              </w:rPr>
              <w:t>、财、物的管理</w:t>
            </w:r>
            <w:r>
              <w:rPr>
                <w:rFonts w:ascii="仿宋" w:eastAsia="仿宋" w:hAnsi="仿宋" w:hint="eastAsia"/>
                <w:sz w:val="24"/>
                <w:szCs w:val="24"/>
              </w:rPr>
              <w:t>。</w:t>
            </w:r>
          </w:p>
        </w:tc>
        <w:tc>
          <w:tcPr>
            <w:tcW w:w="1417" w:type="dxa"/>
            <w:vAlign w:val="center"/>
          </w:tcPr>
          <w:p w14:paraId="3B724D0F" w14:textId="77777777" w:rsidR="007C2139" w:rsidRPr="001903EB" w:rsidRDefault="007C2139" w:rsidP="007C2139">
            <w:pPr>
              <w:jc w:val="center"/>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5.00</w:t>
            </w:r>
          </w:p>
        </w:tc>
      </w:tr>
    </w:tbl>
    <w:p w14:paraId="536F2CAB" w14:textId="336A6B5E" w:rsidR="006C39C5" w:rsidRPr="00C07C72" w:rsidRDefault="006C39C5" w:rsidP="007C2139">
      <w:pPr>
        <w:pStyle w:val="2"/>
        <w:ind w:leftChars="0" w:left="0" w:right="960" w:firstLine="0"/>
        <w:rPr>
          <w:rFonts w:ascii="仿宋" w:eastAsia="仿宋" w:hAnsi="仿宋" w:cs="Times New Roman"/>
          <w:kern w:val="0"/>
          <w:sz w:val="24"/>
          <w:szCs w:val="24"/>
        </w:rPr>
      </w:pPr>
    </w:p>
    <w:p w14:paraId="3FCCFBFB" w14:textId="77777777" w:rsidR="007C2139" w:rsidRDefault="007C2139" w:rsidP="007C2139">
      <w:pPr>
        <w:pStyle w:val="2"/>
        <w:ind w:leftChars="0" w:left="0" w:firstLine="0"/>
      </w:pPr>
      <w:r w:rsidRPr="001903EB">
        <w:rPr>
          <w:rFonts w:ascii="仿宋" w:eastAsia="仿宋" w:hAnsi="仿宋" w:hint="eastAsia"/>
          <w:sz w:val="28"/>
          <w:szCs w:val="28"/>
        </w:rPr>
        <w:t xml:space="preserve">提资确认： </w:t>
      </w:r>
      <w:r w:rsidRPr="001903EB">
        <w:rPr>
          <w:rFonts w:ascii="仿宋" w:eastAsia="仿宋" w:hAnsi="仿宋"/>
          <w:sz w:val="28"/>
          <w:szCs w:val="28"/>
        </w:rPr>
        <w:t xml:space="preserve"> </w:t>
      </w:r>
      <w:r>
        <w:rPr>
          <w:rFonts w:ascii="仿宋" w:eastAsia="仿宋" w:hAnsi="仿宋"/>
          <w:sz w:val="36"/>
          <w:szCs w:val="36"/>
        </w:rPr>
        <w:t xml:space="preserve">                  </w:t>
      </w:r>
      <w:r>
        <w:rPr>
          <w:rFonts w:ascii="仿宋" w:eastAsia="仿宋" w:hAnsi="仿宋" w:hint="eastAsia"/>
          <w:sz w:val="36"/>
          <w:szCs w:val="36"/>
        </w:rPr>
        <w:t xml:space="preserve"> </w:t>
      </w:r>
      <w:r>
        <w:rPr>
          <w:rFonts w:ascii="仿宋" w:eastAsia="仿宋" w:hAnsi="仿宋"/>
          <w:sz w:val="36"/>
          <w:szCs w:val="36"/>
        </w:rPr>
        <w:t xml:space="preserve"> </w:t>
      </w:r>
      <w:r w:rsidRPr="001903EB">
        <w:rPr>
          <w:rFonts w:ascii="仿宋" w:eastAsia="仿宋" w:hAnsi="仿宋" w:hint="eastAsia"/>
          <w:sz w:val="28"/>
          <w:szCs w:val="28"/>
        </w:rPr>
        <w:t>日期：</w:t>
      </w:r>
    </w:p>
    <w:p w14:paraId="1B6807B1" w14:textId="00FBD710" w:rsidR="006C39C5" w:rsidRDefault="006C39C5" w:rsidP="006C39C5">
      <w:pPr>
        <w:pStyle w:val="2"/>
        <w:ind w:leftChars="0" w:left="0" w:firstLine="0"/>
      </w:pPr>
    </w:p>
    <w:p w14:paraId="264F05A0" w14:textId="77777777" w:rsidR="006C39C5" w:rsidRDefault="006C39C5" w:rsidP="006C39C5">
      <w:pPr>
        <w:pStyle w:val="2"/>
        <w:ind w:leftChars="0" w:left="0" w:firstLine="0"/>
      </w:pPr>
    </w:p>
    <w:p w14:paraId="582986BB" w14:textId="77777777" w:rsidR="004E1F9B" w:rsidRDefault="000A4784" w:rsidP="000A4784">
      <w:pPr>
        <w:spacing w:line="440" w:lineRule="exact"/>
        <w:ind w:firstLineChars="200" w:firstLine="482"/>
        <w:rPr>
          <w:rFonts w:ascii="仿宋" w:eastAsia="仿宋" w:hAnsi="仿宋" w:cs="仿宋"/>
          <w:b/>
          <w:sz w:val="24"/>
          <w:szCs w:val="24"/>
        </w:rPr>
      </w:pPr>
      <w:r>
        <w:rPr>
          <w:rFonts w:ascii="仿宋" w:eastAsia="仿宋" w:hAnsi="仿宋" w:cs="仿宋" w:hint="eastAsia"/>
          <w:b/>
          <w:sz w:val="24"/>
          <w:szCs w:val="24"/>
        </w:rPr>
        <w:t>附：</w:t>
      </w:r>
    </w:p>
    <w:p w14:paraId="0A9CBBEF" w14:textId="40D5C030" w:rsidR="000A4784" w:rsidRDefault="000A4784" w:rsidP="000A4784">
      <w:pPr>
        <w:spacing w:line="440" w:lineRule="exact"/>
        <w:ind w:firstLineChars="200" w:firstLine="482"/>
        <w:rPr>
          <w:rFonts w:ascii="仿宋" w:eastAsia="仿宋" w:hAnsi="仿宋" w:cs="仿宋"/>
          <w:b/>
          <w:sz w:val="24"/>
          <w:szCs w:val="24"/>
        </w:rPr>
      </w:pPr>
      <w:r>
        <w:rPr>
          <w:rFonts w:ascii="仿宋" w:eastAsia="仿宋" w:hAnsi="仿宋" w:cs="仿宋"/>
          <w:b/>
          <w:sz w:val="24"/>
          <w:szCs w:val="24"/>
        </w:rPr>
        <w:t>1</w:t>
      </w:r>
      <w:r>
        <w:rPr>
          <w:rFonts w:ascii="仿宋" w:eastAsia="仿宋" w:hAnsi="仿宋" w:cs="仿宋" w:hint="eastAsia"/>
          <w:b/>
          <w:sz w:val="24"/>
          <w:szCs w:val="24"/>
        </w:rPr>
        <w:t>、</w:t>
      </w:r>
      <w:r w:rsidR="004E1F9B">
        <w:rPr>
          <w:rFonts w:ascii="仿宋" w:eastAsia="仿宋" w:hAnsi="仿宋" w:cs="仿宋" w:hint="eastAsia"/>
          <w:b/>
          <w:sz w:val="24"/>
          <w:szCs w:val="24"/>
        </w:rPr>
        <w:t>绩效管理系统</w:t>
      </w:r>
      <w:r>
        <w:rPr>
          <w:rFonts w:ascii="仿宋" w:eastAsia="仿宋" w:hAnsi="仿宋" w:cs="仿宋" w:hint="eastAsia"/>
          <w:b/>
          <w:sz w:val="24"/>
          <w:szCs w:val="24"/>
        </w:rPr>
        <w:t>详细功能列表：</w:t>
      </w:r>
    </w:p>
    <w:tbl>
      <w:tblPr>
        <w:tblStyle w:val="a5"/>
        <w:tblW w:w="4999" w:type="pct"/>
        <w:jc w:val="center"/>
        <w:tblLook w:val="04A0" w:firstRow="1" w:lastRow="0" w:firstColumn="1" w:lastColumn="0" w:noHBand="0" w:noVBand="1"/>
      </w:tblPr>
      <w:tblGrid>
        <w:gridCol w:w="1253"/>
        <w:gridCol w:w="1685"/>
        <w:gridCol w:w="5356"/>
      </w:tblGrid>
      <w:tr w:rsidR="000A4784" w14:paraId="1AAE31FA" w14:textId="77777777" w:rsidTr="00BB6C41">
        <w:trPr>
          <w:trHeight w:val="497"/>
          <w:jc w:val="center"/>
        </w:trPr>
        <w:tc>
          <w:tcPr>
            <w:tcW w:w="1771" w:type="pct"/>
            <w:gridSpan w:val="2"/>
            <w:vAlign w:val="center"/>
          </w:tcPr>
          <w:p w14:paraId="39E276F9"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功能模块</w:t>
            </w:r>
          </w:p>
        </w:tc>
        <w:tc>
          <w:tcPr>
            <w:tcW w:w="3228" w:type="pct"/>
            <w:vAlign w:val="center"/>
          </w:tcPr>
          <w:p w14:paraId="3FFAFC4F"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功能说明</w:t>
            </w:r>
          </w:p>
        </w:tc>
      </w:tr>
      <w:tr w:rsidR="000A4784" w14:paraId="2298A256" w14:textId="77777777" w:rsidTr="00BB6C41">
        <w:trPr>
          <w:jc w:val="center"/>
        </w:trPr>
        <w:tc>
          <w:tcPr>
            <w:tcW w:w="755" w:type="pct"/>
            <w:vMerge w:val="restart"/>
            <w:vAlign w:val="center"/>
          </w:tcPr>
          <w:p w14:paraId="27BFFE0B"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系统管理</w:t>
            </w:r>
          </w:p>
        </w:tc>
        <w:tc>
          <w:tcPr>
            <w:tcW w:w="1016" w:type="pct"/>
            <w:vAlign w:val="center"/>
          </w:tcPr>
          <w:p w14:paraId="0B81A4A5"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权限管理</w:t>
            </w:r>
          </w:p>
        </w:tc>
        <w:tc>
          <w:tcPr>
            <w:tcW w:w="3228" w:type="pct"/>
          </w:tcPr>
          <w:p w14:paraId="07960DB6"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对绩效管理系统用户的权限分配</w:t>
            </w:r>
          </w:p>
        </w:tc>
      </w:tr>
      <w:tr w:rsidR="000A4784" w14:paraId="0F82B5CC" w14:textId="77777777" w:rsidTr="00BB6C41">
        <w:trPr>
          <w:jc w:val="center"/>
        </w:trPr>
        <w:tc>
          <w:tcPr>
            <w:tcW w:w="755" w:type="pct"/>
            <w:vMerge/>
            <w:vAlign w:val="center"/>
          </w:tcPr>
          <w:p w14:paraId="54987EF4"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794B3BF1"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系统配置</w:t>
            </w:r>
          </w:p>
        </w:tc>
        <w:tc>
          <w:tcPr>
            <w:tcW w:w="3228" w:type="pct"/>
          </w:tcPr>
          <w:p w14:paraId="56477C91"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 xml:space="preserve">对绩效系统的通用配置，包括核算方法的定义、科室级别长度定义、核算项目长度定义、从 HIS </w:t>
            </w:r>
            <w:r>
              <w:rPr>
                <w:rFonts w:ascii="仿宋" w:eastAsia="仿宋" w:hAnsi="仿宋" w:cs="仿宋" w:hint="eastAsia"/>
                <w:bCs/>
                <w:color w:val="000000"/>
                <w:sz w:val="24"/>
                <w:szCs w:val="24"/>
              </w:rPr>
              <w:lastRenderedPageBreak/>
              <w:t>导入收费项目存储 过程定义、从 HIS 导入物资字典存储过程定义、医生工作 量匹配定义等</w:t>
            </w:r>
          </w:p>
        </w:tc>
      </w:tr>
      <w:tr w:rsidR="000A4784" w14:paraId="657D6342" w14:textId="77777777" w:rsidTr="00BB6C41">
        <w:trPr>
          <w:jc w:val="center"/>
        </w:trPr>
        <w:tc>
          <w:tcPr>
            <w:tcW w:w="755" w:type="pct"/>
            <w:vMerge/>
            <w:vAlign w:val="center"/>
          </w:tcPr>
          <w:p w14:paraId="248514E6"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207F8177"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用户管理</w:t>
            </w:r>
          </w:p>
        </w:tc>
        <w:tc>
          <w:tcPr>
            <w:tcW w:w="3228" w:type="pct"/>
          </w:tcPr>
          <w:p w14:paraId="569677C3"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对用户的增加、修改、删除</w:t>
            </w:r>
          </w:p>
        </w:tc>
      </w:tr>
      <w:tr w:rsidR="000A4784" w14:paraId="37940606" w14:textId="77777777" w:rsidTr="00BB6C41">
        <w:trPr>
          <w:jc w:val="center"/>
        </w:trPr>
        <w:tc>
          <w:tcPr>
            <w:tcW w:w="755" w:type="pct"/>
            <w:vMerge/>
            <w:vAlign w:val="center"/>
          </w:tcPr>
          <w:p w14:paraId="1655B8A4"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71992100"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版本升级</w:t>
            </w:r>
          </w:p>
        </w:tc>
        <w:tc>
          <w:tcPr>
            <w:tcW w:w="3228" w:type="pct"/>
          </w:tcPr>
          <w:p w14:paraId="1A93EA66"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上传新版本软件，达到全院软件自动更新</w:t>
            </w:r>
          </w:p>
        </w:tc>
      </w:tr>
      <w:tr w:rsidR="000A4784" w14:paraId="7763F4A0" w14:textId="77777777" w:rsidTr="00BB6C41">
        <w:trPr>
          <w:jc w:val="center"/>
        </w:trPr>
        <w:tc>
          <w:tcPr>
            <w:tcW w:w="755" w:type="pct"/>
            <w:vMerge/>
            <w:vAlign w:val="center"/>
          </w:tcPr>
          <w:p w14:paraId="44B7EC25"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5EEB2AB8"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往来数据设置</w:t>
            </w:r>
          </w:p>
        </w:tc>
        <w:tc>
          <w:tcPr>
            <w:tcW w:w="3228" w:type="pct"/>
          </w:tcPr>
          <w:p w14:paraId="7ED2C888"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定义与绩效系统相关的外部数据库连接</w:t>
            </w:r>
          </w:p>
        </w:tc>
      </w:tr>
      <w:tr w:rsidR="000A4784" w14:paraId="2C0515D5" w14:textId="77777777" w:rsidTr="00BB6C41">
        <w:trPr>
          <w:trHeight w:val="374"/>
          <w:jc w:val="center"/>
        </w:trPr>
        <w:tc>
          <w:tcPr>
            <w:tcW w:w="755" w:type="pct"/>
            <w:vMerge/>
          </w:tcPr>
          <w:p w14:paraId="50AC9BA1"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08DB52EC"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数据采集管理</w:t>
            </w:r>
          </w:p>
        </w:tc>
        <w:tc>
          <w:tcPr>
            <w:tcW w:w="3228" w:type="pct"/>
          </w:tcPr>
          <w:p w14:paraId="6108DCA2"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根据不同的采集数据方案定义不同采集语句</w:t>
            </w:r>
          </w:p>
        </w:tc>
      </w:tr>
      <w:tr w:rsidR="000A4784" w14:paraId="47D58538" w14:textId="77777777" w:rsidTr="00BB6C41">
        <w:trPr>
          <w:jc w:val="center"/>
        </w:trPr>
        <w:tc>
          <w:tcPr>
            <w:tcW w:w="755" w:type="pct"/>
            <w:vMerge w:val="restart"/>
            <w:vAlign w:val="center"/>
          </w:tcPr>
          <w:p w14:paraId="5A236432"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初始设置</w:t>
            </w:r>
          </w:p>
        </w:tc>
        <w:tc>
          <w:tcPr>
            <w:tcW w:w="1016" w:type="pct"/>
            <w:vAlign w:val="center"/>
          </w:tcPr>
          <w:p w14:paraId="1AC7A783"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核算科目</w:t>
            </w:r>
          </w:p>
        </w:tc>
        <w:tc>
          <w:tcPr>
            <w:tcW w:w="3228" w:type="pct"/>
          </w:tcPr>
          <w:p w14:paraId="7871FBCB"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针对核算科目的编制。包括：收入和支出。</w:t>
            </w:r>
          </w:p>
        </w:tc>
      </w:tr>
      <w:tr w:rsidR="000A4784" w14:paraId="5807EB47" w14:textId="77777777" w:rsidTr="00BB6C41">
        <w:trPr>
          <w:jc w:val="center"/>
        </w:trPr>
        <w:tc>
          <w:tcPr>
            <w:tcW w:w="755" w:type="pct"/>
            <w:vMerge/>
            <w:vAlign w:val="center"/>
          </w:tcPr>
          <w:p w14:paraId="65649387"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5E7C883E"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核算分类</w:t>
            </w:r>
          </w:p>
        </w:tc>
        <w:tc>
          <w:tcPr>
            <w:tcW w:w="3228" w:type="pct"/>
          </w:tcPr>
          <w:p w14:paraId="6A83A96F"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对核算项目的分类。包括收入、支出和其他类。</w:t>
            </w:r>
          </w:p>
        </w:tc>
      </w:tr>
      <w:tr w:rsidR="000A4784" w14:paraId="536C9ACD" w14:textId="77777777" w:rsidTr="00BB6C41">
        <w:trPr>
          <w:jc w:val="center"/>
        </w:trPr>
        <w:tc>
          <w:tcPr>
            <w:tcW w:w="755" w:type="pct"/>
            <w:vMerge/>
            <w:vAlign w:val="center"/>
          </w:tcPr>
          <w:p w14:paraId="42D9E879"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3CB83017"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科室设置</w:t>
            </w:r>
          </w:p>
        </w:tc>
        <w:tc>
          <w:tcPr>
            <w:tcW w:w="3228" w:type="pct"/>
          </w:tcPr>
          <w:p w14:paraId="0119BCCC"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对绩效部门的增加、修改和删除。支持部门多级管理</w:t>
            </w:r>
          </w:p>
        </w:tc>
      </w:tr>
      <w:tr w:rsidR="000A4784" w14:paraId="0FA747D2" w14:textId="77777777" w:rsidTr="00BB6C41">
        <w:trPr>
          <w:jc w:val="center"/>
        </w:trPr>
        <w:tc>
          <w:tcPr>
            <w:tcW w:w="755" w:type="pct"/>
            <w:vMerge/>
            <w:vAlign w:val="center"/>
          </w:tcPr>
          <w:p w14:paraId="087B8943"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064D85AB"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部门分组</w:t>
            </w:r>
          </w:p>
        </w:tc>
        <w:tc>
          <w:tcPr>
            <w:tcW w:w="3228" w:type="pct"/>
          </w:tcPr>
          <w:p w14:paraId="670D98AE"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对部门进行分组设置。可定义不同组别使用不同的绩效核算模板</w:t>
            </w:r>
          </w:p>
        </w:tc>
      </w:tr>
      <w:tr w:rsidR="000A4784" w14:paraId="0B582487" w14:textId="77777777" w:rsidTr="00BB6C41">
        <w:trPr>
          <w:jc w:val="center"/>
        </w:trPr>
        <w:tc>
          <w:tcPr>
            <w:tcW w:w="755" w:type="pct"/>
            <w:vMerge/>
            <w:vAlign w:val="center"/>
          </w:tcPr>
          <w:p w14:paraId="1F7AF964"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4BBE2A59"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项目</w:t>
            </w:r>
            <w:proofErr w:type="gramStart"/>
            <w:r>
              <w:rPr>
                <w:rFonts w:ascii="仿宋" w:eastAsia="仿宋" w:hAnsi="仿宋" w:cs="仿宋" w:hint="eastAsia"/>
                <w:bCs/>
                <w:color w:val="000000"/>
                <w:sz w:val="24"/>
                <w:szCs w:val="24"/>
              </w:rPr>
              <w:t>提拨</w:t>
            </w:r>
            <w:proofErr w:type="gramEnd"/>
            <w:r>
              <w:rPr>
                <w:rFonts w:ascii="仿宋" w:eastAsia="仿宋" w:hAnsi="仿宋" w:cs="仿宋" w:hint="eastAsia"/>
                <w:bCs/>
                <w:color w:val="000000"/>
                <w:sz w:val="24"/>
                <w:szCs w:val="24"/>
              </w:rPr>
              <w:t>比例</w:t>
            </w:r>
          </w:p>
        </w:tc>
        <w:tc>
          <w:tcPr>
            <w:tcW w:w="3228" w:type="pct"/>
          </w:tcPr>
          <w:p w14:paraId="596B7AF0"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对项目的提拔比例设置。根据诊断、执行等定义。</w:t>
            </w:r>
          </w:p>
        </w:tc>
      </w:tr>
      <w:tr w:rsidR="000A4784" w14:paraId="6A518BCA" w14:textId="77777777" w:rsidTr="00BB6C41">
        <w:trPr>
          <w:jc w:val="center"/>
        </w:trPr>
        <w:tc>
          <w:tcPr>
            <w:tcW w:w="755" w:type="pct"/>
            <w:vMerge/>
            <w:vAlign w:val="center"/>
          </w:tcPr>
          <w:p w14:paraId="4F7E12A1"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329D7E2F"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单据类别</w:t>
            </w:r>
          </w:p>
        </w:tc>
        <w:tc>
          <w:tcPr>
            <w:tcW w:w="3228" w:type="pct"/>
          </w:tcPr>
          <w:p w14:paraId="5EFEA6CA"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可对</w:t>
            </w:r>
            <w:proofErr w:type="gramStart"/>
            <w:r>
              <w:rPr>
                <w:rFonts w:ascii="仿宋" w:eastAsia="仿宋" w:hAnsi="仿宋" w:cs="仿宋" w:hint="eastAsia"/>
                <w:bCs/>
                <w:color w:val="000000"/>
                <w:sz w:val="24"/>
                <w:szCs w:val="24"/>
              </w:rPr>
              <w:t>收支台</w:t>
            </w:r>
            <w:proofErr w:type="gramEnd"/>
            <w:r>
              <w:rPr>
                <w:rFonts w:ascii="仿宋" w:eastAsia="仿宋" w:hAnsi="仿宋" w:cs="仿宋" w:hint="eastAsia"/>
                <w:bCs/>
                <w:color w:val="000000"/>
                <w:sz w:val="24"/>
                <w:szCs w:val="24"/>
              </w:rPr>
              <w:t>账中的单据类别进行设置</w:t>
            </w:r>
          </w:p>
        </w:tc>
      </w:tr>
      <w:tr w:rsidR="000A4784" w14:paraId="5BB7A7C8" w14:textId="77777777" w:rsidTr="00BB6C41">
        <w:trPr>
          <w:jc w:val="center"/>
        </w:trPr>
        <w:tc>
          <w:tcPr>
            <w:tcW w:w="755" w:type="pct"/>
            <w:vMerge/>
            <w:vAlign w:val="center"/>
          </w:tcPr>
          <w:p w14:paraId="556CC09D"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48262705"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收费项目</w:t>
            </w:r>
          </w:p>
        </w:tc>
        <w:tc>
          <w:tcPr>
            <w:tcW w:w="3228" w:type="pct"/>
          </w:tcPr>
          <w:p w14:paraId="7AB3B870"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对医院收费项目字典的设置。包括 RBRVS 点值、手术等级设置等</w:t>
            </w:r>
          </w:p>
        </w:tc>
      </w:tr>
      <w:tr w:rsidR="000A4784" w14:paraId="36941AFD" w14:textId="77777777" w:rsidTr="00BB6C41">
        <w:trPr>
          <w:jc w:val="center"/>
        </w:trPr>
        <w:tc>
          <w:tcPr>
            <w:tcW w:w="755" w:type="pct"/>
            <w:vMerge/>
            <w:vAlign w:val="center"/>
          </w:tcPr>
          <w:p w14:paraId="2FAC90AE"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0A3721B4"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耗材字典管理</w:t>
            </w:r>
          </w:p>
        </w:tc>
        <w:tc>
          <w:tcPr>
            <w:tcW w:w="3228" w:type="pct"/>
          </w:tcPr>
          <w:p w14:paraId="0014BC9A"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针对耗材进行分类设置管理。包括耗材是否收费、核算比例设置等。</w:t>
            </w:r>
          </w:p>
        </w:tc>
      </w:tr>
      <w:tr w:rsidR="000A4784" w14:paraId="0A0CDE3E" w14:textId="77777777" w:rsidTr="00BB6C41">
        <w:trPr>
          <w:jc w:val="center"/>
        </w:trPr>
        <w:tc>
          <w:tcPr>
            <w:tcW w:w="755" w:type="pct"/>
            <w:vMerge w:val="restart"/>
            <w:vAlign w:val="center"/>
          </w:tcPr>
          <w:p w14:paraId="6ADC3AD8"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数据采集</w:t>
            </w:r>
          </w:p>
        </w:tc>
        <w:tc>
          <w:tcPr>
            <w:tcW w:w="1016" w:type="pct"/>
            <w:vAlign w:val="center"/>
          </w:tcPr>
          <w:p w14:paraId="1DCA5D44"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从 EXCEL文件导入</w:t>
            </w:r>
          </w:p>
        </w:tc>
        <w:tc>
          <w:tcPr>
            <w:tcW w:w="3228" w:type="pct"/>
            <w:vAlign w:val="center"/>
          </w:tcPr>
          <w:p w14:paraId="7768C9A6"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支持直接从电子表格导入相关数据</w:t>
            </w:r>
          </w:p>
        </w:tc>
      </w:tr>
      <w:tr w:rsidR="000A4784" w14:paraId="2A1A0172" w14:textId="77777777" w:rsidTr="00BB6C41">
        <w:trPr>
          <w:jc w:val="center"/>
        </w:trPr>
        <w:tc>
          <w:tcPr>
            <w:tcW w:w="755" w:type="pct"/>
            <w:vMerge/>
            <w:vAlign w:val="center"/>
          </w:tcPr>
          <w:p w14:paraId="2AB6AA98"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3CBB5A4B"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从外部数据库导入</w:t>
            </w:r>
          </w:p>
        </w:tc>
        <w:tc>
          <w:tcPr>
            <w:tcW w:w="3228" w:type="pct"/>
            <w:vAlign w:val="center"/>
          </w:tcPr>
          <w:p w14:paraId="7A83B740"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支持从其他外部系统的数据库采集读入</w:t>
            </w:r>
          </w:p>
        </w:tc>
      </w:tr>
      <w:tr w:rsidR="000A4784" w14:paraId="04EB12A5" w14:textId="77777777" w:rsidTr="00BB6C41">
        <w:trPr>
          <w:jc w:val="center"/>
        </w:trPr>
        <w:tc>
          <w:tcPr>
            <w:tcW w:w="755" w:type="pct"/>
            <w:vMerge/>
            <w:vAlign w:val="center"/>
          </w:tcPr>
          <w:p w14:paraId="42B63B2B"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6408C8C5"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从采集平台导入</w:t>
            </w:r>
          </w:p>
        </w:tc>
        <w:tc>
          <w:tcPr>
            <w:tcW w:w="3228" w:type="pct"/>
            <w:vAlign w:val="center"/>
          </w:tcPr>
          <w:p w14:paraId="400B19D7"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与科室客户端的数据采集平台无缝对接，直接采集各科室从平台录入的数据。</w:t>
            </w:r>
          </w:p>
        </w:tc>
      </w:tr>
      <w:tr w:rsidR="000A4784" w14:paraId="61E3E766" w14:textId="77777777" w:rsidTr="00BB6C41">
        <w:trPr>
          <w:jc w:val="center"/>
        </w:trPr>
        <w:tc>
          <w:tcPr>
            <w:tcW w:w="755" w:type="pct"/>
            <w:vMerge/>
            <w:vAlign w:val="center"/>
          </w:tcPr>
          <w:p w14:paraId="4936E6A2"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5A3AB283"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医生工作量采 集</w:t>
            </w:r>
          </w:p>
        </w:tc>
        <w:tc>
          <w:tcPr>
            <w:tcW w:w="3228" w:type="pct"/>
            <w:vAlign w:val="center"/>
          </w:tcPr>
          <w:p w14:paraId="18DF2761" w14:textId="77777777" w:rsidR="000A4784" w:rsidRDefault="000A4784" w:rsidP="00BB6C41">
            <w:pPr>
              <w:pStyle w:val="TableParagraph"/>
              <w:spacing w:before="107"/>
              <w:ind w:firstLineChars="200" w:firstLine="480"/>
              <w:jc w:val="left"/>
              <w:rPr>
                <w:rFonts w:ascii="仿宋" w:eastAsia="仿宋" w:hAnsi="仿宋" w:cs="仿宋"/>
                <w:bCs/>
                <w:color w:val="000000"/>
                <w:sz w:val="24"/>
                <w:szCs w:val="24"/>
              </w:rPr>
            </w:pPr>
            <w:r>
              <w:rPr>
                <w:rFonts w:ascii="仿宋" w:eastAsia="仿宋" w:hAnsi="仿宋" w:cs="仿宋" w:hint="eastAsia"/>
                <w:bCs/>
                <w:color w:val="000000"/>
                <w:sz w:val="24"/>
                <w:szCs w:val="24"/>
              </w:rPr>
              <w:t>从 HIS 系统中采集医生的工作量数据。包括：开单科室、</w:t>
            </w:r>
          </w:p>
          <w:p w14:paraId="43F67B45" w14:textId="77777777" w:rsidR="000A4784" w:rsidRDefault="000A4784" w:rsidP="00BB6C41">
            <w:pPr>
              <w:pStyle w:val="TableParagraph"/>
              <w:spacing w:before="107"/>
              <w:ind w:firstLineChars="200" w:firstLine="480"/>
              <w:jc w:val="left"/>
              <w:rPr>
                <w:rFonts w:ascii="仿宋" w:eastAsia="仿宋" w:hAnsi="仿宋" w:cs="仿宋"/>
                <w:bCs/>
                <w:color w:val="000000"/>
                <w:sz w:val="24"/>
                <w:szCs w:val="24"/>
              </w:rPr>
            </w:pPr>
            <w:r>
              <w:rPr>
                <w:rFonts w:ascii="仿宋" w:eastAsia="仿宋" w:hAnsi="仿宋" w:cs="仿宋" w:hint="eastAsia"/>
                <w:bCs/>
                <w:color w:val="000000"/>
                <w:sz w:val="24"/>
                <w:szCs w:val="24"/>
              </w:rPr>
              <w:t>开单医生、执行科室、执行医生、收费项目、规格型号、 数量、单价、金额等信息，</w:t>
            </w:r>
            <w:proofErr w:type="gramStart"/>
            <w:r>
              <w:rPr>
                <w:rFonts w:ascii="仿宋" w:eastAsia="仿宋" w:hAnsi="仿宋" w:cs="仿宋" w:hint="eastAsia"/>
                <w:bCs/>
                <w:color w:val="000000"/>
                <w:sz w:val="24"/>
                <w:szCs w:val="24"/>
              </w:rPr>
              <w:t>支持分</w:t>
            </w:r>
            <w:proofErr w:type="gramEnd"/>
            <w:r>
              <w:rPr>
                <w:rFonts w:ascii="仿宋" w:eastAsia="仿宋" w:hAnsi="仿宋" w:cs="仿宋" w:hint="eastAsia"/>
                <w:bCs/>
                <w:color w:val="000000"/>
                <w:sz w:val="24"/>
                <w:szCs w:val="24"/>
              </w:rPr>
              <w:t>门诊和住院分别采集</w:t>
            </w:r>
          </w:p>
        </w:tc>
      </w:tr>
      <w:tr w:rsidR="000A4784" w14:paraId="024B73E1" w14:textId="77777777" w:rsidTr="00BB6C41">
        <w:trPr>
          <w:jc w:val="center"/>
        </w:trPr>
        <w:tc>
          <w:tcPr>
            <w:tcW w:w="755" w:type="pct"/>
            <w:vMerge/>
            <w:vAlign w:val="center"/>
          </w:tcPr>
          <w:p w14:paraId="7F310C04"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17A6FF19"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耗材领用采集</w:t>
            </w:r>
          </w:p>
        </w:tc>
        <w:tc>
          <w:tcPr>
            <w:tcW w:w="3228" w:type="pct"/>
            <w:vAlign w:val="center"/>
          </w:tcPr>
          <w:p w14:paraId="7C952F7B"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从物资系统中采集各科室的耗材领用数据。包括高值耗材、普通消耗品等。</w:t>
            </w:r>
          </w:p>
        </w:tc>
      </w:tr>
      <w:tr w:rsidR="000A4784" w14:paraId="0310D452" w14:textId="77777777" w:rsidTr="00BB6C41">
        <w:trPr>
          <w:jc w:val="center"/>
        </w:trPr>
        <w:tc>
          <w:tcPr>
            <w:tcW w:w="755" w:type="pct"/>
            <w:vMerge/>
            <w:vAlign w:val="center"/>
          </w:tcPr>
          <w:p w14:paraId="23A92B53"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2BEFC58E" w14:textId="77777777" w:rsidR="000A4784" w:rsidRDefault="000A4784" w:rsidP="00BB6C41">
            <w:pPr>
              <w:pStyle w:val="TableParagraph"/>
              <w:spacing w:before="107"/>
              <w:jc w:val="center"/>
              <w:rPr>
                <w:rFonts w:ascii="仿宋" w:eastAsia="仿宋" w:hAnsi="仿宋" w:cs="仿宋"/>
                <w:bCs/>
                <w:color w:val="000000"/>
                <w:sz w:val="24"/>
                <w:szCs w:val="24"/>
              </w:rPr>
            </w:pPr>
            <w:proofErr w:type="gramStart"/>
            <w:r>
              <w:rPr>
                <w:rFonts w:ascii="仿宋" w:eastAsia="仿宋" w:hAnsi="仿宋" w:cs="仿宋" w:hint="eastAsia"/>
                <w:bCs/>
                <w:color w:val="000000"/>
                <w:sz w:val="24"/>
                <w:szCs w:val="24"/>
              </w:rPr>
              <w:t>收支台账管理</w:t>
            </w:r>
            <w:proofErr w:type="gramEnd"/>
          </w:p>
        </w:tc>
        <w:tc>
          <w:tcPr>
            <w:tcW w:w="3228" w:type="pct"/>
            <w:vAlign w:val="center"/>
          </w:tcPr>
          <w:p w14:paraId="287A9E1F"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对各科室的收入台账的管理。可实现对收入、工作量、成本等数据的调整等操作。</w:t>
            </w:r>
          </w:p>
        </w:tc>
      </w:tr>
      <w:tr w:rsidR="000A4784" w14:paraId="4442D491" w14:textId="77777777" w:rsidTr="00BB6C41">
        <w:trPr>
          <w:trHeight w:val="321"/>
          <w:jc w:val="center"/>
        </w:trPr>
        <w:tc>
          <w:tcPr>
            <w:tcW w:w="755" w:type="pct"/>
            <w:vMerge w:val="restart"/>
            <w:vAlign w:val="center"/>
          </w:tcPr>
          <w:p w14:paraId="37AE0516"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绩效核算</w:t>
            </w:r>
          </w:p>
        </w:tc>
        <w:tc>
          <w:tcPr>
            <w:tcW w:w="1016" w:type="pct"/>
            <w:vAlign w:val="center"/>
          </w:tcPr>
          <w:p w14:paraId="2A05F8C9"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指标定义</w:t>
            </w:r>
          </w:p>
        </w:tc>
        <w:tc>
          <w:tcPr>
            <w:tcW w:w="3228" w:type="pct"/>
          </w:tcPr>
          <w:p w14:paraId="4225EEB1"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设置绩效核算所需要的各种指标</w:t>
            </w:r>
          </w:p>
        </w:tc>
      </w:tr>
      <w:tr w:rsidR="000A4784" w14:paraId="6A5BF356" w14:textId="77777777" w:rsidTr="00BB6C41">
        <w:trPr>
          <w:jc w:val="center"/>
        </w:trPr>
        <w:tc>
          <w:tcPr>
            <w:tcW w:w="755" w:type="pct"/>
            <w:vMerge/>
            <w:vAlign w:val="center"/>
          </w:tcPr>
          <w:p w14:paraId="52E19777"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337C9370"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指标参数设置</w:t>
            </w:r>
          </w:p>
        </w:tc>
        <w:tc>
          <w:tcPr>
            <w:tcW w:w="3228" w:type="pct"/>
          </w:tcPr>
          <w:p w14:paraId="4D30F60B"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对定义好的指标数据进行设置。支持手工录入、EXCEL 导入和从外部数据库自动采集生成。</w:t>
            </w:r>
          </w:p>
        </w:tc>
      </w:tr>
      <w:tr w:rsidR="000A4784" w14:paraId="0FA6F764" w14:textId="77777777" w:rsidTr="00BB6C41">
        <w:trPr>
          <w:jc w:val="center"/>
        </w:trPr>
        <w:tc>
          <w:tcPr>
            <w:tcW w:w="755" w:type="pct"/>
            <w:vMerge/>
            <w:vAlign w:val="center"/>
          </w:tcPr>
          <w:p w14:paraId="6493274C"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7C576E84"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调控比例</w:t>
            </w:r>
          </w:p>
        </w:tc>
        <w:tc>
          <w:tcPr>
            <w:tcW w:w="3228" w:type="pct"/>
          </w:tcPr>
          <w:p w14:paraId="4137AAF9"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设置科室需要调控的数据比例，支持超额累计调控管理。</w:t>
            </w:r>
          </w:p>
        </w:tc>
      </w:tr>
      <w:tr w:rsidR="000A4784" w14:paraId="352A4F5B" w14:textId="77777777" w:rsidTr="00BB6C41">
        <w:trPr>
          <w:jc w:val="center"/>
        </w:trPr>
        <w:tc>
          <w:tcPr>
            <w:tcW w:w="755" w:type="pct"/>
            <w:vMerge/>
            <w:vAlign w:val="center"/>
          </w:tcPr>
          <w:p w14:paraId="136D5E25"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65C1685D"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激励机制</w:t>
            </w:r>
          </w:p>
        </w:tc>
        <w:tc>
          <w:tcPr>
            <w:tcW w:w="3228" w:type="pct"/>
          </w:tcPr>
          <w:p w14:paraId="47CD9718"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可设置各科室的激励机制管理。</w:t>
            </w:r>
          </w:p>
        </w:tc>
      </w:tr>
      <w:tr w:rsidR="000A4784" w14:paraId="76430C25" w14:textId="77777777" w:rsidTr="00BB6C41">
        <w:trPr>
          <w:jc w:val="center"/>
        </w:trPr>
        <w:tc>
          <w:tcPr>
            <w:tcW w:w="755" w:type="pct"/>
            <w:vMerge/>
            <w:vAlign w:val="center"/>
          </w:tcPr>
          <w:p w14:paraId="33333585"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4E98F287"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绩效分配</w:t>
            </w:r>
          </w:p>
        </w:tc>
        <w:tc>
          <w:tcPr>
            <w:tcW w:w="3228" w:type="pct"/>
          </w:tcPr>
          <w:p w14:paraId="5C9CFC42" w14:textId="77777777" w:rsidR="000A4784" w:rsidRDefault="000A4784" w:rsidP="00BB6C41">
            <w:pPr>
              <w:pStyle w:val="TableParagraph"/>
              <w:spacing w:before="107"/>
              <w:ind w:firstLineChars="200" w:firstLine="480"/>
              <w:jc w:val="left"/>
              <w:rPr>
                <w:rFonts w:ascii="仿宋" w:eastAsia="仿宋" w:hAnsi="仿宋" w:cs="仿宋"/>
                <w:bCs/>
                <w:color w:val="000000"/>
                <w:sz w:val="24"/>
                <w:szCs w:val="24"/>
              </w:rPr>
            </w:pPr>
            <w:r>
              <w:rPr>
                <w:rFonts w:ascii="仿宋" w:eastAsia="仿宋" w:hAnsi="仿宋" w:cs="仿宋" w:hint="eastAsia"/>
                <w:bCs/>
                <w:color w:val="000000"/>
                <w:sz w:val="24"/>
                <w:szCs w:val="24"/>
              </w:rPr>
              <w:t>根据绩效算法核算医生的诊断绩效、执行绩效、护理绩效、</w:t>
            </w:r>
          </w:p>
          <w:p w14:paraId="0D865A4E" w14:textId="77777777" w:rsidR="000A4784" w:rsidRDefault="000A4784" w:rsidP="00BB6C41">
            <w:pPr>
              <w:pStyle w:val="TableParagraph"/>
              <w:spacing w:before="107"/>
              <w:ind w:firstLineChars="200" w:firstLine="480"/>
              <w:jc w:val="left"/>
              <w:rPr>
                <w:rFonts w:ascii="仿宋" w:eastAsia="仿宋" w:hAnsi="仿宋" w:cs="仿宋"/>
                <w:bCs/>
                <w:color w:val="000000"/>
                <w:sz w:val="24"/>
                <w:szCs w:val="24"/>
              </w:rPr>
            </w:pPr>
            <w:r>
              <w:rPr>
                <w:rFonts w:ascii="仿宋" w:eastAsia="仿宋" w:hAnsi="仿宋" w:cs="仿宋" w:hint="eastAsia"/>
                <w:bCs/>
                <w:color w:val="000000"/>
                <w:sz w:val="24"/>
                <w:szCs w:val="24"/>
              </w:rPr>
              <w:t>成本数据等。</w:t>
            </w:r>
          </w:p>
        </w:tc>
      </w:tr>
      <w:tr w:rsidR="000A4784" w14:paraId="6419B0CC" w14:textId="77777777" w:rsidTr="00BB6C41">
        <w:trPr>
          <w:jc w:val="center"/>
        </w:trPr>
        <w:tc>
          <w:tcPr>
            <w:tcW w:w="755" w:type="pct"/>
            <w:vMerge/>
            <w:vAlign w:val="center"/>
          </w:tcPr>
          <w:p w14:paraId="0535CEEC"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7C4FE15D"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绩效核算表</w:t>
            </w:r>
          </w:p>
        </w:tc>
        <w:tc>
          <w:tcPr>
            <w:tcW w:w="3228" w:type="pct"/>
          </w:tcPr>
          <w:p w14:paraId="1F859E61"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根据不同科室的格式可定义不同的绩效核算表，并支持在科室客户端进行查看。</w:t>
            </w:r>
          </w:p>
        </w:tc>
      </w:tr>
      <w:tr w:rsidR="000A4784" w14:paraId="6237F078" w14:textId="77777777" w:rsidTr="00BB6C41">
        <w:trPr>
          <w:jc w:val="center"/>
        </w:trPr>
        <w:tc>
          <w:tcPr>
            <w:tcW w:w="755" w:type="pct"/>
            <w:vMerge/>
            <w:vAlign w:val="center"/>
          </w:tcPr>
          <w:p w14:paraId="48A07FD7"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50552D00"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绩效项目查询</w:t>
            </w:r>
          </w:p>
        </w:tc>
        <w:tc>
          <w:tcPr>
            <w:tcW w:w="3228" w:type="pct"/>
          </w:tcPr>
          <w:p w14:paraId="6EAC474B"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提供动态的查询绩效项目的构成情况</w:t>
            </w:r>
          </w:p>
        </w:tc>
      </w:tr>
      <w:tr w:rsidR="000A4784" w14:paraId="259893B6" w14:textId="77777777" w:rsidTr="00BB6C41">
        <w:trPr>
          <w:jc w:val="center"/>
        </w:trPr>
        <w:tc>
          <w:tcPr>
            <w:tcW w:w="755" w:type="pct"/>
            <w:vMerge/>
            <w:vAlign w:val="center"/>
          </w:tcPr>
          <w:p w14:paraId="17111EE9"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06DB9907"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绩效发布</w:t>
            </w:r>
          </w:p>
        </w:tc>
        <w:tc>
          <w:tcPr>
            <w:tcW w:w="3228" w:type="pct"/>
          </w:tcPr>
          <w:p w14:paraId="318A66DA"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本月绩效核算完成后，需要进行发布后，各科室方可进行绩效的查看与分配。</w:t>
            </w:r>
          </w:p>
        </w:tc>
      </w:tr>
      <w:tr w:rsidR="000A4784" w14:paraId="2E548A5E" w14:textId="77777777" w:rsidTr="00BB6C41">
        <w:trPr>
          <w:jc w:val="center"/>
        </w:trPr>
        <w:tc>
          <w:tcPr>
            <w:tcW w:w="755" w:type="pct"/>
            <w:vMerge/>
            <w:vAlign w:val="center"/>
          </w:tcPr>
          <w:p w14:paraId="696770C6"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405E5CF5"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月末结账</w:t>
            </w:r>
          </w:p>
        </w:tc>
        <w:tc>
          <w:tcPr>
            <w:tcW w:w="3228" w:type="pct"/>
          </w:tcPr>
          <w:p w14:paraId="7F20F499"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本月绩效核算分配完成后，结转至下个月，结账后对本月的数据进行审核锁定，不可再次修改。</w:t>
            </w:r>
          </w:p>
        </w:tc>
      </w:tr>
      <w:tr w:rsidR="000A4784" w14:paraId="59557C21" w14:textId="77777777" w:rsidTr="00BB6C41">
        <w:trPr>
          <w:jc w:val="center"/>
        </w:trPr>
        <w:tc>
          <w:tcPr>
            <w:tcW w:w="755" w:type="pct"/>
            <w:vMerge w:val="restart"/>
            <w:vAlign w:val="center"/>
          </w:tcPr>
          <w:p w14:paraId="7C4D0A7E"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绩效发放</w:t>
            </w:r>
          </w:p>
        </w:tc>
        <w:tc>
          <w:tcPr>
            <w:tcW w:w="1016" w:type="pct"/>
            <w:vAlign w:val="center"/>
          </w:tcPr>
          <w:p w14:paraId="32987584"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栏目管理</w:t>
            </w:r>
          </w:p>
        </w:tc>
        <w:tc>
          <w:tcPr>
            <w:tcW w:w="3228" w:type="pct"/>
          </w:tcPr>
          <w:p w14:paraId="1DE1189B" w14:textId="77777777" w:rsidR="000A4784" w:rsidRDefault="000A4784" w:rsidP="00BB6C41">
            <w:pPr>
              <w:pStyle w:val="TableParagraph"/>
              <w:spacing w:before="107"/>
              <w:ind w:firstLineChars="200" w:firstLine="480"/>
              <w:jc w:val="left"/>
              <w:rPr>
                <w:rFonts w:ascii="仿宋" w:eastAsia="仿宋" w:hAnsi="仿宋" w:cs="仿宋"/>
                <w:bCs/>
                <w:color w:val="000000"/>
                <w:sz w:val="24"/>
                <w:szCs w:val="24"/>
              </w:rPr>
            </w:pPr>
            <w:r>
              <w:rPr>
                <w:rFonts w:ascii="仿宋" w:eastAsia="仿宋" w:hAnsi="仿宋" w:cs="仿宋" w:hint="eastAsia"/>
                <w:bCs/>
                <w:color w:val="000000"/>
                <w:sz w:val="24"/>
                <w:szCs w:val="24"/>
              </w:rPr>
              <w:t>对人员档案内置的栏目管理。包括：岗位类别、编制类别、</w:t>
            </w:r>
          </w:p>
          <w:p w14:paraId="5F79A901" w14:textId="77777777" w:rsidR="000A4784" w:rsidRDefault="000A4784" w:rsidP="00BB6C41">
            <w:pPr>
              <w:pStyle w:val="TableParagraph"/>
              <w:spacing w:before="107"/>
              <w:ind w:firstLineChars="200" w:firstLine="480"/>
              <w:jc w:val="left"/>
              <w:rPr>
                <w:rFonts w:ascii="仿宋" w:eastAsia="仿宋" w:hAnsi="仿宋" w:cs="仿宋"/>
                <w:bCs/>
                <w:color w:val="000000"/>
                <w:sz w:val="24"/>
                <w:szCs w:val="24"/>
              </w:rPr>
            </w:pPr>
            <w:r>
              <w:rPr>
                <w:rFonts w:ascii="仿宋" w:eastAsia="仿宋" w:hAnsi="仿宋" w:cs="仿宋" w:hint="eastAsia"/>
                <w:bCs/>
                <w:color w:val="000000"/>
                <w:sz w:val="24"/>
                <w:szCs w:val="24"/>
              </w:rPr>
              <w:t>职务、职称、系数等设置</w:t>
            </w:r>
          </w:p>
        </w:tc>
      </w:tr>
      <w:tr w:rsidR="000A4784" w14:paraId="4F50CF84" w14:textId="77777777" w:rsidTr="00BB6C41">
        <w:trPr>
          <w:jc w:val="center"/>
        </w:trPr>
        <w:tc>
          <w:tcPr>
            <w:tcW w:w="755" w:type="pct"/>
            <w:vMerge/>
            <w:vAlign w:val="center"/>
          </w:tcPr>
          <w:p w14:paraId="3F87E5FD"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5B8EF93E"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人员档案</w:t>
            </w:r>
          </w:p>
        </w:tc>
        <w:tc>
          <w:tcPr>
            <w:tcW w:w="3228" w:type="pct"/>
          </w:tcPr>
          <w:p w14:paraId="16FCB3AA" w14:textId="77777777" w:rsidR="000A4784" w:rsidRDefault="000A4784" w:rsidP="00BB6C41">
            <w:pPr>
              <w:pStyle w:val="TableParagraph"/>
              <w:spacing w:before="107"/>
              <w:ind w:firstLineChars="200" w:firstLine="480"/>
              <w:jc w:val="left"/>
              <w:rPr>
                <w:rFonts w:ascii="仿宋" w:eastAsia="仿宋" w:hAnsi="仿宋" w:cs="仿宋"/>
                <w:bCs/>
                <w:color w:val="000000"/>
                <w:sz w:val="24"/>
                <w:szCs w:val="24"/>
              </w:rPr>
            </w:pPr>
            <w:r>
              <w:rPr>
                <w:rFonts w:ascii="仿宋" w:eastAsia="仿宋" w:hAnsi="仿宋" w:cs="仿宋" w:hint="eastAsia"/>
                <w:bCs/>
                <w:color w:val="000000"/>
                <w:sz w:val="24"/>
                <w:szCs w:val="24"/>
              </w:rPr>
              <w:t>提供人员档案库管理功能。包括人员的增加、修改、删除、</w:t>
            </w:r>
          </w:p>
          <w:p w14:paraId="77854910" w14:textId="77777777" w:rsidR="000A4784" w:rsidRDefault="000A4784" w:rsidP="00BB6C41">
            <w:pPr>
              <w:pStyle w:val="TableParagraph"/>
              <w:spacing w:before="107"/>
              <w:ind w:firstLineChars="200" w:firstLine="480"/>
              <w:jc w:val="left"/>
              <w:rPr>
                <w:rFonts w:ascii="仿宋" w:eastAsia="仿宋" w:hAnsi="仿宋" w:cs="仿宋"/>
                <w:bCs/>
                <w:color w:val="000000"/>
                <w:sz w:val="24"/>
                <w:szCs w:val="24"/>
              </w:rPr>
            </w:pPr>
            <w:r>
              <w:rPr>
                <w:rFonts w:ascii="仿宋" w:eastAsia="仿宋" w:hAnsi="仿宋" w:cs="仿宋" w:hint="eastAsia"/>
                <w:bCs/>
                <w:color w:val="000000"/>
                <w:sz w:val="24"/>
                <w:szCs w:val="24"/>
              </w:rPr>
              <w:t>数据导入等。</w:t>
            </w:r>
          </w:p>
        </w:tc>
      </w:tr>
      <w:tr w:rsidR="000A4784" w14:paraId="31DE088B" w14:textId="77777777" w:rsidTr="00BB6C41">
        <w:trPr>
          <w:jc w:val="center"/>
        </w:trPr>
        <w:tc>
          <w:tcPr>
            <w:tcW w:w="755" w:type="pct"/>
            <w:vMerge/>
            <w:vAlign w:val="center"/>
          </w:tcPr>
          <w:p w14:paraId="6A35D996"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2EE93924"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人员调动</w:t>
            </w:r>
          </w:p>
        </w:tc>
        <w:tc>
          <w:tcPr>
            <w:tcW w:w="3228" w:type="pct"/>
          </w:tcPr>
          <w:p w14:paraId="4441F843"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实现对人员的部门调动操作。</w:t>
            </w:r>
          </w:p>
        </w:tc>
      </w:tr>
      <w:tr w:rsidR="000A4784" w14:paraId="59708223" w14:textId="77777777" w:rsidTr="00BB6C41">
        <w:trPr>
          <w:jc w:val="center"/>
        </w:trPr>
        <w:tc>
          <w:tcPr>
            <w:tcW w:w="755" w:type="pct"/>
            <w:vMerge/>
            <w:vAlign w:val="center"/>
          </w:tcPr>
          <w:p w14:paraId="2DFA8D0C"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0001C2F4"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表结构</w:t>
            </w:r>
          </w:p>
        </w:tc>
        <w:tc>
          <w:tcPr>
            <w:tcW w:w="3228" w:type="pct"/>
          </w:tcPr>
          <w:p w14:paraId="5EA0C9F4"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根据医院需求设置发放表的结构。</w:t>
            </w:r>
          </w:p>
        </w:tc>
      </w:tr>
      <w:tr w:rsidR="000A4784" w14:paraId="6B713F81" w14:textId="77777777" w:rsidTr="00BB6C41">
        <w:trPr>
          <w:jc w:val="center"/>
        </w:trPr>
        <w:tc>
          <w:tcPr>
            <w:tcW w:w="755" w:type="pct"/>
            <w:vMerge/>
            <w:vAlign w:val="center"/>
          </w:tcPr>
          <w:p w14:paraId="4C3D6104"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69BFAA4C"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平衡关系设置</w:t>
            </w:r>
          </w:p>
        </w:tc>
        <w:tc>
          <w:tcPr>
            <w:tcW w:w="3228" w:type="pct"/>
          </w:tcPr>
          <w:p w14:paraId="78F50943"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定义发放表和绩效核算的平衡关系。</w:t>
            </w:r>
          </w:p>
        </w:tc>
      </w:tr>
      <w:tr w:rsidR="000A4784" w14:paraId="14D8BD2E" w14:textId="77777777" w:rsidTr="00BB6C41">
        <w:trPr>
          <w:jc w:val="center"/>
        </w:trPr>
        <w:tc>
          <w:tcPr>
            <w:tcW w:w="755" w:type="pct"/>
            <w:vMerge/>
            <w:vAlign w:val="center"/>
          </w:tcPr>
          <w:p w14:paraId="729E34EA"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3A60FB5B"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发放表</w:t>
            </w:r>
          </w:p>
        </w:tc>
        <w:tc>
          <w:tcPr>
            <w:tcW w:w="3228" w:type="pct"/>
          </w:tcPr>
          <w:p w14:paraId="35979FC3"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提供发放表功能。实现由各科室在客户端进行绩效数据的分配和上报。</w:t>
            </w:r>
          </w:p>
        </w:tc>
      </w:tr>
      <w:tr w:rsidR="000A4784" w14:paraId="48A0AA17" w14:textId="77777777" w:rsidTr="00BB6C41">
        <w:trPr>
          <w:jc w:val="center"/>
        </w:trPr>
        <w:tc>
          <w:tcPr>
            <w:tcW w:w="755" w:type="pct"/>
            <w:vMerge/>
            <w:vAlign w:val="center"/>
          </w:tcPr>
          <w:p w14:paraId="59DE502C"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40B6863F"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格式编辑</w:t>
            </w:r>
          </w:p>
        </w:tc>
        <w:tc>
          <w:tcPr>
            <w:tcW w:w="3228" w:type="pct"/>
          </w:tcPr>
          <w:p w14:paraId="3548E5B2"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对发放表可实现批量编辑功能。</w:t>
            </w:r>
          </w:p>
        </w:tc>
      </w:tr>
      <w:tr w:rsidR="000A4784" w14:paraId="3B886EF7" w14:textId="77777777" w:rsidTr="00BB6C41">
        <w:trPr>
          <w:jc w:val="center"/>
        </w:trPr>
        <w:tc>
          <w:tcPr>
            <w:tcW w:w="755" w:type="pct"/>
            <w:vMerge/>
            <w:vAlign w:val="center"/>
          </w:tcPr>
          <w:p w14:paraId="56AA18AF"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5681D3BB"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统计报表</w:t>
            </w:r>
          </w:p>
        </w:tc>
        <w:tc>
          <w:tcPr>
            <w:tcW w:w="3228" w:type="pct"/>
          </w:tcPr>
          <w:p w14:paraId="4DA484D3"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内置各种数据统计报表。如：部门发放汇总表、个人发放清单等。</w:t>
            </w:r>
          </w:p>
        </w:tc>
      </w:tr>
      <w:tr w:rsidR="000A4784" w14:paraId="17DD1690" w14:textId="77777777" w:rsidTr="00BB6C41">
        <w:trPr>
          <w:jc w:val="center"/>
        </w:trPr>
        <w:tc>
          <w:tcPr>
            <w:tcW w:w="755" w:type="pct"/>
            <w:vMerge/>
            <w:vAlign w:val="center"/>
          </w:tcPr>
          <w:p w14:paraId="7C15CB2D"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6B206831"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综合查询</w:t>
            </w:r>
          </w:p>
        </w:tc>
        <w:tc>
          <w:tcPr>
            <w:tcW w:w="3228" w:type="pct"/>
          </w:tcPr>
          <w:p w14:paraId="554A20E7"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可设置任何条件查询绩效发放数据。</w:t>
            </w:r>
          </w:p>
        </w:tc>
      </w:tr>
      <w:tr w:rsidR="000A4784" w14:paraId="2F964C2E" w14:textId="77777777" w:rsidTr="00BB6C41">
        <w:trPr>
          <w:jc w:val="center"/>
        </w:trPr>
        <w:tc>
          <w:tcPr>
            <w:tcW w:w="755" w:type="pct"/>
            <w:vMerge/>
            <w:vAlign w:val="center"/>
          </w:tcPr>
          <w:p w14:paraId="17B74138"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6C4DCFF1"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生成</w:t>
            </w:r>
            <w:proofErr w:type="gramStart"/>
            <w:r>
              <w:rPr>
                <w:rFonts w:ascii="仿宋" w:eastAsia="仿宋" w:hAnsi="仿宋" w:cs="仿宋" w:hint="eastAsia"/>
                <w:bCs/>
                <w:color w:val="000000"/>
                <w:sz w:val="24"/>
                <w:szCs w:val="24"/>
              </w:rPr>
              <w:t>收支台</w:t>
            </w:r>
            <w:proofErr w:type="gramEnd"/>
            <w:r>
              <w:rPr>
                <w:rFonts w:ascii="仿宋" w:eastAsia="仿宋" w:hAnsi="仿宋" w:cs="仿宋" w:hint="eastAsia"/>
                <w:bCs/>
                <w:color w:val="000000"/>
                <w:sz w:val="24"/>
                <w:szCs w:val="24"/>
              </w:rPr>
              <w:t>账</w:t>
            </w:r>
          </w:p>
        </w:tc>
        <w:tc>
          <w:tcPr>
            <w:tcW w:w="3228" w:type="pct"/>
          </w:tcPr>
          <w:p w14:paraId="002F3F26"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根据绩效发放表，生成到</w:t>
            </w:r>
            <w:proofErr w:type="gramStart"/>
            <w:r>
              <w:rPr>
                <w:rFonts w:ascii="仿宋" w:eastAsia="仿宋" w:hAnsi="仿宋" w:cs="仿宋" w:hint="eastAsia"/>
                <w:bCs/>
                <w:color w:val="000000"/>
                <w:sz w:val="24"/>
                <w:szCs w:val="24"/>
              </w:rPr>
              <w:t>收支台</w:t>
            </w:r>
            <w:proofErr w:type="gramEnd"/>
            <w:r>
              <w:rPr>
                <w:rFonts w:ascii="仿宋" w:eastAsia="仿宋" w:hAnsi="仿宋" w:cs="仿宋" w:hint="eastAsia"/>
                <w:bCs/>
                <w:color w:val="000000"/>
                <w:sz w:val="24"/>
                <w:szCs w:val="24"/>
              </w:rPr>
              <w:t>账中</w:t>
            </w:r>
          </w:p>
        </w:tc>
      </w:tr>
      <w:tr w:rsidR="000A4784" w14:paraId="6B9573AC" w14:textId="77777777" w:rsidTr="00BB6C41">
        <w:trPr>
          <w:jc w:val="center"/>
        </w:trPr>
        <w:tc>
          <w:tcPr>
            <w:tcW w:w="755" w:type="pct"/>
            <w:vMerge/>
            <w:vAlign w:val="center"/>
          </w:tcPr>
          <w:p w14:paraId="33F53D1B"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6236061B"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审核中心</w:t>
            </w:r>
          </w:p>
        </w:tc>
        <w:tc>
          <w:tcPr>
            <w:tcW w:w="3228" w:type="pct"/>
          </w:tcPr>
          <w:p w14:paraId="4D9516B8"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对绩效发放数据的审核，审核后不可再次修改。</w:t>
            </w:r>
          </w:p>
        </w:tc>
      </w:tr>
      <w:tr w:rsidR="000A4784" w14:paraId="208E98A2" w14:textId="77777777" w:rsidTr="00BB6C41">
        <w:trPr>
          <w:jc w:val="center"/>
        </w:trPr>
        <w:tc>
          <w:tcPr>
            <w:tcW w:w="755" w:type="pct"/>
            <w:vMerge w:val="restart"/>
            <w:vAlign w:val="center"/>
          </w:tcPr>
          <w:p w14:paraId="5F837DBA"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考勤管理</w:t>
            </w:r>
          </w:p>
        </w:tc>
        <w:tc>
          <w:tcPr>
            <w:tcW w:w="1016" w:type="pct"/>
            <w:vAlign w:val="center"/>
          </w:tcPr>
          <w:p w14:paraId="527B264E"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考勤方案设置</w:t>
            </w:r>
          </w:p>
        </w:tc>
        <w:tc>
          <w:tcPr>
            <w:tcW w:w="3228" w:type="pct"/>
          </w:tcPr>
          <w:p w14:paraId="59796117"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对排班及考勤的方案进行设置和定义</w:t>
            </w:r>
          </w:p>
        </w:tc>
      </w:tr>
      <w:tr w:rsidR="000A4784" w14:paraId="5292BC88" w14:textId="77777777" w:rsidTr="00BB6C41">
        <w:trPr>
          <w:jc w:val="center"/>
        </w:trPr>
        <w:tc>
          <w:tcPr>
            <w:tcW w:w="755" w:type="pct"/>
            <w:vMerge/>
            <w:vAlign w:val="center"/>
          </w:tcPr>
          <w:p w14:paraId="19823A33"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33FF649C"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考勤数据录入</w:t>
            </w:r>
          </w:p>
        </w:tc>
        <w:tc>
          <w:tcPr>
            <w:tcW w:w="3228" w:type="pct"/>
          </w:tcPr>
          <w:p w14:paraId="67C38358"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支持一人多科的考勤数据管理，支持从外部数据库导入考勤数据。</w:t>
            </w:r>
          </w:p>
        </w:tc>
      </w:tr>
      <w:tr w:rsidR="000A4784" w14:paraId="0694273A" w14:textId="77777777" w:rsidTr="00BB6C41">
        <w:trPr>
          <w:jc w:val="center"/>
        </w:trPr>
        <w:tc>
          <w:tcPr>
            <w:tcW w:w="755" w:type="pct"/>
            <w:vMerge/>
            <w:vAlign w:val="center"/>
          </w:tcPr>
          <w:p w14:paraId="62578705"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52E3ADF2"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考勤数据下发</w:t>
            </w:r>
          </w:p>
        </w:tc>
        <w:tc>
          <w:tcPr>
            <w:tcW w:w="3228" w:type="pct"/>
          </w:tcPr>
          <w:p w14:paraId="039502AC"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考勤数据可下发到各临床科室进行确认。</w:t>
            </w:r>
          </w:p>
        </w:tc>
      </w:tr>
      <w:tr w:rsidR="000A4784" w14:paraId="432E8FAD" w14:textId="77777777" w:rsidTr="00BB6C41">
        <w:trPr>
          <w:jc w:val="center"/>
        </w:trPr>
        <w:tc>
          <w:tcPr>
            <w:tcW w:w="755" w:type="pct"/>
            <w:vMerge/>
            <w:vAlign w:val="center"/>
          </w:tcPr>
          <w:p w14:paraId="7CB18C05"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4255A59C"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考勤数据统计</w:t>
            </w:r>
          </w:p>
        </w:tc>
        <w:tc>
          <w:tcPr>
            <w:tcW w:w="3228" w:type="pct"/>
          </w:tcPr>
          <w:p w14:paraId="6ABF2D02"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可按科室生成考勤统计表。</w:t>
            </w:r>
          </w:p>
        </w:tc>
      </w:tr>
      <w:tr w:rsidR="000A4784" w14:paraId="1252AB6A" w14:textId="77777777" w:rsidTr="00BB6C41">
        <w:trPr>
          <w:jc w:val="center"/>
        </w:trPr>
        <w:tc>
          <w:tcPr>
            <w:tcW w:w="755" w:type="pct"/>
            <w:vMerge w:val="restart"/>
            <w:vAlign w:val="center"/>
          </w:tcPr>
          <w:p w14:paraId="6C4AB38A"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绩效分析</w:t>
            </w:r>
          </w:p>
        </w:tc>
        <w:tc>
          <w:tcPr>
            <w:tcW w:w="1016" w:type="pct"/>
            <w:vAlign w:val="center"/>
          </w:tcPr>
          <w:p w14:paraId="08D6B138"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收入明细查询</w:t>
            </w:r>
          </w:p>
        </w:tc>
        <w:tc>
          <w:tcPr>
            <w:tcW w:w="3228" w:type="pct"/>
          </w:tcPr>
          <w:p w14:paraId="2F595D07"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可查询各科室的收入明细情况。包括工作量收入</w:t>
            </w:r>
            <w:r>
              <w:rPr>
                <w:rFonts w:ascii="仿宋" w:eastAsia="仿宋" w:hAnsi="仿宋" w:cs="仿宋" w:hint="eastAsia"/>
                <w:bCs/>
                <w:color w:val="000000"/>
                <w:sz w:val="24"/>
                <w:szCs w:val="24"/>
              </w:rPr>
              <w:lastRenderedPageBreak/>
              <w:t>和业务收入</w:t>
            </w:r>
          </w:p>
        </w:tc>
      </w:tr>
      <w:tr w:rsidR="000A4784" w14:paraId="48595526" w14:textId="77777777" w:rsidTr="00BB6C41">
        <w:trPr>
          <w:jc w:val="center"/>
        </w:trPr>
        <w:tc>
          <w:tcPr>
            <w:tcW w:w="755" w:type="pct"/>
            <w:vMerge/>
            <w:vAlign w:val="center"/>
          </w:tcPr>
          <w:p w14:paraId="0886BB22"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33C5AE9D"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支出明细查询</w:t>
            </w:r>
          </w:p>
        </w:tc>
        <w:tc>
          <w:tcPr>
            <w:tcW w:w="3228" w:type="pct"/>
          </w:tcPr>
          <w:p w14:paraId="41C89DC5"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可查询各科室的支出明细情况。包括核算前、核算后的数据。</w:t>
            </w:r>
          </w:p>
        </w:tc>
      </w:tr>
      <w:tr w:rsidR="000A4784" w14:paraId="03DC2DC7" w14:textId="77777777" w:rsidTr="00BB6C41">
        <w:trPr>
          <w:jc w:val="center"/>
        </w:trPr>
        <w:tc>
          <w:tcPr>
            <w:tcW w:w="755" w:type="pct"/>
            <w:vMerge/>
            <w:vAlign w:val="center"/>
          </w:tcPr>
          <w:p w14:paraId="262470B1"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5F0400A1"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收支结余查询</w:t>
            </w:r>
          </w:p>
        </w:tc>
        <w:tc>
          <w:tcPr>
            <w:tcW w:w="3228" w:type="pct"/>
          </w:tcPr>
          <w:p w14:paraId="37990185"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可查询各科室的收支结余情况</w:t>
            </w:r>
          </w:p>
        </w:tc>
      </w:tr>
      <w:tr w:rsidR="000A4784" w14:paraId="4D427BDD" w14:textId="77777777" w:rsidTr="00BB6C41">
        <w:trPr>
          <w:jc w:val="center"/>
        </w:trPr>
        <w:tc>
          <w:tcPr>
            <w:tcW w:w="755" w:type="pct"/>
            <w:vMerge/>
            <w:vAlign w:val="center"/>
          </w:tcPr>
          <w:p w14:paraId="30D4D255"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6F95D2B4"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对比分析查询</w:t>
            </w:r>
          </w:p>
        </w:tc>
        <w:tc>
          <w:tcPr>
            <w:tcW w:w="3228" w:type="pct"/>
          </w:tcPr>
          <w:p w14:paraId="61C13CB3"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可查询</w:t>
            </w:r>
            <w:proofErr w:type="gramStart"/>
            <w:r>
              <w:rPr>
                <w:rFonts w:ascii="仿宋" w:eastAsia="仿宋" w:hAnsi="仿宋" w:cs="仿宋" w:hint="eastAsia"/>
                <w:bCs/>
                <w:color w:val="000000"/>
                <w:sz w:val="24"/>
                <w:szCs w:val="24"/>
              </w:rPr>
              <w:t>各项目按科室</w:t>
            </w:r>
            <w:proofErr w:type="gramEnd"/>
            <w:r>
              <w:rPr>
                <w:rFonts w:ascii="仿宋" w:eastAsia="仿宋" w:hAnsi="仿宋" w:cs="仿宋" w:hint="eastAsia"/>
                <w:bCs/>
                <w:color w:val="000000"/>
                <w:sz w:val="24"/>
                <w:szCs w:val="24"/>
              </w:rPr>
              <w:t>的对比分析情况。支持跨年度、多类别的进行对比分析。</w:t>
            </w:r>
          </w:p>
        </w:tc>
      </w:tr>
      <w:tr w:rsidR="000A4784" w14:paraId="561BF4B3" w14:textId="77777777" w:rsidTr="00BB6C41">
        <w:trPr>
          <w:jc w:val="center"/>
        </w:trPr>
        <w:tc>
          <w:tcPr>
            <w:tcW w:w="755" w:type="pct"/>
            <w:vMerge/>
            <w:vAlign w:val="center"/>
          </w:tcPr>
          <w:p w14:paraId="0A96A927"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50E3E4CE"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收入项目月表</w:t>
            </w:r>
          </w:p>
        </w:tc>
        <w:tc>
          <w:tcPr>
            <w:tcW w:w="3228" w:type="pct"/>
          </w:tcPr>
          <w:p w14:paraId="51CD900C"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对收入项目按月汇总查询</w:t>
            </w:r>
          </w:p>
        </w:tc>
      </w:tr>
      <w:tr w:rsidR="000A4784" w14:paraId="5085FFF4" w14:textId="77777777" w:rsidTr="00BB6C41">
        <w:trPr>
          <w:jc w:val="center"/>
        </w:trPr>
        <w:tc>
          <w:tcPr>
            <w:tcW w:w="755" w:type="pct"/>
            <w:vMerge/>
            <w:vAlign w:val="center"/>
          </w:tcPr>
          <w:p w14:paraId="098756CA"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28193C1B"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支出</w:t>
            </w:r>
            <w:proofErr w:type="gramStart"/>
            <w:r>
              <w:rPr>
                <w:rFonts w:ascii="仿宋" w:eastAsia="仿宋" w:hAnsi="仿宋" w:cs="仿宋" w:hint="eastAsia"/>
                <w:bCs/>
                <w:color w:val="000000"/>
                <w:sz w:val="24"/>
                <w:szCs w:val="24"/>
              </w:rPr>
              <w:t>项目月</w:t>
            </w:r>
            <w:proofErr w:type="gramEnd"/>
            <w:r>
              <w:rPr>
                <w:rFonts w:ascii="仿宋" w:eastAsia="仿宋" w:hAnsi="仿宋" w:cs="仿宋" w:hint="eastAsia"/>
                <w:bCs/>
                <w:color w:val="000000"/>
                <w:sz w:val="24"/>
                <w:szCs w:val="24"/>
              </w:rPr>
              <w:t>报表</w:t>
            </w:r>
          </w:p>
        </w:tc>
        <w:tc>
          <w:tcPr>
            <w:tcW w:w="3228" w:type="pct"/>
          </w:tcPr>
          <w:p w14:paraId="6B239E8A"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对支出项目按月汇总查询</w:t>
            </w:r>
          </w:p>
        </w:tc>
      </w:tr>
      <w:tr w:rsidR="000A4784" w14:paraId="0E20FEC0" w14:textId="77777777" w:rsidTr="00BB6C41">
        <w:trPr>
          <w:jc w:val="center"/>
        </w:trPr>
        <w:tc>
          <w:tcPr>
            <w:tcW w:w="755" w:type="pct"/>
            <w:vMerge/>
            <w:vAlign w:val="center"/>
          </w:tcPr>
          <w:p w14:paraId="3FB91C2A"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3B7A6002"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科室收入台账</w:t>
            </w:r>
          </w:p>
        </w:tc>
        <w:tc>
          <w:tcPr>
            <w:tcW w:w="3228" w:type="pct"/>
          </w:tcPr>
          <w:p w14:paraId="60C20404"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按科室生成各收入项目的台账</w:t>
            </w:r>
          </w:p>
        </w:tc>
      </w:tr>
      <w:tr w:rsidR="000A4784" w14:paraId="17C7A26D" w14:textId="77777777" w:rsidTr="00BB6C41">
        <w:trPr>
          <w:jc w:val="center"/>
        </w:trPr>
        <w:tc>
          <w:tcPr>
            <w:tcW w:w="755" w:type="pct"/>
            <w:vMerge/>
            <w:vAlign w:val="center"/>
          </w:tcPr>
          <w:p w14:paraId="22D9B171"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1478FD8B"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医疗成本核算</w:t>
            </w:r>
          </w:p>
        </w:tc>
        <w:tc>
          <w:tcPr>
            <w:tcW w:w="3228" w:type="pct"/>
          </w:tcPr>
          <w:p w14:paraId="00A36789"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按台账核算成本</w:t>
            </w:r>
          </w:p>
        </w:tc>
      </w:tr>
      <w:tr w:rsidR="000A4784" w14:paraId="7AC28797" w14:textId="77777777" w:rsidTr="00BB6C41">
        <w:trPr>
          <w:jc w:val="center"/>
        </w:trPr>
        <w:tc>
          <w:tcPr>
            <w:tcW w:w="755" w:type="pct"/>
            <w:vMerge/>
            <w:vAlign w:val="center"/>
          </w:tcPr>
          <w:p w14:paraId="60AEF727"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334C8A6B"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科室</w:t>
            </w:r>
            <w:proofErr w:type="gramStart"/>
            <w:r>
              <w:rPr>
                <w:rFonts w:ascii="仿宋" w:eastAsia="仿宋" w:hAnsi="仿宋" w:cs="仿宋" w:hint="eastAsia"/>
                <w:bCs/>
                <w:color w:val="000000"/>
                <w:sz w:val="24"/>
                <w:szCs w:val="24"/>
              </w:rPr>
              <w:t>支出台</w:t>
            </w:r>
            <w:proofErr w:type="gramEnd"/>
            <w:r>
              <w:rPr>
                <w:rFonts w:ascii="仿宋" w:eastAsia="仿宋" w:hAnsi="仿宋" w:cs="仿宋" w:hint="eastAsia"/>
                <w:bCs/>
                <w:color w:val="000000"/>
                <w:sz w:val="24"/>
                <w:szCs w:val="24"/>
              </w:rPr>
              <w:t>账</w:t>
            </w:r>
          </w:p>
        </w:tc>
        <w:tc>
          <w:tcPr>
            <w:tcW w:w="3228" w:type="pct"/>
          </w:tcPr>
          <w:p w14:paraId="1A66F49A"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按科室生成各支出项目的账台</w:t>
            </w:r>
          </w:p>
        </w:tc>
      </w:tr>
      <w:tr w:rsidR="000A4784" w14:paraId="6E8F9C8A" w14:textId="77777777" w:rsidTr="00BB6C41">
        <w:trPr>
          <w:jc w:val="center"/>
        </w:trPr>
        <w:tc>
          <w:tcPr>
            <w:tcW w:w="755" w:type="pct"/>
            <w:vMerge/>
            <w:vAlign w:val="center"/>
          </w:tcPr>
          <w:p w14:paraId="13D8AF48"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7AC927B5"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工作量查询</w:t>
            </w:r>
          </w:p>
        </w:tc>
        <w:tc>
          <w:tcPr>
            <w:tcW w:w="3228" w:type="pct"/>
          </w:tcPr>
          <w:p w14:paraId="120540B2"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可查询医生的各项工作量数据。包括绩效点值情况等</w:t>
            </w:r>
          </w:p>
        </w:tc>
      </w:tr>
      <w:tr w:rsidR="000A4784" w14:paraId="41E8FA28" w14:textId="77777777" w:rsidTr="00BB6C41">
        <w:trPr>
          <w:jc w:val="center"/>
        </w:trPr>
        <w:tc>
          <w:tcPr>
            <w:tcW w:w="755" w:type="pct"/>
            <w:vMerge/>
            <w:vAlign w:val="center"/>
          </w:tcPr>
          <w:p w14:paraId="16755CF6"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2F7C028A"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耗材领用查询</w:t>
            </w:r>
          </w:p>
        </w:tc>
        <w:tc>
          <w:tcPr>
            <w:tcW w:w="3228" w:type="pct"/>
          </w:tcPr>
          <w:p w14:paraId="437A3250"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可查询各科室耗材领用情况。包括出库单号、领用人、类别、领用日期、金额 等信息</w:t>
            </w:r>
          </w:p>
        </w:tc>
      </w:tr>
      <w:tr w:rsidR="000A4784" w14:paraId="12BF4515" w14:textId="77777777" w:rsidTr="00BB6C41">
        <w:trPr>
          <w:jc w:val="center"/>
        </w:trPr>
        <w:tc>
          <w:tcPr>
            <w:tcW w:w="755" w:type="pct"/>
            <w:vMerge w:val="restart"/>
            <w:vAlign w:val="center"/>
          </w:tcPr>
          <w:p w14:paraId="21D1BB3B"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报表管理</w:t>
            </w:r>
          </w:p>
        </w:tc>
        <w:tc>
          <w:tcPr>
            <w:tcW w:w="1016" w:type="pct"/>
            <w:vAlign w:val="center"/>
          </w:tcPr>
          <w:p w14:paraId="06089317"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报表</w:t>
            </w:r>
            <w:proofErr w:type="gramStart"/>
            <w:r>
              <w:rPr>
                <w:rFonts w:ascii="仿宋" w:eastAsia="仿宋" w:hAnsi="仿宋" w:cs="仿宋" w:hint="eastAsia"/>
                <w:bCs/>
                <w:color w:val="000000"/>
                <w:sz w:val="24"/>
                <w:szCs w:val="24"/>
              </w:rPr>
              <w:t>设计器</w:t>
            </w:r>
            <w:proofErr w:type="gramEnd"/>
          </w:p>
        </w:tc>
        <w:tc>
          <w:tcPr>
            <w:tcW w:w="3228" w:type="pct"/>
          </w:tcPr>
          <w:p w14:paraId="11FF85DE"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内置类 EXCEL 的报表设计器。可根据需求定义不同的报表。</w:t>
            </w:r>
          </w:p>
        </w:tc>
      </w:tr>
      <w:tr w:rsidR="000A4784" w14:paraId="32FD73E6" w14:textId="77777777" w:rsidTr="00BB6C41">
        <w:trPr>
          <w:jc w:val="center"/>
        </w:trPr>
        <w:tc>
          <w:tcPr>
            <w:tcW w:w="755" w:type="pct"/>
            <w:vMerge/>
            <w:vAlign w:val="center"/>
          </w:tcPr>
          <w:p w14:paraId="4EC9E948"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330740E7"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高级报表</w:t>
            </w:r>
          </w:p>
        </w:tc>
        <w:tc>
          <w:tcPr>
            <w:tcW w:w="3228" w:type="pct"/>
          </w:tcPr>
          <w:p w14:paraId="3851BE47"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支持使用视图、存储过程等直接生成各种报表。</w:t>
            </w:r>
          </w:p>
        </w:tc>
      </w:tr>
      <w:tr w:rsidR="000A4784" w14:paraId="4692489E" w14:textId="77777777" w:rsidTr="00BB6C41">
        <w:trPr>
          <w:jc w:val="center"/>
        </w:trPr>
        <w:tc>
          <w:tcPr>
            <w:tcW w:w="755" w:type="pct"/>
            <w:vMerge/>
            <w:vAlign w:val="center"/>
          </w:tcPr>
          <w:p w14:paraId="40540AAF"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732AA407"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报表</w:t>
            </w:r>
          </w:p>
        </w:tc>
        <w:tc>
          <w:tcPr>
            <w:tcW w:w="3228" w:type="pct"/>
          </w:tcPr>
          <w:p w14:paraId="45E3932F"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按照医院工作需要直接生成各种月、季、年报表</w:t>
            </w:r>
          </w:p>
        </w:tc>
      </w:tr>
      <w:tr w:rsidR="000A4784" w14:paraId="58ED4A5F" w14:textId="77777777" w:rsidTr="00BB6C41">
        <w:trPr>
          <w:jc w:val="center"/>
        </w:trPr>
        <w:tc>
          <w:tcPr>
            <w:tcW w:w="755" w:type="pct"/>
            <w:vMerge w:val="restart"/>
            <w:vAlign w:val="center"/>
          </w:tcPr>
          <w:p w14:paraId="74F8A75E"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科室绩效 平台</w:t>
            </w:r>
          </w:p>
        </w:tc>
        <w:tc>
          <w:tcPr>
            <w:tcW w:w="1016" w:type="pct"/>
            <w:vAlign w:val="center"/>
          </w:tcPr>
          <w:p w14:paraId="0239B66A"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绩效报表</w:t>
            </w:r>
          </w:p>
        </w:tc>
        <w:tc>
          <w:tcPr>
            <w:tcW w:w="3228" w:type="pct"/>
          </w:tcPr>
          <w:p w14:paraId="7B17BE52"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查看本科室绩效核算报表</w:t>
            </w:r>
          </w:p>
        </w:tc>
      </w:tr>
      <w:tr w:rsidR="000A4784" w14:paraId="17FF0ED3" w14:textId="77777777" w:rsidTr="00BB6C41">
        <w:trPr>
          <w:jc w:val="center"/>
        </w:trPr>
        <w:tc>
          <w:tcPr>
            <w:tcW w:w="755" w:type="pct"/>
            <w:vMerge/>
            <w:vAlign w:val="center"/>
          </w:tcPr>
          <w:p w14:paraId="224B15BA"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358D33AC"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工作量查询</w:t>
            </w:r>
          </w:p>
        </w:tc>
        <w:tc>
          <w:tcPr>
            <w:tcW w:w="3228" w:type="pct"/>
          </w:tcPr>
          <w:p w14:paraId="050422AF" w14:textId="77777777" w:rsidR="000A4784" w:rsidRDefault="000A4784" w:rsidP="00BB6C41">
            <w:pPr>
              <w:pStyle w:val="TableParagraph"/>
              <w:spacing w:before="107"/>
              <w:ind w:firstLineChars="200" w:firstLine="480"/>
              <w:jc w:val="left"/>
              <w:rPr>
                <w:rFonts w:ascii="仿宋" w:eastAsia="仿宋" w:hAnsi="仿宋" w:cs="仿宋"/>
                <w:bCs/>
                <w:color w:val="000000"/>
                <w:sz w:val="24"/>
                <w:szCs w:val="24"/>
              </w:rPr>
            </w:pPr>
            <w:r>
              <w:rPr>
                <w:rFonts w:ascii="仿宋" w:eastAsia="仿宋" w:hAnsi="仿宋" w:cs="仿宋" w:hint="eastAsia"/>
                <w:bCs/>
                <w:color w:val="000000"/>
                <w:sz w:val="24"/>
                <w:szCs w:val="24"/>
              </w:rPr>
              <w:t>查看本科室的工作量情况。包括 RBRVS 点值、绩效费率、</w:t>
            </w:r>
          </w:p>
          <w:p w14:paraId="0AB334D9" w14:textId="77777777" w:rsidR="000A4784" w:rsidRDefault="000A4784" w:rsidP="00BB6C41">
            <w:pPr>
              <w:pStyle w:val="TableParagraph"/>
              <w:spacing w:before="107"/>
              <w:ind w:firstLineChars="200" w:firstLine="480"/>
              <w:jc w:val="left"/>
              <w:rPr>
                <w:rFonts w:ascii="仿宋" w:eastAsia="仿宋" w:hAnsi="仿宋" w:cs="仿宋"/>
                <w:bCs/>
                <w:color w:val="000000"/>
                <w:sz w:val="24"/>
                <w:szCs w:val="24"/>
              </w:rPr>
            </w:pPr>
            <w:r>
              <w:rPr>
                <w:rFonts w:ascii="仿宋" w:eastAsia="仿宋" w:hAnsi="仿宋" w:cs="仿宋" w:hint="eastAsia"/>
                <w:bCs/>
                <w:color w:val="000000"/>
                <w:sz w:val="24"/>
                <w:szCs w:val="24"/>
              </w:rPr>
              <w:t>诊断绩效、执行绩效、护理绩效、手术等级等。</w:t>
            </w:r>
          </w:p>
        </w:tc>
      </w:tr>
      <w:tr w:rsidR="000A4784" w14:paraId="4C46C5C6" w14:textId="77777777" w:rsidTr="00BB6C41">
        <w:trPr>
          <w:jc w:val="center"/>
        </w:trPr>
        <w:tc>
          <w:tcPr>
            <w:tcW w:w="755" w:type="pct"/>
            <w:vMerge/>
            <w:vAlign w:val="center"/>
          </w:tcPr>
          <w:p w14:paraId="2EE86BA7"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2576A595"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耗材领用查询</w:t>
            </w:r>
          </w:p>
        </w:tc>
        <w:tc>
          <w:tcPr>
            <w:tcW w:w="3228" w:type="pct"/>
          </w:tcPr>
          <w:p w14:paraId="53BB1CA5"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查看本科室耗材领用明细情况</w:t>
            </w:r>
          </w:p>
        </w:tc>
      </w:tr>
      <w:tr w:rsidR="000A4784" w14:paraId="0C83A681" w14:textId="77777777" w:rsidTr="00BB6C41">
        <w:trPr>
          <w:jc w:val="center"/>
        </w:trPr>
        <w:tc>
          <w:tcPr>
            <w:tcW w:w="755" w:type="pct"/>
            <w:vMerge/>
            <w:vAlign w:val="center"/>
          </w:tcPr>
          <w:p w14:paraId="521E22FB"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6930E028"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收支查询</w:t>
            </w:r>
          </w:p>
        </w:tc>
        <w:tc>
          <w:tcPr>
            <w:tcW w:w="3228" w:type="pct"/>
          </w:tcPr>
          <w:p w14:paraId="13144ABB"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查看本科室的各种收入和支出情况。包括：收入明细表、支出明细表、收支结余表、科室收入账簿、科室支出账簿、 月报表、对比分析表等。</w:t>
            </w:r>
          </w:p>
        </w:tc>
      </w:tr>
      <w:tr w:rsidR="000A4784" w14:paraId="19E9F109" w14:textId="77777777" w:rsidTr="00BB6C41">
        <w:trPr>
          <w:jc w:val="center"/>
        </w:trPr>
        <w:tc>
          <w:tcPr>
            <w:tcW w:w="755" w:type="pct"/>
            <w:vMerge/>
            <w:vAlign w:val="center"/>
          </w:tcPr>
          <w:p w14:paraId="319749AD" w14:textId="77777777" w:rsidR="000A4784" w:rsidRDefault="000A4784" w:rsidP="00BB6C41">
            <w:pPr>
              <w:pStyle w:val="TableParagraph"/>
              <w:spacing w:before="107"/>
              <w:jc w:val="center"/>
              <w:rPr>
                <w:rFonts w:ascii="仿宋" w:eastAsia="仿宋" w:hAnsi="仿宋" w:cs="仿宋"/>
                <w:bCs/>
                <w:color w:val="000000"/>
                <w:sz w:val="24"/>
                <w:szCs w:val="24"/>
              </w:rPr>
            </w:pPr>
          </w:p>
        </w:tc>
        <w:tc>
          <w:tcPr>
            <w:tcW w:w="1016" w:type="pct"/>
            <w:vAlign w:val="center"/>
          </w:tcPr>
          <w:p w14:paraId="13F24F23" w14:textId="77777777" w:rsidR="000A4784" w:rsidRDefault="000A4784" w:rsidP="00BB6C41">
            <w:pPr>
              <w:pStyle w:val="TableParagraph"/>
              <w:spacing w:before="107"/>
              <w:jc w:val="center"/>
              <w:rPr>
                <w:rFonts w:ascii="仿宋" w:eastAsia="仿宋" w:hAnsi="仿宋" w:cs="仿宋"/>
                <w:bCs/>
                <w:color w:val="000000"/>
                <w:sz w:val="24"/>
                <w:szCs w:val="24"/>
              </w:rPr>
            </w:pPr>
            <w:r>
              <w:rPr>
                <w:rFonts w:ascii="仿宋" w:eastAsia="仿宋" w:hAnsi="仿宋" w:cs="仿宋" w:hint="eastAsia"/>
                <w:bCs/>
                <w:color w:val="000000"/>
                <w:sz w:val="24"/>
                <w:szCs w:val="24"/>
              </w:rPr>
              <w:t>绩效分配</w:t>
            </w:r>
          </w:p>
        </w:tc>
        <w:tc>
          <w:tcPr>
            <w:tcW w:w="3228" w:type="pct"/>
          </w:tcPr>
          <w:p w14:paraId="51D2AAA9" w14:textId="77777777" w:rsidR="000A4784" w:rsidRDefault="000A4784" w:rsidP="00BB6C41">
            <w:pPr>
              <w:pStyle w:val="TableParagraph"/>
              <w:spacing w:before="107"/>
              <w:jc w:val="left"/>
              <w:rPr>
                <w:rFonts w:ascii="仿宋" w:eastAsia="仿宋" w:hAnsi="仿宋" w:cs="仿宋"/>
                <w:bCs/>
                <w:color w:val="000000"/>
                <w:sz w:val="24"/>
                <w:szCs w:val="24"/>
              </w:rPr>
            </w:pPr>
            <w:r>
              <w:rPr>
                <w:rFonts w:ascii="仿宋" w:eastAsia="仿宋" w:hAnsi="仿宋" w:cs="仿宋" w:hint="eastAsia"/>
                <w:bCs/>
                <w:color w:val="000000"/>
                <w:sz w:val="24"/>
                <w:szCs w:val="24"/>
              </w:rPr>
              <w:t>提供在线分配科室绩效功能。分配时提供绩效平衡检测管理，确保分配到每个人。</w:t>
            </w:r>
          </w:p>
        </w:tc>
      </w:tr>
    </w:tbl>
    <w:p w14:paraId="6B5EA408" w14:textId="684254D4" w:rsidR="000A4784" w:rsidRDefault="000A4784" w:rsidP="000A4784">
      <w:pPr>
        <w:adjustRightInd w:val="0"/>
        <w:snapToGrid w:val="0"/>
        <w:spacing w:line="44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2、绩效方案设计：</w:t>
      </w:r>
    </w:p>
    <w:p w14:paraId="28C7C5C3"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1)整体方案保证满足加强医疗卫生行风建设“九项准则”的要求，解决国内收费定价对劳务价值体现不足的问题，满足医院制定的绩效管理目标。方案整体的计算框架应当具有灵活性，可以由医院针对</w:t>
      </w:r>
      <w:proofErr w:type="gramStart"/>
      <w:r>
        <w:rPr>
          <w:rFonts w:ascii="仿宋" w:eastAsia="仿宋" w:hAnsi="仿宋" w:cs="仿宋" w:hint="eastAsia"/>
          <w:sz w:val="24"/>
          <w:szCs w:val="24"/>
        </w:rPr>
        <w:t>医</w:t>
      </w:r>
      <w:proofErr w:type="gramEnd"/>
      <w:r>
        <w:rPr>
          <w:rFonts w:ascii="仿宋" w:eastAsia="仿宋" w:hAnsi="仿宋" w:cs="仿宋" w:hint="eastAsia"/>
          <w:sz w:val="24"/>
          <w:szCs w:val="24"/>
        </w:rPr>
        <w:t>保政策、DRG付费、国家收费价</w:t>
      </w:r>
      <w:proofErr w:type="gramStart"/>
      <w:r>
        <w:rPr>
          <w:rFonts w:ascii="仿宋" w:eastAsia="仿宋" w:hAnsi="仿宋" w:cs="仿宋" w:hint="eastAsia"/>
          <w:sz w:val="24"/>
          <w:szCs w:val="24"/>
        </w:rPr>
        <w:t>表变化</w:t>
      </w:r>
      <w:proofErr w:type="gramEnd"/>
      <w:r>
        <w:rPr>
          <w:rFonts w:ascii="仿宋" w:eastAsia="仿宋" w:hAnsi="仿宋" w:cs="仿宋" w:hint="eastAsia"/>
          <w:sz w:val="24"/>
          <w:szCs w:val="24"/>
        </w:rPr>
        <w:t>进行自主的调整。</w:t>
      </w:r>
    </w:p>
    <w:p w14:paraId="12FA9140"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2)建立“以医院发展目标为导向，以工作量评价为基础，以质量和成本控制为支撑，以基于 DRG 的医疗服务能力评价”，以</w:t>
      </w:r>
      <w:proofErr w:type="gramStart"/>
      <w:r>
        <w:rPr>
          <w:rFonts w:ascii="仿宋" w:eastAsia="仿宋" w:hAnsi="仿宋" w:cs="仿宋" w:hint="eastAsia"/>
          <w:sz w:val="24"/>
          <w:szCs w:val="24"/>
        </w:rPr>
        <w:t>医</w:t>
      </w:r>
      <w:proofErr w:type="gramEnd"/>
      <w:r>
        <w:rPr>
          <w:rFonts w:ascii="仿宋" w:eastAsia="仿宋" w:hAnsi="仿宋" w:cs="仿宋" w:hint="eastAsia"/>
          <w:sz w:val="24"/>
          <w:szCs w:val="24"/>
        </w:rPr>
        <w:t>保DIP分值付费方式为导向,使用评价医务人员劳动价值的 RBRVS 分数计算医生、护理、医技人员的工作量。</w:t>
      </w:r>
    </w:p>
    <w:p w14:paraId="31A2FBB3"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3)实行临床、医技、护理等可执行 RBRVS 的核算单元分别进行绩效工资核算。方案中应当设计体现医护分开后仍能保持</w:t>
      </w:r>
      <w:proofErr w:type="gramStart"/>
      <w:r>
        <w:rPr>
          <w:rFonts w:ascii="仿宋" w:eastAsia="仿宋" w:hAnsi="仿宋" w:cs="仿宋" w:hint="eastAsia"/>
          <w:sz w:val="24"/>
          <w:szCs w:val="24"/>
        </w:rPr>
        <w:t>医</w:t>
      </w:r>
      <w:proofErr w:type="gramEnd"/>
      <w:r>
        <w:rPr>
          <w:rFonts w:ascii="仿宋" w:eastAsia="仿宋" w:hAnsi="仿宋" w:cs="仿宋" w:hint="eastAsia"/>
          <w:sz w:val="24"/>
          <w:szCs w:val="24"/>
        </w:rPr>
        <w:t>、</w:t>
      </w:r>
      <w:proofErr w:type="gramStart"/>
      <w:r>
        <w:rPr>
          <w:rFonts w:ascii="仿宋" w:eastAsia="仿宋" w:hAnsi="仿宋" w:cs="仿宋" w:hint="eastAsia"/>
          <w:sz w:val="24"/>
          <w:szCs w:val="24"/>
        </w:rPr>
        <w:t>护之间</w:t>
      </w:r>
      <w:proofErr w:type="gramEnd"/>
      <w:r>
        <w:rPr>
          <w:rFonts w:ascii="仿宋" w:eastAsia="仿宋" w:hAnsi="仿宋" w:cs="仿宋" w:hint="eastAsia"/>
          <w:sz w:val="24"/>
          <w:szCs w:val="24"/>
        </w:rPr>
        <w:t>合作的方法。</w:t>
      </w:r>
    </w:p>
    <w:p w14:paraId="549EC563"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4)临床、医技科室以科室为核算单元，护理以病区护理单元为核算单元。</w:t>
      </w:r>
    </w:p>
    <w:p w14:paraId="6A074C1E"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5)对临床医生和护理建立二次分配指导意见，各核算单元实行“院科两级分配制度”。</w:t>
      </w:r>
    </w:p>
    <w:p w14:paraId="34FFFCFB"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6)使用国际通行的 RBRVS量化标准把采购人医院所执行的医疗收费项目价格转换为绩效点数，作为衡量医师、护理、医技人员的工作量的基准。</w:t>
      </w:r>
    </w:p>
    <w:p w14:paraId="5B98FA1B"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7)临床医师绩效工资核算方案保证遵循：以公益性为导向、以 RBRVS 和 DRGs 评价和DIP分值付费为基础、以质量和成本控制为支撑原则。</w:t>
      </w:r>
    </w:p>
    <w:p w14:paraId="16BFBE3F"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工作量核算的基本原则：</w:t>
      </w:r>
    </w:p>
    <w:p w14:paraId="54F22198"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必须为医师亲自操作的项目，药品材料完全除外。</w:t>
      </w:r>
    </w:p>
    <w:p w14:paraId="67FFB296"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技术、责任、风险要求高，其分配比率亦高。</w:t>
      </w:r>
    </w:p>
    <w:p w14:paraId="577313AF"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以监督、指导辅助为主的项目，其分配比率相对较低。</w:t>
      </w:r>
    </w:p>
    <w:p w14:paraId="74C70FB1"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单位工作量耗费人力价值相对多的，其绩效分值高；反之分值低。</w:t>
      </w:r>
    </w:p>
    <w:p w14:paraId="13B1E174" w14:textId="53BD4625"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医师绩效工资计算参考公式：医师绩效工资＝医师判读绩效＋医师执行绩效＋科室DRGs绩效－科室不计价耗材×0.5－科室其他成本×0.5－科室医师人员成本</w:t>
      </w:r>
    </w:p>
    <w:p w14:paraId="2A22E533"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判读绩效：指医师判读并确诊病情、制定诊疗计划所得绩效，反映医师脑力技术劳动价值；</w:t>
      </w:r>
    </w:p>
    <w:p w14:paraId="17BFA900"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执行绩效：</w:t>
      </w:r>
      <w:proofErr w:type="gramStart"/>
      <w:r>
        <w:rPr>
          <w:rFonts w:ascii="仿宋" w:eastAsia="仿宋" w:hAnsi="仿宋" w:cs="仿宋" w:hint="eastAsia"/>
          <w:sz w:val="24"/>
          <w:szCs w:val="24"/>
        </w:rPr>
        <w:t>指亲自</w:t>
      </w:r>
      <w:proofErr w:type="gramEnd"/>
      <w:r>
        <w:rPr>
          <w:rFonts w:ascii="仿宋" w:eastAsia="仿宋" w:hAnsi="仿宋" w:cs="仿宋" w:hint="eastAsia"/>
          <w:sz w:val="24"/>
          <w:szCs w:val="24"/>
        </w:rPr>
        <w:t>执行的各项诊疗项目所得绩效，反映医师亲自劳动的价值及医师跨科或共同照护病患、支援诊查的劳动绩效；</w:t>
      </w:r>
    </w:p>
    <w:p w14:paraId="2EC325D0" w14:textId="4C029161"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科室DRGs绩效：使用CMI 或R</w:t>
      </w:r>
      <w:r>
        <w:rPr>
          <w:rFonts w:ascii="仿宋" w:eastAsia="仿宋" w:hAnsi="仿宋" w:cs="仿宋"/>
          <w:sz w:val="24"/>
          <w:szCs w:val="24"/>
        </w:rPr>
        <w:t>W</w:t>
      </w:r>
      <w:r>
        <w:rPr>
          <w:rFonts w:ascii="仿宋" w:eastAsia="仿宋" w:hAnsi="仿宋" w:cs="仿宋" w:hint="eastAsia"/>
          <w:sz w:val="24"/>
          <w:szCs w:val="24"/>
        </w:rPr>
        <w:t>值校正不同科室出院病例的权重，通过权重反映出院病人平均诊断治疗复杂程度的指标。</w:t>
      </w:r>
    </w:p>
    <w:p w14:paraId="0F8E7AFA"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8)护理绩效工资核算方案保证遵循：以护理岗位分级为基础、以护理强度和风险为评价标准、以护理质量和成本控制为依据。方案中保证</w:t>
      </w:r>
      <w:proofErr w:type="gramStart"/>
      <w:r>
        <w:rPr>
          <w:rFonts w:ascii="仿宋" w:eastAsia="仿宋" w:hAnsi="仿宋" w:cs="仿宋" w:hint="eastAsia"/>
          <w:sz w:val="24"/>
          <w:szCs w:val="24"/>
        </w:rPr>
        <w:t>考量</w:t>
      </w:r>
      <w:proofErr w:type="gramEnd"/>
      <w:r>
        <w:rPr>
          <w:rFonts w:ascii="仿宋" w:eastAsia="仿宋" w:hAnsi="仿宋" w:cs="仿宋" w:hint="eastAsia"/>
          <w:sz w:val="24"/>
          <w:szCs w:val="24"/>
        </w:rPr>
        <w:t>的因素：护理实际贡献项目、照护病人基数和照护风险、科室效率和成本管理、工作负担和工作效率衡量、护理质量。</w:t>
      </w:r>
    </w:p>
    <w:p w14:paraId="68107733" w14:textId="490D26AF"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护理绩效工资核算参考公式：护理工作量绩效＝护理直接贡献绩效＋护理照护人次绩效+护理风险绩效－科室不计价耗材×0.5－科室其他成本×0.5－科室</w:t>
      </w:r>
      <w:r>
        <w:rPr>
          <w:rFonts w:ascii="仿宋" w:eastAsia="仿宋" w:hAnsi="仿宋" w:cs="仿宋" w:hint="eastAsia"/>
          <w:sz w:val="24"/>
          <w:szCs w:val="24"/>
        </w:rPr>
        <w:lastRenderedPageBreak/>
        <w:t>护理人员成本。</w:t>
      </w:r>
    </w:p>
    <w:p w14:paraId="5AB9CA13"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护理直接贡献绩效：指常规护理和各项专项治疗操作等所得劳动绩效</w:t>
      </w:r>
    </w:p>
    <w:p w14:paraId="248A1FFC"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照护人次绩效：用于体现无法量化的护理工作量，如病人宣教指导、收费管理等。照护人次指病人(转)入住病区、（转）出院的人次数、手术人次数和</w:t>
      </w:r>
      <w:proofErr w:type="gramStart"/>
      <w:r>
        <w:rPr>
          <w:rFonts w:ascii="仿宋" w:eastAsia="仿宋" w:hAnsi="仿宋" w:cs="仿宋" w:hint="eastAsia"/>
          <w:sz w:val="24"/>
          <w:szCs w:val="24"/>
        </w:rPr>
        <w:t>住院床日总数</w:t>
      </w:r>
      <w:proofErr w:type="gramEnd"/>
      <w:r>
        <w:rPr>
          <w:rFonts w:ascii="仿宋" w:eastAsia="仿宋" w:hAnsi="仿宋" w:cs="仿宋" w:hint="eastAsia"/>
          <w:sz w:val="24"/>
          <w:szCs w:val="24"/>
        </w:rPr>
        <w:t>。</w:t>
      </w:r>
    </w:p>
    <w:p w14:paraId="61F9BB4B"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护理风险绩效：使用护理时数计算，用于体现不同病区的护理繁重度和护理风险等的工作差异。</w:t>
      </w:r>
    </w:p>
    <w:p w14:paraId="449327A7" w14:textId="1891E862"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9)医技科室绩效工资核算参考公式：</w:t>
      </w:r>
    </w:p>
    <w:p w14:paraId="5C6511BA"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医技</w:t>
      </w:r>
      <w:proofErr w:type="gramStart"/>
      <w:r>
        <w:rPr>
          <w:rFonts w:ascii="仿宋" w:eastAsia="仿宋" w:hAnsi="仿宋" w:cs="仿宋" w:hint="eastAsia"/>
          <w:sz w:val="24"/>
          <w:szCs w:val="24"/>
        </w:rPr>
        <w:t>医</w:t>
      </w:r>
      <w:proofErr w:type="gramEnd"/>
      <w:r>
        <w:rPr>
          <w:rFonts w:ascii="仿宋" w:eastAsia="仿宋" w:hAnsi="仿宋" w:cs="仿宋" w:hint="eastAsia"/>
          <w:sz w:val="24"/>
          <w:szCs w:val="24"/>
        </w:rPr>
        <w:t>辅工作量绩效＝判读绩效＋执行绩效－科室不计价耗材－科室其他成本－科室人员成本</w:t>
      </w:r>
    </w:p>
    <w:p w14:paraId="2C65E12A"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10)方案能提供护理时数实际测量数据或医技类工作量权重实绩测量数据。</w:t>
      </w:r>
    </w:p>
    <w:p w14:paraId="5B7BE4DE"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11)方案能进行医、护、</w:t>
      </w:r>
      <w:proofErr w:type="gramStart"/>
      <w:r>
        <w:rPr>
          <w:rFonts w:ascii="仿宋" w:eastAsia="仿宋" w:hAnsi="仿宋" w:cs="仿宋" w:hint="eastAsia"/>
          <w:sz w:val="24"/>
          <w:szCs w:val="24"/>
        </w:rPr>
        <w:t>技不同</w:t>
      </w:r>
      <w:proofErr w:type="gramEnd"/>
      <w:r>
        <w:rPr>
          <w:rFonts w:ascii="仿宋" w:eastAsia="仿宋" w:hAnsi="仿宋" w:cs="仿宋" w:hint="eastAsia"/>
          <w:sz w:val="24"/>
          <w:szCs w:val="24"/>
        </w:rPr>
        <w:t>职系人员绩效系统核算及成本管理核算。</w:t>
      </w:r>
    </w:p>
    <w:p w14:paraId="3B0805F8"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12)方案中应当体现服务量因素。把门诊人次、出院人次、</w:t>
      </w:r>
      <w:proofErr w:type="gramStart"/>
      <w:r>
        <w:rPr>
          <w:rFonts w:ascii="仿宋" w:eastAsia="仿宋" w:hAnsi="仿宋" w:cs="仿宋" w:hint="eastAsia"/>
          <w:sz w:val="24"/>
          <w:szCs w:val="24"/>
        </w:rPr>
        <w:t>占床日</w:t>
      </w:r>
      <w:proofErr w:type="gramEnd"/>
      <w:r>
        <w:rPr>
          <w:rFonts w:ascii="仿宋" w:eastAsia="仿宋" w:hAnsi="仿宋" w:cs="仿宋" w:hint="eastAsia"/>
          <w:sz w:val="24"/>
          <w:szCs w:val="24"/>
        </w:rPr>
        <w:t>、量化为绩效点数，服务量的绩效点数应当可以对应</w:t>
      </w:r>
      <w:proofErr w:type="gramStart"/>
      <w:r>
        <w:rPr>
          <w:rFonts w:ascii="仿宋" w:eastAsia="仿宋" w:hAnsi="仿宋" w:cs="仿宋" w:hint="eastAsia"/>
          <w:sz w:val="24"/>
          <w:szCs w:val="24"/>
        </w:rPr>
        <w:t>医</w:t>
      </w:r>
      <w:proofErr w:type="gramEnd"/>
      <w:r>
        <w:rPr>
          <w:rFonts w:ascii="仿宋" w:eastAsia="仿宋" w:hAnsi="仿宋" w:cs="仿宋" w:hint="eastAsia"/>
          <w:sz w:val="24"/>
          <w:szCs w:val="24"/>
        </w:rPr>
        <w:t>保政策进行调整。</w:t>
      </w:r>
    </w:p>
    <w:p w14:paraId="3DD9D575"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13)方案中应当体现临床医生在</w:t>
      </w:r>
      <w:proofErr w:type="gramStart"/>
      <w:r>
        <w:rPr>
          <w:rFonts w:ascii="仿宋" w:eastAsia="仿宋" w:hAnsi="仿宋" w:cs="仿宋" w:hint="eastAsia"/>
          <w:sz w:val="24"/>
          <w:szCs w:val="24"/>
        </w:rPr>
        <w:t>研判分析</w:t>
      </w:r>
      <w:proofErr w:type="gramEnd"/>
      <w:r>
        <w:rPr>
          <w:rFonts w:ascii="仿宋" w:eastAsia="仿宋" w:hAnsi="仿宋" w:cs="仿宋" w:hint="eastAsia"/>
          <w:sz w:val="24"/>
          <w:szCs w:val="24"/>
        </w:rPr>
        <w:t>检查、检验结果的劳动付出，但是不能以检查和检验项目的收入衡量医务人员的劳动付出。</w:t>
      </w:r>
    </w:p>
    <w:p w14:paraId="68DEC597" w14:textId="77777777"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14)所有核算单元的可控成本均应当纳入绩效工资核算管理。</w:t>
      </w:r>
    </w:p>
    <w:p w14:paraId="24D744BE" w14:textId="2E22E900" w:rsidR="000A4784" w:rsidRDefault="000A4784" w:rsidP="000A4784">
      <w:pPr>
        <w:adjustRightInd w:val="0"/>
        <w:snapToGrid w:val="0"/>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15)建立医院综合目标考核指标库：围绕二级公立医院绩效考核指标，建立医院综合目标考核库，根据医院的发展需求，对每个考核指标赋以不同的权重；结合本院实际，提供综合目标考核指标，考核目标设置及具体比例，由医院另行制定考核细则；建立医院绩效考核指标库系统，系统支持关键业绩指标的提取、录入、汇总、计算等功能。</w:t>
      </w:r>
    </w:p>
    <w:p w14:paraId="3220F402" w14:textId="77777777" w:rsidR="00916B5E" w:rsidRDefault="00916B5E" w:rsidP="00916B5E">
      <w:pPr>
        <w:pStyle w:val="2"/>
        <w:ind w:leftChars="0" w:left="0"/>
        <w:rPr>
          <w:rFonts w:ascii="仿宋" w:eastAsia="仿宋" w:hAnsi="仿宋" w:cs="仿宋"/>
          <w:b/>
          <w:bCs/>
          <w:sz w:val="24"/>
          <w:szCs w:val="24"/>
        </w:rPr>
      </w:pPr>
    </w:p>
    <w:p w14:paraId="604203B9" w14:textId="57960A96" w:rsidR="004E1F9B" w:rsidRDefault="00916B5E" w:rsidP="00916B5E">
      <w:pPr>
        <w:pStyle w:val="2"/>
        <w:ind w:leftChars="0" w:left="0"/>
        <w:rPr>
          <w:rFonts w:ascii="仿宋" w:eastAsia="仿宋" w:hAnsi="仿宋" w:cs="仿宋"/>
          <w:b/>
          <w:bCs/>
          <w:sz w:val="24"/>
          <w:szCs w:val="24"/>
        </w:rPr>
      </w:pPr>
      <w:r>
        <w:rPr>
          <w:rFonts w:ascii="仿宋" w:eastAsia="仿宋" w:hAnsi="仿宋" w:cs="仿宋" w:hint="eastAsia"/>
          <w:b/>
          <w:bCs/>
          <w:sz w:val="24"/>
          <w:szCs w:val="24"/>
        </w:rPr>
        <w:t>3、运营分析系统</w:t>
      </w:r>
    </w:p>
    <w:p w14:paraId="7F0286E9" w14:textId="27D5E1D6" w:rsidR="00916B5E" w:rsidRDefault="00916B5E" w:rsidP="00916B5E">
      <w:pPr>
        <w:spacing w:line="360" w:lineRule="auto"/>
        <w:ind w:firstLineChars="192" w:firstLine="461"/>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运营决策分析是通过分析平台对医院业务系统的数据进行挖掘、分析、整合、计算等处理，以直观图形图表的方式，多角度，多方位向院长和各个职能负责人呈现全院的运行和医院发展状况，能够有效实现医院各类信息数据整合统一，提升数据处理的及时性和准确性，通过工具模型，自动进行绩效监控和经营监控分析。</w:t>
      </w:r>
      <w:r>
        <w:rPr>
          <w:rFonts w:ascii="宋体" w:eastAsia="宋体" w:hAnsi="宋体" w:cs="宋体"/>
          <w:color w:val="000000" w:themeColor="text1"/>
          <w:sz w:val="24"/>
          <w:szCs w:val="24"/>
        </w:rPr>
        <w:t xml:space="preserve"> </w:t>
      </w:r>
    </w:p>
    <w:p w14:paraId="1EFE93C1" w14:textId="77777777" w:rsidR="00916B5E" w:rsidRDefault="00916B5E" w:rsidP="00916B5E">
      <w:pPr>
        <w:pStyle w:val="ac"/>
        <w:jc w:val="center"/>
        <w:rPr>
          <w:color w:val="000000" w:themeColor="text1"/>
        </w:rPr>
      </w:pPr>
      <w:r>
        <w:rPr>
          <w:rFonts w:ascii="宋体" w:hAnsi="宋体" w:cs="宋体" w:hint="eastAsia"/>
          <w:noProof/>
          <w:color w:val="000000" w:themeColor="text1"/>
          <w:sz w:val="24"/>
          <w:szCs w:val="24"/>
        </w:rPr>
        <w:lastRenderedPageBreak/>
        <w:drawing>
          <wp:inline distT="0" distB="0" distL="114300" distR="114300" wp14:anchorId="683A099B" wp14:editId="158F740D">
            <wp:extent cx="5267325" cy="3324225"/>
            <wp:effectExtent l="19050" t="19050" r="28575" b="28575"/>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7"/>
                    <a:stretch>
                      <a:fillRect/>
                    </a:stretch>
                  </pic:blipFill>
                  <pic:spPr>
                    <a:xfrm>
                      <a:off x="0" y="0"/>
                      <a:ext cx="5267325" cy="3324225"/>
                    </a:xfrm>
                    <a:prstGeom prst="rect">
                      <a:avLst/>
                    </a:prstGeom>
                    <a:noFill/>
                    <a:ln>
                      <a:solidFill>
                        <a:schemeClr val="accent1"/>
                      </a:solidFill>
                    </a:ln>
                  </pic:spPr>
                </pic:pic>
              </a:graphicData>
            </a:graphic>
          </wp:inline>
        </w:drawing>
      </w:r>
    </w:p>
    <w:p w14:paraId="27771760" w14:textId="77777777" w:rsidR="00916B5E" w:rsidRDefault="00916B5E" w:rsidP="00916B5E">
      <w:pPr>
        <w:pStyle w:val="ac"/>
        <w:numPr>
          <w:ilvl w:val="1"/>
          <w:numId w:val="2"/>
        </w:numPr>
        <w:tabs>
          <w:tab w:val="left" w:pos="709"/>
        </w:tabs>
        <w:spacing w:beforeLines="50" w:before="156" w:after="10" w:line="480" w:lineRule="auto"/>
        <w:outlineLvl w:val="1"/>
        <w:rPr>
          <w:rFonts w:ascii="宋体" w:hAnsi="宋体" w:cs="宋体"/>
          <w:b/>
          <w:bCs/>
          <w:color w:val="000000" w:themeColor="text1"/>
          <w:sz w:val="24"/>
          <w:szCs w:val="24"/>
        </w:rPr>
      </w:pPr>
      <w:bookmarkStart w:id="0" w:name="_Toc22042"/>
      <w:bookmarkStart w:id="1" w:name="_Toc11439278"/>
      <w:bookmarkStart w:id="2" w:name="_Toc14555"/>
      <w:bookmarkStart w:id="3" w:name="_Toc27012"/>
      <w:bookmarkStart w:id="4" w:name="_Toc486884413"/>
      <w:r>
        <w:rPr>
          <w:rFonts w:ascii="宋体" w:hAnsi="宋体" w:cs="宋体" w:hint="eastAsia"/>
          <w:b/>
          <w:bCs/>
          <w:color w:val="000000" w:themeColor="text1"/>
          <w:sz w:val="24"/>
          <w:szCs w:val="24"/>
        </w:rPr>
        <w:t>应用技术</w:t>
      </w:r>
      <w:bookmarkEnd w:id="0"/>
      <w:bookmarkEnd w:id="1"/>
      <w:bookmarkEnd w:id="2"/>
      <w:bookmarkEnd w:id="3"/>
      <w:bookmarkEnd w:id="4"/>
    </w:p>
    <w:p w14:paraId="1EC88390" w14:textId="77777777" w:rsidR="00916B5E" w:rsidRDefault="00916B5E" w:rsidP="00916B5E">
      <w:pPr>
        <w:pStyle w:val="3"/>
        <w:numPr>
          <w:ilvl w:val="2"/>
          <w:numId w:val="2"/>
        </w:numPr>
        <w:tabs>
          <w:tab w:val="left" w:pos="142"/>
          <w:tab w:val="num" w:pos="360"/>
          <w:tab w:val="left" w:pos="426"/>
          <w:tab w:val="left" w:pos="993"/>
        </w:tabs>
        <w:spacing w:beforeLines="50" w:before="156" w:after="10" w:line="480" w:lineRule="auto"/>
        <w:ind w:left="0" w:firstLine="0"/>
        <w:rPr>
          <w:rFonts w:ascii="宋体" w:eastAsia="宋体" w:hAnsi="宋体" w:cs="宋体"/>
          <w:color w:val="000000" w:themeColor="text1"/>
          <w:sz w:val="24"/>
          <w:szCs w:val="24"/>
        </w:rPr>
      </w:pPr>
      <w:bookmarkStart w:id="5" w:name="_Toc486884414"/>
      <w:bookmarkStart w:id="6" w:name="_Toc11439279"/>
      <w:r>
        <w:rPr>
          <w:rFonts w:ascii="宋体" w:eastAsia="宋体" w:hAnsi="宋体" w:cs="宋体" w:hint="eastAsia"/>
          <w:color w:val="000000" w:themeColor="text1"/>
          <w:sz w:val="24"/>
          <w:szCs w:val="24"/>
        </w:rPr>
        <w:t>原生渲染技术</w:t>
      </w:r>
      <w:bookmarkEnd w:id="5"/>
      <w:bookmarkEnd w:id="6"/>
    </w:p>
    <w:p w14:paraId="0D6BDBF2" w14:textId="77777777" w:rsidR="00916B5E" w:rsidRDefault="00916B5E" w:rsidP="00916B5E">
      <w:pPr>
        <w:spacing w:line="360" w:lineRule="auto"/>
        <w:ind w:firstLineChars="192" w:firstLine="461"/>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BI</w:t>
      </w:r>
      <w:proofErr w:type="gramStart"/>
      <w:r>
        <w:rPr>
          <w:rFonts w:ascii="宋体" w:eastAsia="宋体" w:hAnsi="宋体" w:cs="宋体" w:hint="eastAsia"/>
          <w:color w:val="000000" w:themeColor="text1"/>
          <w:sz w:val="24"/>
          <w:szCs w:val="24"/>
        </w:rPr>
        <w:t>采应用</w:t>
      </w:r>
      <w:proofErr w:type="gramEnd"/>
      <w:r>
        <w:rPr>
          <w:rFonts w:ascii="宋体" w:eastAsia="宋体" w:hAnsi="宋体" w:cs="宋体" w:hint="eastAsia"/>
          <w:color w:val="000000" w:themeColor="text1"/>
          <w:sz w:val="24"/>
          <w:szCs w:val="24"/>
        </w:rPr>
        <w:t>原生渲染技术，专为移动处理器加速优化，相比传统的HTML报表，渲染的速度、交互操作的流畅度均有大幅提升。查看报表所需传输的数据量仅为传统HTML报表的1/10~1/5，即便使用3G网络，也能迅速打开报表，顺畅地进行交互操作。</w:t>
      </w:r>
    </w:p>
    <w:p w14:paraId="7DE181F7" w14:textId="77777777" w:rsidR="00916B5E" w:rsidRDefault="00916B5E" w:rsidP="00916B5E">
      <w:pPr>
        <w:pStyle w:val="3"/>
        <w:numPr>
          <w:ilvl w:val="2"/>
          <w:numId w:val="2"/>
        </w:numPr>
        <w:tabs>
          <w:tab w:val="num" w:pos="360"/>
          <w:tab w:val="left" w:pos="567"/>
          <w:tab w:val="left" w:pos="851"/>
        </w:tabs>
        <w:spacing w:beforeLines="50" w:before="156" w:after="10" w:line="480" w:lineRule="auto"/>
        <w:ind w:left="0" w:firstLine="0"/>
        <w:rPr>
          <w:rFonts w:ascii="宋体" w:eastAsia="宋体" w:hAnsi="宋体" w:cs="宋体"/>
          <w:color w:val="000000" w:themeColor="text1"/>
          <w:sz w:val="24"/>
          <w:szCs w:val="24"/>
        </w:rPr>
      </w:pPr>
      <w:bookmarkStart w:id="7" w:name="_Toc11439280"/>
      <w:bookmarkStart w:id="8" w:name="_Toc486884415"/>
      <w:r>
        <w:rPr>
          <w:rFonts w:ascii="宋体" w:eastAsia="宋体" w:hAnsi="宋体" w:cs="宋体" w:hint="eastAsia"/>
          <w:color w:val="000000" w:themeColor="text1"/>
          <w:sz w:val="24"/>
          <w:szCs w:val="24"/>
        </w:rPr>
        <w:t>分析引擎</w:t>
      </w:r>
      <w:bookmarkEnd w:id="7"/>
      <w:bookmarkEnd w:id="8"/>
    </w:p>
    <w:p w14:paraId="4F43E3A1" w14:textId="77777777" w:rsidR="00916B5E" w:rsidRDefault="00916B5E" w:rsidP="00916B5E">
      <w:pPr>
        <w:spacing w:line="360" w:lineRule="auto"/>
        <w:ind w:firstLineChars="192" w:firstLine="461"/>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 xml:space="preserve">BI可以将OLAP引擎迁移到客户端，各种复杂的数据分析都由客户端分析引擎完成。要求每台移动设备就是一个运算单元，彼此不受影响，不存在高并发的问题，一百个用户和一千个用户同时使用的用户体验是一致的。系统架构可以支持数据报表自由的使用数据，尤其是在大数据的背景下，帮助用户能够从容地面对大数据量的处理。 </w:t>
      </w:r>
    </w:p>
    <w:p w14:paraId="7A807DE9" w14:textId="77777777" w:rsidR="00916B5E" w:rsidRDefault="00916B5E" w:rsidP="00916B5E">
      <w:pPr>
        <w:pStyle w:val="3"/>
        <w:numPr>
          <w:ilvl w:val="2"/>
          <w:numId w:val="2"/>
        </w:numPr>
        <w:tabs>
          <w:tab w:val="num" w:pos="360"/>
          <w:tab w:val="left" w:pos="851"/>
          <w:tab w:val="left" w:pos="1134"/>
        </w:tabs>
        <w:spacing w:beforeLines="50" w:before="156" w:after="10" w:line="480" w:lineRule="auto"/>
        <w:ind w:left="0" w:firstLine="0"/>
        <w:rPr>
          <w:rFonts w:ascii="宋体" w:eastAsia="宋体" w:hAnsi="宋体" w:cs="宋体"/>
          <w:color w:val="000000" w:themeColor="text1"/>
          <w:sz w:val="24"/>
          <w:szCs w:val="24"/>
        </w:rPr>
      </w:pPr>
      <w:bookmarkStart w:id="9" w:name="_Toc486884416"/>
      <w:bookmarkStart w:id="10" w:name="_Toc11439281"/>
      <w:r>
        <w:rPr>
          <w:rFonts w:ascii="宋体" w:eastAsia="宋体" w:hAnsi="宋体" w:cs="宋体" w:hint="eastAsia"/>
          <w:color w:val="000000" w:themeColor="text1"/>
          <w:sz w:val="24"/>
          <w:szCs w:val="24"/>
        </w:rPr>
        <w:t xml:space="preserve"> 多维数据集</w:t>
      </w:r>
      <w:bookmarkEnd w:id="9"/>
      <w:bookmarkEnd w:id="10"/>
    </w:p>
    <w:p w14:paraId="1E3C0055" w14:textId="715FDA1D" w:rsidR="00916B5E" w:rsidRDefault="00916B5E" w:rsidP="00916B5E">
      <w:pPr>
        <w:spacing w:line="360" w:lineRule="auto"/>
        <w:ind w:firstLineChars="192" w:firstLine="461"/>
        <w:jc w:val="left"/>
        <w:rPr>
          <w:rFonts w:ascii="仿宋" w:eastAsia="仿宋" w:hAnsi="仿宋" w:cs="仿宋"/>
          <w:b/>
          <w:bCs/>
          <w:sz w:val="24"/>
          <w:szCs w:val="24"/>
        </w:rPr>
      </w:pPr>
      <w:r>
        <w:rPr>
          <w:rFonts w:ascii="宋体" w:eastAsia="宋体" w:hAnsi="宋体" w:cs="宋体" w:hint="eastAsia"/>
          <w:color w:val="000000" w:themeColor="text1"/>
          <w:sz w:val="24"/>
          <w:szCs w:val="24"/>
        </w:rPr>
        <w:t>应采用独特的数据压缩技术和数据存储结构，将大量的数据以多维数据集（CUBE）的方式存储在客户端。CUBE可以大大降低数据在客户端的存储空间，要求报表平均大小在几十KB左右，相当于一张</w:t>
      </w:r>
      <w:proofErr w:type="gramStart"/>
      <w:r>
        <w:rPr>
          <w:rFonts w:ascii="宋体" w:eastAsia="宋体" w:hAnsi="宋体" w:cs="宋体" w:hint="eastAsia"/>
          <w:color w:val="000000" w:themeColor="text1"/>
          <w:sz w:val="24"/>
          <w:szCs w:val="24"/>
        </w:rPr>
        <w:t>缩略图</w:t>
      </w:r>
      <w:proofErr w:type="gramEnd"/>
      <w:r>
        <w:rPr>
          <w:rFonts w:ascii="宋体" w:eastAsia="宋体" w:hAnsi="宋体" w:cs="宋体" w:hint="eastAsia"/>
          <w:color w:val="000000" w:themeColor="text1"/>
          <w:sz w:val="24"/>
          <w:szCs w:val="24"/>
        </w:rPr>
        <w:t>的大小。</w:t>
      </w:r>
    </w:p>
    <w:p w14:paraId="1D96733F" w14:textId="0AC98E2C" w:rsidR="00916B5E" w:rsidRPr="00916B5E" w:rsidRDefault="00916B5E" w:rsidP="00916B5E">
      <w:pPr>
        <w:pStyle w:val="ac"/>
        <w:numPr>
          <w:ilvl w:val="1"/>
          <w:numId w:val="2"/>
        </w:numPr>
        <w:tabs>
          <w:tab w:val="left" w:pos="709"/>
        </w:tabs>
        <w:spacing w:beforeLines="50" w:before="156" w:after="10" w:line="480" w:lineRule="auto"/>
        <w:outlineLvl w:val="1"/>
        <w:rPr>
          <w:rFonts w:ascii="宋体" w:hAnsi="宋体" w:cs="宋体"/>
          <w:b/>
          <w:bCs/>
          <w:color w:val="000000" w:themeColor="text1"/>
          <w:sz w:val="24"/>
          <w:szCs w:val="24"/>
        </w:rPr>
      </w:pPr>
      <w:r w:rsidRPr="00916B5E">
        <w:rPr>
          <w:rFonts w:ascii="宋体" w:hAnsi="宋体" w:cs="宋体" w:hint="eastAsia"/>
          <w:b/>
          <w:bCs/>
          <w:color w:val="000000" w:themeColor="text1"/>
          <w:sz w:val="24"/>
          <w:szCs w:val="24"/>
        </w:rPr>
        <w:lastRenderedPageBreak/>
        <w:t>财务监管与分析</w:t>
      </w:r>
    </w:p>
    <w:p w14:paraId="2FCFE84B" w14:textId="77777777" w:rsidR="00916B5E" w:rsidRDefault="00916B5E" w:rsidP="00916B5E">
      <w:pPr>
        <w:spacing w:line="360" w:lineRule="auto"/>
        <w:ind w:firstLineChars="192" w:firstLine="461"/>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对财务工作指标数据采集做出多种分析，如财务总</w:t>
      </w:r>
      <w:proofErr w:type="gramStart"/>
      <w:r>
        <w:rPr>
          <w:rFonts w:ascii="宋体" w:eastAsia="宋体" w:hAnsi="宋体" w:cs="宋体" w:hint="eastAsia"/>
          <w:color w:val="000000" w:themeColor="text1"/>
          <w:sz w:val="24"/>
          <w:szCs w:val="24"/>
        </w:rPr>
        <w:t>览</w:t>
      </w:r>
      <w:proofErr w:type="gramEnd"/>
      <w:r>
        <w:rPr>
          <w:rFonts w:ascii="宋体" w:eastAsia="宋体" w:hAnsi="宋体" w:cs="宋体" w:hint="eastAsia"/>
          <w:color w:val="000000" w:themeColor="text1"/>
          <w:sz w:val="24"/>
          <w:szCs w:val="24"/>
        </w:rPr>
        <w:t>分析、财务收入分析、现金流量趋势结构分析。</w:t>
      </w:r>
    </w:p>
    <w:p w14:paraId="560F45C2" w14:textId="77777777" w:rsidR="00916B5E" w:rsidRDefault="00916B5E" w:rsidP="00916B5E">
      <w:pPr>
        <w:jc w:val="center"/>
      </w:pPr>
      <w:r>
        <w:rPr>
          <w:noProof/>
        </w:rPr>
        <w:drawing>
          <wp:inline distT="0" distB="0" distL="0" distR="0" wp14:anchorId="7CCB30B3" wp14:editId="1A184F39">
            <wp:extent cx="4832350" cy="3134360"/>
            <wp:effectExtent l="19050" t="19050" r="25400" b="2794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39049" cy="3138904"/>
                    </a:xfrm>
                    <a:prstGeom prst="rect">
                      <a:avLst/>
                    </a:prstGeom>
                    <a:noFill/>
                    <a:ln>
                      <a:solidFill>
                        <a:schemeClr val="accent1"/>
                      </a:solidFill>
                    </a:ln>
                  </pic:spPr>
                </pic:pic>
              </a:graphicData>
            </a:graphic>
          </wp:inline>
        </w:drawing>
      </w:r>
    </w:p>
    <w:p w14:paraId="22F40C61" w14:textId="77777777" w:rsidR="00916B5E" w:rsidRDefault="00916B5E" w:rsidP="00916B5E">
      <w:pPr>
        <w:jc w:val="center"/>
      </w:pPr>
      <w:r>
        <w:rPr>
          <w:noProof/>
        </w:rPr>
        <w:drawing>
          <wp:inline distT="0" distB="0" distL="0" distR="0" wp14:anchorId="31A3EB7D" wp14:editId="788DF392">
            <wp:extent cx="4827270" cy="3009265"/>
            <wp:effectExtent l="19050" t="19050" r="11430" b="1968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27600" cy="3009600"/>
                    </a:xfrm>
                    <a:prstGeom prst="rect">
                      <a:avLst/>
                    </a:prstGeom>
                    <a:noFill/>
                    <a:ln>
                      <a:solidFill>
                        <a:schemeClr val="accent1"/>
                      </a:solidFill>
                    </a:ln>
                  </pic:spPr>
                </pic:pic>
              </a:graphicData>
            </a:graphic>
          </wp:inline>
        </w:drawing>
      </w:r>
    </w:p>
    <w:p w14:paraId="078BA41B" w14:textId="77777777" w:rsidR="00916B5E" w:rsidRDefault="00916B5E" w:rsidP="00916B5E">
      <w:pPr>
        <w:jc w:val="center"/>
      </w:pPr>
      <w:r>
        <w:rPr>
          <w:noProof/>
        </w:rPr>
        <w:lastRenderedPageBreak/>
        <w:drawing>
          <wp:inline distT="0" distB="0" distL="0" distR="0" wp14:anchorId="78C62E15" wp14:editId="65E2DA2E">
            <wp:extent cx="4704715" cy="3030855"/>
            <wp:effectExtent l="19050" t="19050" r="19685" b="1714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05200" cy="3031200"/>
                    </a:xfrm>
                    <a:prstGeom prst="rect">
                      <a:avLst/>
                    </a:prstGeom>
                    <a:noFill/>
                    <a:ln>
                      <a:solidFill>
                        <a:schemeClr val="accent1"/>
                      </a:solidFill>
                    </a:ln>
                  </pic:spPr>
                </pic:pic>
              </a:graphicData>
            </a:graphic>
          </wp:inline>
        </w:drawing>
      </w:r>
    </w:p>
    <w:p w14:paraId="1323627F" w14:textId="77777777" w:rsidR="00916B5E" w:rsidRDefault="00916B5E" w:rsidP="00916B5E">
      <w:pPr>
        <w:ind w:firstLine="480"/>
        <w:jc w:val="center"/>
      </w:pPr>
    </w:p>
    <w:p w14:paraId="4F866EF0" w14:textId="0CA88EC0" w:rsidR="00916B5E" w:rsidRPr="00916B5E" w:rsidRDefault="00916B5E" w:rsidP="00916B5E">
      <w:pPr>
        <w:pStyle w:val="ac"/>
        <w:numPr>
          <w:ilvl w:val="1"/>
          <w:numId w:val="2"/>
        </w:numPr>
        <w:tabs>
          <w:tab w:val="left" w:pos="709"/>
        </w:tabs>
        <w:spacing w:beforeLines="50" w:before="156" w:after="10" w:line="480" w:lineRule="auto"/>
        <w:outlineLvl w:val="1"/>
        <w:rPr>
          <w:rFonts w:ascii="宋体" w:hAnsi="宋体" w:cs="宋体"/>
          <w:b/>
          <w:bCs/>
          <w:color w:val="000000" w:themeColor="text1"/>
          <w:sz w:val="24"/>
          <w:szCs w:val="24"/>
        </w:rPr>
      </w:pPr>
      <w:r w:rsidRPr="00916B5E">
        <w:rPr>
          <w:rFonts w:ascii="宋体" w:hAnsi="宋体" w:cs="宋体" w:hint="eastAsia"/>
          <w:b/>
          <w:bCs/>
          <w:color w:val="000000" w:themeColor="text1"/>
          <w:sz w:val="24"/>
          <w:szCs w:val="24"/>
        </w:rPr>
        <w:t>成本运营与分析</w:t>
      </w:r>
    </w:p>
    <w:p w14:paraId="735ACDFE" w14:textId="77777777" w:rsidR="00916B5E" w:rsidRDefault="00916B5E" w:rsidP="00916B5E">
      <w:pPr>
        <w:spacing w:line="360" w:lineRule="auto"/>
        <w:ind w:firstLineChars="192" w:firstLine="461"/>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对医院运营成本指标数据采集做出多种分析，如直接成本分析、间接成本分析、成本结构分析。</w:t>
      </w:r>
    </w:p>
    <w:p w14:paraId="7D9D7D2F" w14:textId="77777777" w:rsidR="00916B5E" w:rsidRDefault="00916B5E" w:rsidP="00916B5E">
      <w:pPr>
        <w:ind w:firstLine="480"/>
        <w:jc w:val="center"/>
      </w:pPr>
      <w:r>
        <w:rPr>
          <w:noProof/>
        </w:rPr>
        <w:drawing>
          <wp:inline distT="0" distB="0" distL="0" distR="0" wp14:anchorId="4AD90EF8" wp14:editId="04202E64">
            <wp:extent cx="4907280" cy="2825750"/>
            <wp:effectExtent l="19050" t="19050" r="26670" b="1270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13504" cy="2829299"/>
                    </a:xfrm>
                    <a:prstGeom prst="rect">
                      <a:avLst/>
                    </a:prstGeom>
                    <a:noFill/>
                    <a:ln>
                      <a:solidFill>
                        <a:schemeClr val="accent1"/>
                      </a:solidFill>
                    </a:ln>
                  </pic:spPr>
                </pic:pic>
              </a:graphicData>
            </a:graphic>
          </wp:inline>
        </w:drawing>
      </w:r>
    </w:p>
    <w:p w14:paraId="1DD87447" w14:textId="0C73E17E" w:rsidR="00916B5E" w:rsidRPr="00916B5E" w:rsidRDefault="00916B5E" w:rsidP="00916B5E">
      <w:pPr>
        <w:pStyle w:val="ac"/>
        <w:numPr>
          <w:ilvl w:val="1"/>
          <w:numId w:val="2"/>
        </w:numPr>
        <w:tabs>
          <w:tab w:val="left" w:pos="709"/>
        </w:tabs>
        <w:spacing w:beforeLines="50" w:before="156" w:after="10" w:line="480" w:lineRule="auto"/>
        <w:outlineLvl w:val="1"/>
        <w:rPr>
          <w:rFonts w:ascii="宋体" w:hAnsi="宋体" w:cs="宋体"/>
          <w:b/>
          <w:bCs/>
          <w:color w:val="000000" w:themeColor="text1"/>
          <w:sz w:val="24"/>
          <w:szCs w:val="24"/>
        </w:rPr>
      </w:pPr>
      <w:r w:rsidRPr="00916B5E">
        <w:rPr>
          <w:rFonts w:ascii="宋体" w:hAnsi="宋体" w:cs="宋体" w:hint="eastAsia"/>
          <w:b/>
          <w:bCs/>
          <w:color w:val="000000" w:themeColor="text1"/>
          <w:sz w:val="24"/>
          <w:szCs w:val="24"/>
        </w:rPr>
        <w:t>国有资产监控</w:t>
      </w:r>
    </w:p>
    <w:p w14:paraId="13F1998B" w14:textId="77777777" w:rsidR="00916B5E" w:rsidRDefault="00916B5E" w:rsidP="00916B5E">
      <w:pPr>
        <w:spacing w:line="360" w:lineRule="auto"/>
        <w:ind w:firstLineChars="192" w:firstLine="461"/>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对医院国有资产数据采集做出多种分析，如故障率分析、维修率分析。</w:t>
      </w:r>
    </w:p>
    <w:p w14:paraId="369C237E" w14:textId="77777777" w:rsidR="00916B5E" w:rsidRDefault="00916B5E" w:rsidP="00916B5E">
      <w:pPr>
        <w:jc w:val="center"/>
      </w:pPr>
      <w:r>
        <w:rPr>
          <w:noProof/>
        </w:rPr>
        <w:lastRenderedPageBreak/>
        <w:drawing>
          <wp:inline distT="0" distB="0" distL="0" distR="0" wp14:anchorId="61A07430" wp14:editId="639648AD">
            <wp:extent cx="4820285" cy="3009265"/>
            <wp:effectExtent l="19050" t="19050" r="18415" b="1968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20400" cy="3009600"/>
                    </a:xfrm>
                    <a:prstGeom prst="rect">
                      <a:avLst/>
                    </a:prstGeom>
                    <a:noFill/>
                    <a:ln>
                      <a:solidFill>
                        <a:schemeClr val="accent1"/>
                      </a:solidFill>
                    </a:ln>
                  </pic:spPr>
                </pic:pic>
              </a:graphicData>
            </a:graphic>
          </wp:inline>
        </w:drawing>
      </w:r>
    </w:p>
    <w:p w14:paraId="1F0A62E1" w14:textId="7ED13590" w:rsidR="00916B5E" w:rsidRPr="00916B5E" w:rsidRDefault="00916B5E" w:rsidP="00916B5E">
      <w:pPr>
        <w:pStyle w:val="ac"/>
        <w:numPr>
          <w:ilvl w:val="1"/>
          <w:numId w:val="2"/>
        </w:numPr>
        <w:tabs>
          <w:tab w:val="left" w:pos="709"/>
        </w:tabs>
        <w:spacing w:beforeLines="50" w:before="156" w:after="10" w:line="480" w:lineRule="auto"/>
        <w:outlineLvl w:val="1"/>
        <w:rPr>
          <w:rFonts w:ascii="宋体" w:hAnsi="宋体" w:cs="宋体"/>
          <w:b/>
          <w:bCs/>
          <w:color w:val="000000" w:themeColor="text1"/>
          <w:sz w:val="24"/>
          <w:szCs w:val="24"/>
        </w:rPr>
      </w:pPr>
      <w:r w:rsidRPr="00916B5E">
        <w:rPr>
          <w:rFonts w:ascii="宋体" w:hAnsi="宋体" w:cs="宋体" w:hint="eastAsia"/>
          <w:b/>
          <w:bCs/>
          <w:color w:val="000000" w:themeColor="text1"/>
          <w:sz w:val="24"/>
          <w:szCs w:val="24"/>
        </w:rPr>
        <w:t>人力资源监控</w:t>
      </w:r>
    </w:p>
    <w:p w14:paraId="6C801DDD" w14:textId="77777777" w:rsidR="00916B5E" w:rsidRDefault="00916B5E" w:rsidP="00916B5E">
      <w:pPr>
        <w:spacing w:line="360" w:lineRule="auto"/>
        <w:ind w:firstLineChars="192" w:firstLine="461"/>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对医院人员数据监控指标数据采集做出多种分析，如人员结构分析，人员学历分析，人员职称分析，人员占比分析。</w:t>
      </w:r>
    </w:p>
    <w:p w14:paraId="0A06961C" w14:textId="77777777" w:rsidR="00916B5E" w:rsidRDefault="00916B5E" w:rsidP="00916B5E">
      <w:pPr>
        <w:ind w:firstLine="480"/>
      </w:pPr>
    </w:p>
    <w:p w14:paraId="39B95629" w14:textId="77777777" w:rsidR="00916B5E" w:rsidRDefault="00916B5E" w:rsidP="00916B5E">
      <w:pPr>
        <w:jc w:val="center"/>
      </w:pPr>
      <w:r>
        <w:rPr>
          <w:noProof/>
        </w:rPr>
        <w:drawing>
          <wp:inline distT="0" distB="0" distL="0" distR="0" wp14:anchorId="176EFCA0" wp14:editId="17DE4F8F">
            <wp:extent cx="4798695" cy="2998470"/>
            <wp:effectExtent l="19050" t="19050" r="20955" b="1143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98800" cy="2998800"/>
                    </a:xfrm>
                    <a:prstGeom prst="rect">
                      <a:avLst/>
                    </a:prstGeom>
                    <a:noFill/>
                    <a:ln>
                      <a:solidFill>
                        <a:schemeClr val="accent1"/>
                      </a:solidFill>
                    </a:ln>
                  </pic:spPr>
                </pic:pic>
              </a:graphicData>
            </a:graphic>
          </wp:inline>
        </w:drawing>
      </w:r>
    </w:p>
    <w:p w14:paraId="162B4042" w14:textId="17EB623A" w:rsidR="00916B5E" w:rsidRPr="00916B5E" w:rsidRDefault="00916B5E" w:rsidP="00916B5E">
      <w:pPr>
        <w:pStyle w:val="ac"/>
        <w:numPr>
          <w:ilvl w:val="1"/>
          <w:numId w:val="2"/>
        </w:numPr>
        <w:tabs>
          <w:tab w:val="left" w:pos="709"/>
        </w:tabs>
        <w:spacing w:beforeLines="50" w:before="156" w:after="10" w:line="480" w:lineRule="auto"/>
        <w:outlineLvl w:val="1"/>
        <w:rPr>
          <w:rFonts w:ascii="宋体" w:hAnsi="宋体" w:cs="宋体"/>
          <w:b/>
          <w:bCs/>
          <w:color w:val="000000" w:themeColor="text1"/>
          <w:sz w:val="24"/>
          <w:szCs w:val="24"/>
        </w:rPr>
      </w:pPr>
      <w:r w:rsidRPr="00916B5E">
        <w:rPr>
          <w:rFonts w:ascii="宋体" w:hAnsi="宋体" w:cs="宋体" w:hint="eastAsia"/>
          <w:b/>
          <w:bCs/>
          <w:color w:val="000000" w:themeColor="text1"/>
          <w:sz w:val="24"/>
          <w:szCs w:val="24"/>
        </w:rPr>
        <w:t>领导驾驶舱</w:t>
      </w:r>
    </w:p>
    <w:p w14:paraId="144CE3E5" w14:textId="77777777" w:rsidR="00916B5E" w:rsidRDefault="00916B5E" w:rsidP="00916B5E">
      <w:pPr>
        <w:spacing w:line="360" w:lineRule="auto"/>
        <w:ind w:firstLineChars="192" w:firstLine="461"/>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对医院医疗业务数据及综合运营管理数据采集做出多种分析，如患者出院分析，次均费用分析、绩效考核指标分析、财务运营分析。</w:t>
      </w:r>
    </w:p>
    <w:p w14:paraId="64CF7958" w14:textId="5F2A7ABC" w:rsidR="00916B5E" w:rsidRDefault="00916B5E" w:rsidP="00916B5E">
      <w:pPr>
        <w:jc w:val="center"/>
      </w:pPr>
      <w:r>
        <w:rPr>
          <w:noProof/>
        </w:rPr>
        <w:lastRenderedPageBreak/>
        <w:drawing>
          <wp:inline distT="0" distB="0" distL="0" distR="0" wp14:anchorId="7BB37940" wp14:editId="27F5D7EF">
            <wp:extent cx="5274310" cy="28651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65120"/>
                    </a:xfrm>
                    <a:prstGeom prst="rect">
                      <a:avLst/>
                    </a:prstGeom>
                  </pic:spPr>
                </pic:pic>
              </a:graphicData>
            </a:graphic>
          </wp:inline>
        </w:drawing>
      </w:r>
    </w:p>
    <w:p w14:paraId="728B87A7" w14:textId="29452FE6" w:rsidR="00916B5E" w:rsidRDefault="00916B5E" w:rsidP="00916B5E">
      <w:pPr>
        <w:jc w:val="center"/>
      </w:pPr>
    </w:p>
    <w:p w14:paraId="6DDFFDF0" w14:textId="6E7D7045" w:rsidR="00916B5E" w:rsidRPr="00916B5E" w:rsidRDefault="00916B5E" w:rsidP="00916B5E">
      <w:pPr>
        <w:pStyle w:val="ac"/>
        <w:numPr>
          <w:ilvl w:val="1"/>
          <w:numId w:val="2"/>
        </w:numPr>
        <w:tabs>
          <w:tab w:val="left" w:pos="709"/>
        </w:tabs>
        <w:spacing w:beforeLines="50" w:before="156" w:after="10" w:line="480" w:lineRule="auto"/>
        <w:outlineLvl w:val="1"/>
        <w:rPr>
          <w:rFonts w:ascii="宋体" w:hAnsi="宋体" w:cs="宋体"/>
          <w:b/>
          <w:bCs/>
          <w:color w:val="000000" w:themeColor="text1"/>
          <w:sz w:val="24"/>
          <w:szCs w:val="24"/>
        </w:rPr>
      </w:pPr>
      <w:r w:rsidRPr="00916B5E">
        <w:rPr>
          <w:rFonts w:ascii="宋体" w:hAnsi="宋体" w:cs="宋体" w:hint="eastAsia"/>
          <w:b/>
          <w:bCs/>
          <w:color w:val="000000" w:themeColor="text1"/>
          <w:sz w:val="24"/>
          <w:szCs w:val="24"/>
        </w:rPr>
        <w:t>移动端监控</w:t>
      </w:r>
    </w:p>
    <w:p w14:paraId="451DCC29" w14:textId="77777777" w:rsidR="00916B5E" w:rsidRDefault="00916B5E" w:rsidP="00916B5E">
      <w:pPr>
        <w:pStyle w:val="Default"/>
        <w:jc w:val="center"/>
      </w:pPr>
      <w:r>
        <w:rPr>
          <w:noProof/>
        </w:rPr>
        <w:drawing>
          <wp:inline distT="0" distB="0" distL="0" distR="0" wp14:anchorId="4982EC2B" wp14:editId="3EAAF7CD">
            <wp:extent cx="4498975" cy="2280285"/>
            <wp:effectExtent l="19050" t="19050" r="15875" b="2476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5"/>
                    <a:stretch>
                      <a:fillRect/>
                    </a:stretch>
                  </pic:blipFill>
                  <pic:spPr>
                    <a:xfrm>
                      <a:off x="0" y="0"/>
                      <a:ext cx="4506960" cy="2284562"/>
                    </a:xfrm>
                    <a:prstGeom prst="rect">
                      <a:avLst/>
                    </a:prstGeom>
                    <a:solidFill>
                      <a:srgbClr val="000000"/>
                    </a:solidFill>
                    <a:ln>
                      <a:solidFill>
                        <a:schemeClr val="tx2">
                          <a:lumMod val="60000"/>
                          <a:lumOff val="40000"/>
                        </a:schemeClr>
                      </a:solidFill>
                    </a:ln>
                  </pic:spPr>
                </pic:pic>
              </a:graphicData>
            </a:graphic>
          </wp:inline>
        </w:drawing>
      </w:r>
    </w:p>
    <w:sectPr w:rsidR="00916B5E" w:rsidSect="00B67B59">
      <w:pgSz w:w="11906" w:h="16838"/>
      <w:pgMar w:top="993"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6D583" w14:textId="77777777" w:rsidR="00A104CA" w:rsidRDefault="00A104CA" w:rsidP="00916B5E">
      <w:r>
        <w:separator/>
      </w:r>
    </w:p>
  </w:endnote>
  <w:endnote w:type="continuationSeparator" w:id="0">
    <w:p w14:paraId="7440D72C" w14:textId="77777777" w:rsidR="00A104CA" w:rsidRDefault="00A104CA" w:rsidP="0091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AF029" w14:textId="77777777" w:rsidR="00A104CA" w:rsidRDefault="00A104CA" w:rsidP="00916B5E">
      <w:r>
        <w:separator/>
      </w:r>
    </w:p>
  </w:footnote>
  <w:footnote w:type="continuationSeparator" w:id="0">
    <w:p w14:paraId="7232BF67" w14:textId="77777777" w:rsidR="00A104CA" w:rsidRDefault="00A104CA" w:rsidP="00916B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13A6D"/>
    <w:multiLevelType w:val="multilevel"/>
    <w:tmpl w:val="29A13A6D"/>
    <w:lvl w:ilvl="0">
      <w:start w:val="3"/>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2AB7AC60"/>
    <w:multiLevelType w:val="singleLevel"/>
    <w:tmpl w:val="2AB7AC60"/>
    <w:lvl w:ilvl="0">
      <w:start w:val="1"/>
      <w:numFmt w:val="bullet"/>
      <w:lvlText w:val=""/>
      <w:lvlJc w:val="left"/>
      <w:pPr>
        <w:ind w:left="420" w:hanging="420"/>
      </w:pPr>
      <w:rPr>
        <w:rFonts w:ascii="Wingdings" w:hAnsi="Wingdings" w:hint="default"/>
      </w:rPr>
    </w:lvl>
  </w:abstractNum>
  <w:num w:numId="1" w16cid:durableId="1723752204">
    <w:abstractNumId w:val="1"/>
  </w:num>
  <w:num w:numId="2" w16cid:durableId="794906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3EB"/>
    <w:rsid w:val="000A4784"/>
    <w:rsid w:val="00135C37"/>
    <w:rsid w:val="001903EB"/>
    <w:rsid w:val="004E1F9B"/>
    <w:rsid w:val="006C39C5"/>
    <w:rsid w:val="007C2139"/>
    <w:rsid w:val="00916B5E"/>
    <w:rsid w:val="009C7931"/>
    <w:rsid w:val="009C7CE8"/>
    <w:rsid w:val="00A104CA"/>
    <w:rsid w:val="00B67B59"/>
    <w:rsid w:val="00C07C72"/>
    <w:rsid w:val="00EE44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10866"/>
  <w15:chartTrackingRefBased/>
  <w15:docId w15:val="{DA3ACBFF-C234-42DB-AF87-948FEA05A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1903EB"/>
    <w:pPr>
      <w:widowControl w:val="0"/>
      <w:jc w:val="both"/>
    </w:pPr>
  </w:style>
  <w:style w:type="paragraph" w:styleId="3">
    <w:name w:val="heading 3"/>
    <w:basedOn w:val="a"/>
    <w:next w:val="a"/>
    <w:link w:val="30"/>
    <w:qFormat/>
    <w:rsid w:val="00916B5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1903EB"/>
    <w:pPr>
      <w:spacing w:after="120"/>
      <w:ind w:leftChars="200" w:left="420"/>
    </w:pPr>
  </w:style>
  <w:style w:type="character" w:customStyle="1" w:styleId="a4">
    <w:name w:val="正文文本缩进 字符"/>
    <w:basedOn w:val="a0"/>
    <w:link w:val="a3"/>
    <w:uiPriority w:val="99"/>
    <w:semiHidden/>
    <w:rsid w:val="001903EB"/>
  </w:style>
  <w:style w:type="paragraph" w:styleId="2">
    <w:name w:val="Body Text First Indent 2"/>
    <w:basedOn w:val="a3"/>
    <w:link w:val="20"/>
    <w:qFormat/>
    <w:rsid w:val="001903EB"/>
    <w:pPr>
      <w:ind w:firstLine="420"/>
    </w:pPr>
  </w:style>
  <w:style w:type="character" w:customStyle="1" w:styleId="20">
    <w:name w:val="正文文本首行缩进 2 字符"/>
    <w:basedOn w:val="a4"/>
    <w:link w:val="2"/>
    <w:rsid w:val="001903EB"/>
  </w:style>
  <w:style w:type="table" w:styleId="a5">
    <w:name w:val="Table Grid"/>
    <w:basedOn w:val="a1"/>
    <w:qFormat/>
    <w:rsid w:val="001903EB"/>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0A4784"/>
    <w:rPr>
      <w:rFonts w:ascii="Calibri" w:eastAsia="宋体" w:hAnsi="Calibri" w:cs="Times New Roman"/>
    </w:rPr>
  </w:style>
  <w:style w:type="paragraph" w:styleId="a6">
    <w:name w:val="annotation text"/>
    <w:basedOn w:val="a"/>
    <w:link w:val="a7"/>
    <w:qFormat/>
    <w:rsid w:val="000A4784"/>
    <w:pPr>
      <w:jc w:val="left"/>
    </w:pPr>
    <w:rPr>
      <w:rFonts w:ascii="Calibri" w:eastAsia="宋体" w:hAnsi="Calibri" w:cs="Times New Roman"/>
    </w:rPr>
  </w:style>
  <w:style w:type="character" w:customStyle="1" w:styleId="a7">
    <w:name w:val="批注文字 字符"/>
    <w:basedOn w:val="a0"/>
    <w:link w:val="a6"/>
    <w:rsid w:val="000A4784"/>
    <w:rPr>
      <w:rFonts w:ascii="Calibri" w:eastAsia="宋体" w:hAnsi="Calibri" w:cs="Times New Roman"/>
    </w:rPr>
  </w:style>
  <w:style w:type="paragraph" w:styleId="a8">
    <w:name w:val="header"/>
    <w:basedOn w:val="a"/>
    <w:link w:val="a9"/>
    <w:uiPriority w:val="99"/>
    <w:unhideWhenUsed/>
    <w:rsid w:val="00916B5E"/>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916B5E"/>
    <w:rPr>
      <w:sz w:val="18"/>
      <w:szCs w:val="18"/>
    </w:rPr>
  </w:style>
  <w:style w:type="paragraph" w:styleId="aa">
    <w:name w:val="footer"/>
    <w:basedOn w:val="a"/>
    <w:link w:val="ab"/>
    <w:uiPriority w:val="99"/>
    <w:unhideWhenUsed/>
    <w:rsid w:val="00916B5E"/>
    <w:pPr>
      <w:tabs>
        <w:tab w:val="center" w:pos="4153"/>
        <w:tab w:val="right" w:pos="8306"/>
      </w:tabs>
      <w:snapToGrid w:val="0"/>
      <w:jc w:val="left"/>
    </w:pPr>
    <w:rPr>
      <w:sz w:val="18"/>
      <w:szCs w:val="18"/>
    </w:rPr>
  </w:style>
  <w:style w:type="character" w:customStyle="1" w:styleId="ab">
    <w:name w:val="页脚 字符"/>
    <w:basedOn w:val="a0"/>
    <w:link w:val="aa"/>
    <w:uiPriority w:val="99"/>
    <w:rsid w:val="00916B5E"/>
    <w:rPr>
      <w:sz w:val="18"/>
      <w:szCs w:val="18"/>
    </w:rPr>
  </w:style>
  <w:style w:type="paragraph" w:styleId="ac">
    <w:name w:val="Body Text"/>
    <w:basedOn w:val="a"/>
    <w:link w:val="ad"/>
    <w:uiPriority w:val="99"/>
    <w:semiHidden/>
    <w:unhideWhenUsed/>
    <w:rsid w:val="00916B5E"/>
    <w:pPr>
      <w:spacing w:after="120"/>
    </w:pPr>
  </w:style>
  <w:style w:type="character" w:customStyle="1" w:styleId="ad">
    <w:name w:val="正文文本 字符"/>
    <w:basedOn w:val="a0"/>
    <w:link w:val="ac"/>
    <w:uiPriority w:val="99"/>
    <w:semiHidden/>
    <w:rsid w:val="00916B5E"/>
  </w:style>
  <w:style w:type="character" w:customStyle="1" w:styleId="30">
    <w:name w:val="标题 3 字符"/>
    <w:basedOn w:val="a0"/>
    <w:link w:val="3"/>
    <w:rsid w:val="00916B5E"/>
    <w:rPr>
      <w:b/>
      <w:bCs/>
      <w:sz w:val="32"/>
      <w:szCs w:val="32"/>
    </w:rPr>
  </w:style>
  <w:style w:type="paragraph" w:customStyle="1" w:styleId="Default">
    <w:name w:val="Default"/>
    <w:qFormat/>
    <w:rsid w:val="00916B5E"/>
    <w:pPr>
      <w:widowControl w:val="0"/>
      <w:autoSpaceDE w:val="0"/>
      <w:autoSpaceDN w:val="0"/>
      <w:adjustRightInd w:val="0"/>
    </w:pPr>
    <w:rPr>
      <w:rFonts w:ascii="宋体" w:eastAsia="宋体" w:hAnsi="Calibri" w:cs="Times New Roman"/>
      <w:color w:val="000000"/>
      <w:kern w:val="0"/>
      <w:sz w:val="24"/>
      <w:szCs w:val="24"/>
    </w:rPr>
  </w:style>
  <w:style w:type="paragraph" w:styleId="TOC7">
    <w:name w:val="toc 7"/>
    <w:basedOn w:val="a"/>
    <w:next w:val="a"/>
    <w:uiPriority w:val="39"/>
    <w:unhideWhenUsed/>
    <w:qFormat/>
    <w:rsid w:val="00916B5E"/>
    <w:pPr>
      <w:ind w:leftChars="1200" w:left="2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779</Words>
  <Characters>4443</Characters>
  <Application>Microsoft Office Word</Application>
  <DocSecurity>0</DocSecurity>
  <Lines>37</Lines>
  <Paragraphs>10</Paragraphs>
  <ScaleCrop>false</ScaleCrop>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万 万</cp:lastModifiedBy>
  <cp:revision>9</cp:revision>
  <dcterms:created xsi:type="dcterms:W3CDTF">2022-10-24T00:41:00Z</dcterms:created>
  <dcterms:modified xsi:type="dcterms:W3CDTF">2023-03-09T06:43:00Z</dcterms:modified>
</cp:coreProperties>
</file>