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49" w:rsidRDefault="009E377E" w:rsidP="009E377E">
      <w:pPr>
        <w:widowControl/>
        <w:spacing w:before="100" w:beforeAutospacing="1" w:after="100" w:afterAutospacing="1"/>
        <w:jc w:val="center"/>
        <w:outlineLvl w:val="1"/>
        <w:rPr>
          <w:rFonts w:ascii="Helvetica" w:eastAsia="宋体" w:hAnsi="Helvetica" w:cs="Helvetica" w:hint="eastAsia"/>
          <w:b/>
          <w:bCs/>
          <w:color w:val="333333"/>
          <w:kern w:val="0"/>
          <w:sz w:val="33"/>
          <w:szCs w:val="33"/>
        </w:rPr>
      </w:pPr>
      <w:r>
        <w:rPr>
          <w:rFonts w:ascii="Helvetica" w:eastAsia="宋体" w:hAnsi="Helvetica" w:cs="Helvetica"/>
          <w:b/>
          <w:bCs/>
          <w:color w:val="333333"/>
          <w:kern w:val="0"/>
          <w:sz w:val="33"/>
          <w:szCs w:val="33"/>
        </w:rPr>
        <w:t>江西煤业集团有限责任公司萍矿工程公司</w:t>
      </w:r>
      <w:r w:rsidRPr="009E377E">
        <w:rPr>
          <w:rFonts w:ascii="Helvetica" w:eastAsia="宋体" w:hAnsi="Helvetica" w:cs="Helvetica"/>
          <w:b/>
          <w:bCs/>
          <w:color w:val="333333"/>
          <w:kern w:val="0"/>
          <w:sz w:val="33"/>
          <w:szCs w:val="33"/>
        </w:rPr>
        <w:t>采购</w:t>
      </w:r>
      <w:r w:rsidR="00AF4649">
        <w:rPr>
          <w:rFonts w:ascii="Helvetica" w:eastAsia="宋体" w:hAnsi="Helvetica" w:cs="Helvetica" w:hint="eastAsia"/>
          <w:b/>
          <w:bCs/>
          <w:color w:val="333333"/>
          <w:kern w:val="0"/>
          <w:sz w:val="33"/>
          <w:szCs w:val="33"/>
        </w:rPr>
        <w:t>材料</w:t>
      </w:r>
      <w:r w:rsidR="00AF4649">
        <w:rPr>
          <w:rFonts w:ascii="Helvetica" w:eastAsia="宋体" w:hAnsi="Helvetica" w:cs="Helvetica"/>
          <w:b/>
          <w:bCs/>
          <w:color w:val="333333"/>
          <w:kern w:val="0"/>
          <w:sz w:val="33"/>
          <w:szCs w:val="33"/>
        </w:rPr>
        <w:t>竞争</w:t>
      </w:r>
    </w:p>
    <w:p w:rsidR="009E377E" w:rsidRPr="009E377E" w:rsidRDefault="009E377E" w:rsidP="00AF4649">
      <w:pPr>
        <w:widowControl/>
        <w:spacing w:before="100" w:beforeAutospacing="1" w:after="100" w:afterAutospacing="1"/>
        <w:ind w:firstLineChars="1146" w:firstLine="3797"/>
        <w:outlineLvl w:val="1"/>
        <w:rPr>
          <w:rFonts w:ascii="Helvetica" w:eastAsia="宋体" w:hAnsi="Helvetica" w:cs="Helvetica"/>
          <w:b/>
          <w:bCs/>
          <w:color w:val="333333"/>
          <w:kern w:val="0"/>
          <w:sz w:val="33"/>
          <w:szCs w:val="33"/>
        </w:rPr>
      </w:pPr>
      <w:r w:rsidRPr="009E377E">
        <w:rPr>
          <w:rFonts w:ascii="Helvetica" w:eastAsia="宋体" w:hAnsi="Helvetica" w:cs="Helvetica"/>
          <w:b/>
          <w:bCs/>
          <w:color w:val="333333"/>
          <w:kern w:val="0"/>
          <w:sz w:val="33"/>
          <w:szCs w:val="33"/>
        </w:rPr>
        <w:t>磋商公告</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一、项目基本情况</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项目名称：</w:t>
      </w:r>
      <w:r w:rsidR="00AF4649">
        <w:rPr>
          <w:rFonts w:ascii="仿宋" w:eastAsia="仿宋" w:hAnsi="仿宋" w:cs="Helvetica" w:hint="eastAsia"/>
          <w:color w:val="333333"/>
          <w:kern w:val="0"/>
          <w:sz w:val="26"/>
          <w:szCs w:val="26"/>
        </w:rPr>
        <w:t>萍乡市井冲荷塘馨苑小区外挂电梯电梯井安装工程</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采购方式：竞争性磋商</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预算金额：</w:t>
      </w:r>
      <w:r w:rsidR="005E457F">
        <w:rPr>
          <w:rFonts w:ascii="仿宋" w:eastAsia="仿宋" w:hAnsi="仿宋" w:cs="Helvetica" w:hint="eastAsia"/>
          <w:color w:val="333333"/>
          <w:kern w:val="0"/>
          <w:sz w:val="26"/>
          <w:szCs w:val="26"/>
        </w:rPr>
        <w:t>550000</w:t>
      </w:r>
      <w:r w:rsidRPr="009E377E">
        <w:rPr>
          <w:rFonts w:ascii="仿宋" w:eastAsia="仿宋" w:hAnsi="仿宋" w:cs="Helvetica" w:hint="eastAsia"/>
          <w:color w:val="333333"/>
          <w:kern w:val="0"/>
          <w:sz w:val="26"/>
          <w:szCs w:val="26"/>
        </w:rPr>
        <w:t>元人民币</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最高限价：</w:t>
      </w:r>
      <w:r w:rsidR="005E457F">
        <w:rPr>
          <w:rFonts w:ascii="仿宋" w:eastAsia="仿宋" w:hAnsi="仿宋" w:cs="Helvetica" w:hint="eastAsia"/>
          <w:color w:val="333333"/>
          <w:kern w:val="0"/>
          <w:sz w:val="26"/>
          <w:szCs w:val="26"/>
        </w:rPr>
        <w:t>550000</w:t>
      </w:r>
      <w:r w:rsidRPr="009E377E">
        <w:rPr>
          <w:rFonts w:ascii="仿宋" w:eastAsia="仿宋" w:hAnsi="仿宋" w:cs="Helvetica" w:hint="eastAsia"/>
          <w:color w:val="333333"/>
          <w:kern w:val="0"/>
          <w:sz w:val="26"/>
          <w:szCs w:val="26"/>
        </w:rPr>
        <w:t>元人民币</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采购需求：</w:t>
      </w:r>
    </w:p>
    <w:tbl>
      <w:tblPr>
        <w:tblW w:w="2216" w:type="dxa"/>
        <w:tblInd w:w="95" w:type="dxa"/>
        <w:tblCellMar>
          <w:top w:w="15" w:type="dxa"/>
          <w:left w:w="15" w:type="dxa"/>
          <w:bottom w:w="15" w:type="dxa"/>
          <w:right w:w="15" w:type="dxa"/>
        </w:tblCellMar>
        <w:tblLook w:val="04A0"/>
      </w:tblPr>
      <w:tblGrid>
        <w:gridCol w:w="8009"/>
        <w:gridCol w:w="196"/>
        <w:gridCol w:w="196"/>
      </w:tblGrid>
      <w:tr w:rsidR="009E377E" w:rsidRPr="009E377E" w:rsidTr="005E457F">
        <w:trPr>
          <w:trHeight w:val="774"/>
        </w:trPr>
        <w:tc>
          <w:tcPr>
            <w:tcW w:w="926" w:type="dxa"/>
            <w:tcBorders>
              <w:top w:val="nil"/>
              <w:left w:val="nil"/>
              <w:bottom w:val="nil"/>
              <w:right w:val="nil"/>
            </w:tcBorders>
            <w:shd w:val="clear" w:color="auto" w:fill="F1F1F1"/>
            <w:tcMar>
              <w:top w:w="0" w:type="dxa"/>
              <w:left w:w="95" w:type="dxa"/>
              <w:bottom w:w="0" w:type="dxa"/>
              <w:right w:w="95" w:type="dxa"/>
            </w:tcMar>
            <w:vAlign w:val="center"/>
            <w:hideMark/>
          </w:tcPr>
          <w:tbl>
            <w:tblPr>
              <w:tblW w:w="7815" w:type="dxa"/>
              <w:tblLook w:val="04A0"/>
            </w:tblPr>
            <w:tblGrid>
              <w:gridCol w:w="512"/>
              <w:gridCol w:w="2717"/>
              <w:gridCol w:w="873"/>
              <w:gridCol w:w="1106"/>
              <w:gridCol w:w="873"/>
              <w:gridCol w:w="864"/>
              <w:gridCol w:w="864"/>
            </w:tblGrid>
            <w:tr w:rsidR="00D21F15" w:rsidRPr="00D21F15" w:rsidTr="00D21F15">
              <w:trPr>
                <w:trHeight w:val="525"/>
              </w:trPr>
              <w:tc>
                <w:tcPr>
                  <w:tcW w:w="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序号</w:t>
                  </w:r>
                </w:p>
              </w:tc>
              <w:tc>
                <w:tcPr>
                  <w:tcW w:w="2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材料名称</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单位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21F15" w:rsidRDefault="00D21F15" w:rsidP="00D21F15">
                  <w:pPr>
                    <w:widowControl/>
                    <w:jc w:val="center"/>
                    <w:rPr>
                      <w:rFonts w:ascii="宋体" w:eastAsia="宋体" w:hAnsi="宋体" w:cs="宋体" w:hint="eastAsia"/>
                      <w:color w:val="000000"/>
                      <w:kern w:val="0"/>
                      <w:sz w:val="32"/>
                      <w:szCs w:val="32"/>
                    </w:rPr>
                  </w:pPr>
                  <w:r w:rsidRPr="00D21F15">
                    <w:rPr>
                      <w:rFonts w:ascii="宋体" w:eastAsia="宋体" w:hAnsi="宋体" w:cs="宋体" w:hint="eastAsia"/>
                      <w:color w:val="000000"/>
                      <w:kern w:val="0"/>
                      <w:sz w:val="32"/>
                      <w:szCs w:val="32"/>
                    </w:rPr>
                    <w:t>数量</w:t>
                  </w:r>
                </w:p>
                <w:p w:rsidR="00D21F15" w:rsidRPr="00D21F15" w:rsidRDefault="00D21F15" w:rsidP="00D21F15">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（约）</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采购单价</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合计金额</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32"/>
                      <w:szCs w:val="32"/>
                    </w:rPr>
                  </w:pPr>
                  <w:r w:rsidRPr="00D21F15">
                    <w:rPr>
                      <w:rFonts w:ascii="宋体" w:eastAsia="宋体" w:hAnsi="宋体" w:cs="宋体" w:hint="eastAsia"/>
                      <w:color w:val="000000"/>
                      <w:kern w:val="0"/>
                      <w:sz w:val="32"/>
                      <w:szCs w:val="32"/>
                    </w:rPr>
                    <w:t>备注</w:t>
                  </w:r>
                </w:p>
              </w:tc>
            </w:tr>
            <w:tr w:rsidR="00D21F15" w:rsidRPr="00D21F15" w:rsidTr="00D21F15">
              <w:trPr>
                <w:trHeight w:val="726"/>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1</w:t>
                  </w:r>
                </w:p>
              </w:tc>
              <w:tc>
                <w:tcPr>
                  <w:tcW w:w="2915" w:type="dxa"/>
                  <w:tcBorders>
                    <w:top w:val="single" w:sz="8" w:space="0" w:color="auto"/>
                    <w:left w:val="single" w:sz="8" w:space="0" w:color="auto"/>
                    <w:bottom w:val="single" w:sz="8" w:space="0" w:color="auto"/>
                    <w:right w:val="single" w:sz="8" w:space="0" w:color="auto"/>
                  </w:tcBorders>
                  <w:shd w:val="clear" w:color="auto" w:fill="auto"/>
                  <w:hideMark/>
                </w:tcPr>
                <w:p w:rsidR="00D21F15" w:rsidRDefault="00D21F15" w:rsidP="00D21F15">
                  <w:pPr>
                    <w:widowControl/>
                    <w:ind w:firstLineChars="300" w:firstLine="632"/>
                    <w:rPr>
                      <w:rFonts w:ascii="宋体" w:eastAsia="宋体" w:hAnsi="宋体" w:cs="宋体" w:hint="eastAsia"/>
                      <w:b/>
                      <w:bCs/>
                      <w:color w:val="000000"/>
                      <w:kern w:val="0"/>
                      <w:szCs w:val="21"/>
                    </w:rPr>
                  </w:pPr>
                  <w:r>
                    <w:rPr>
                      <w:rFonts w:ascii="宋体" w:eastAsia="宋体" w:hAnsi="宋体" w:cs="宋体"/>
                      <w:b/>
                      <w:bCs/>
                      <w:color w:val="000000"/>
                      <w:kern w:val="0"/>
                      <w:szCs w:val="21"/>
                    </w:rPr>
                    <w:t>夹胶钢化玻璃</w:t>
                  </w:r>
                </w:p>
                <w:p w:rsidR="00D21F15" w:rsidRPr="00D21F15" w:rsidRDefault="00D21F15" w:rsidP="00D21F15">
                  <w:pPr>
                    <w:widowControl/>
                    <w:ind w:firstLineChars="300" w:firstLine="632"/>
                    <w:rPr>
                      <w:rFonts w:ascii="宋体" w:eastAsia="宋体" w:hAnsi="宋体" w:cs="宋体"/>
                      <w:b/>
                      <w:bCs/>
                      <w:color w:val="000000"/>
                      <w:kern w:val="0"/>
                      <w:szCs w:val="21"/>
                    </w:rPr>
                  </w:pPr>
                  <w:r>
                    <w:rPr>
                      <w:rFonts w:ascii="宋体" w:eastAsia="宋体" w:hAnsi="宋体" w:cs="宋体" w:hint="eastAsia"/>
                      <w:b/>
                      <w:bCs/>
                      <w:color w:val="000000"/>
                      <w:kern w:val="0"/>
                      <w:szCs w:val="21"/>
                    </w:rPr>
                    <w:t>5+0.76+5</w:t>
                  </w:r>
                </w:p>
              </w:tc>
              <w:tc>
                <w:tcPr>
                  <w:tcW w:w="925" w:type="dxa"/>
                  <w:tcBorders>
                    <w:top w:val="single" w:sz="8" w:space="0" w:color="auto"/>
                    <w:left w:val="nil"/>
                    <w:bottom w:val="single" w:sz="8" w:space="0" w:color="auto"/>
                    <w:right w:val="single" w:sz="8" w:space="0" w:color="auto"/>
                  </w:tcBorders>
                  <w:shd w:val="clear" w:color="auto" w:fill="auto"/>
                  <w:hideMark/>
                </w:tcPr>
                <w:p w:rsidR="00D21F15" w:rsidRPr="00D21F15" w:rsidRDefault="00D21F15" w:rsidP="00D21F15">
                  <w:pPr>
                    <w:widowControl/>
                    <w:rPr>
                      <w:rFonts w:ascii="宋体" w:eastAsia="宋体" w:hAnsi="宋体" w:cs="宋体"/>
                      <w:b/>
                      <w:bCs/>
                      <w:color w:val="000000"/>
                      <w:kern w:val="0"/>
                      <w:szCs w:val="21"/>
                    </w:rPr>
                  </w:pPr>
                  <w:r>
                    <w:rPr>
                      <w:rFonts w:ascii="宋体" w:eastAsia="宋体" w:hAnsi="宋体" w:cs="宋体"/>
                      <w:b/>
                      <w:bCs/>
                      <w:color w:val="000000"/>
                      <w:kern w:val="0"/>
                      <w:szCs w:val="21"/>
                    </w:rPr>
                    <w:t>平方</w:t>
                  </w:r>
                </w:p>
              </w:tc>
              <w:tc>
                <w:tcPr>
                  <w:tcW w:w="894" w:type="dxa"/>
                  <w:tcBorders>
                    <w:top w:val="single" w:sz="8" w:space="0" w:color="auto"/>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140</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2</w:t>
                  </w: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ind w:firstLineChars="300" w:firstLine="632"/>
                    <w:rPr>
                      <w:rFonts w:ascii="宋体" w:eastAsia="宋体" w:hAnsi="宋体" w:cs="宋体"/>
                      <w:b/>
                      <w:bCs/>
                      <w:color w:val="000000"/>
                      <w:kern w:val="0"/>
                      <w:szCs w:val="21"/>
                    </w:rPr>
                  </w:pPr>
                  <w:r>
                    <w:rPr>
                      <w:rFonts w:ascii="宋体" w:eastAsia="宋体" w:hAnsi="宋体" w:cs="宋体" w:hint="eastAsia"/>
                      <w:b/>
                      <w:bCs/>
                      <w:color w:val="000000"/>
                      <w:kern w:val="0"/>
                      <w:szCs w:val="21"/>
                    </w:rPr>
                    <w:t>304 玻爪</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rPr>
                      <w:rFonts w:ascii="宋体" w:eastAsia="宋体" w:hAnsi="宋体" w:cs="宋体"/>
                      <w:b/>
                      <w:bCs/>
                      <w:color w:val="000000"/>
                      <w:kern w:val="0"/>
                      <w:szCs w:val="21"/>
                    </w:rPr>
                  </w:pPr>
                  <w:r>
                    <w:rPr>
                      <w:rFonts w:ascii="宋体" w:eastAsia="宋体" w:hAnsi="宋体" w:cs="宋体"/>
                      <w:b/>
                      <w:bCs/>
                      <w:color w:val="000000"/>
                      <w:kern w:val="0"/>
                      <w:szCs w:val="21"/>
                    </w:rPr>
                    <w:t>只</w:t>
                  </w: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120</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ind w:firstLineChars="100" w:firstLine="211"/>
                    <w:jc w:val="left"/>
                    <w:rPr>
                      <w:rFonts w:ascii="宋体" w:eastAsia="宋体" w:hAnsi="宋体" w:cs="宋体"/>
                      <w:b/>
                      <w:bCs/>
                      <w:color w:val="000000"/>
                      <w:kern w:val="0"/>
                      <w:szCs w:val="21"/>
                    </w:rPr>
                  </w:pP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rPr>
                      <w:rFonts w:ascii="宋体" w:eastAsia="宋体" w:hAnsi="宋体" w:cs="宋体"/>
                      <w:b/>
                      <w:bCs/>
                      <w:color w:val="000000"/>
                      <w:kern w:val="0"/>
                      <w:szCs w:val="21"/>
                    </w:rPr>
                  </w:pP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rPr>
                      <w:rFonts w:ascii="宋体" w:eastAsia="宋体" w:hAnsi="宋体" w:cs="宋体"/>
                      <w:b/>
                      <w:bCs/>
                      <w:color w:val="000000"/>
                      <w:kern w:val="0"/>
                      <w:szCs w:val="21"/>
                    </w:rPr>
                  </w:pP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ind w:firstLineChars="300" w:firstLine="632"/>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ind w:firstLineChars="100" w:firstLine="211"/>
                    <w:jc w:val="left"/>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ind w:firstLineChars="300" w:firstLine="632"/>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nil"/>
                    <w:left w:val="single" w:sz="8" w:space="0" w:color="auto"/>
                    <w:bottom w:val="single" w:sz="8" w:space="0" w:color="auto"/>
                    <w:right w:val="single" w:sz="8" w:space="0" w:color="auto"/>
                  </w:tcBorders>
                  <w:shd w:val="clear" w:color="auto" w:fill="auto"/>
                  <w:hideMark/>
                </w:tcPr>
                <w:p w:rsidR="00D21F15" w:rsidRPr="00D21F15" w:rsidRDefault="00D21F15" w:rsidP="00D21F15">
                  <w:pPr>
                    <w:widowControl/>
                    <w:ind w:firstLineChars="300" w:firstLine="632"/>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894"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c>
                <w:tcPr>
                  <w:tcW w:w="915" w:type="dxa"/>
                  <w:tcBorders>
                    <w:top w:val="nil"/>
                    <w:left w:val="nil"/>
                    <w:bottom w:val="single" w:sz="8" w:space="0" w:color="auto"/>
                    <w:right w:val="single" w:sz="8" w:space="0" w:color="auto"/>
                  </w:tcBorders>
                  <w:shd w:val="clear" w:color="auto" w:fill="auto"/>
                  <w:vAlign w:val="center"/>
                  <w:hideMark/>
                </w:tcPr>
                <w:p w:rsidR="00D21F15" w:rsidRPr="00D21F15" w:rsidRDefault="00D21F15" w:rsidP="00D21F15">
                  <w:pPr>
                    <w:widowControl/>
                    <w:jc w:val="center"/>
                    <w:rPr>
                      <w:rFonts w:ascii="宋体" w:eastAsia="宋体" w:hAnsi="宋体" w:cs="宋体"/>
                      <w:b/>
                      <w:bCs/>
                      <w:color w:val="000000"/>
                      <w:kern w:val="0"/>
                      <w:szCs w:val="21"/>
                    </w:rPr>
                  </w:pPr>
                  <w:r w:rsidRPr="00D21F15">
                    <w:rPr>
                      <w:rFonts w:ascii="宋体" w:eastAsia="宋体" w:hAnsi="宋体" w:cs="宋体" w:hint="eastAsia"/>
                      <w:b/>
                      <w:bCs/>
                      <w:color w:val="000000"/>
                      <w:kern w:val="0"/>
                      <w:szCs w:val="21"/>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r>
            <w:tr w:rsidR="00D21F15" w:rsidRPr="00D21F15" w:rsidTr="00D21F15">
              <w:trPr>
                <w:trHeight w:val="525"/>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4"/>
                      <w:szCs w:val="24"/>
                    </w:rPr>
                  </w:pPr>
                  <w:r w:rsidRPr="00D21F15">
                    <w:rPr>
                      <w:rFonts w:ascii="宋体" w:eastAsia="宋体" w:hAnsi="宋体" w:cs="宋体" w:hint="eastAsia"/>
                      <w:color w:val="000000"/>
                      <w:kern w:val="0"/>
                      <w:sz w:val="24"/>
                      <w:szCs w:val="24"/>
                    </w:rPr>
                    <w:t xml:space="preserve">　</w:t>
                  </w:r>
                </w:p>
              </w:tc>
              <w:tc>
                <w:tcPr>
                  <w:tcW w:w="2915"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增值税发票含税13%含运费</w:t>
                  </w:r>
                </w:p>
              </w:tc>
              <w:tc>
                <w:tcPr>
                  <w:tcW w:w="925"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894"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c>
                <w:tcPr>
                  <w:tcW w:w="915"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center"/>
                    <w:rPr>
                      <w:rFonts w:ascii="宋体" w:eastAsia="宋体" w:hAnsi="宋体" w:cs="宋体"/>
                      <w:color w:val="000000"/>
                      <w:kern w:val="0"/>
                      <w:sz w:val="22"/>
                    </w:rPr>
                  </w:pPr>
                </w:p>
              </w:tc>
              <w:tc>
                <w:tcPr>
                  <w:tcW w:w="915" w:type="dxa"/>
                  <w:tcBorders>
                    <w:top w:val="nil"/>
                    <w:left w:val="nil"/>
                    <w:bottom w:val="single" w:sz="4" w:space="0" w:color="auto"/>
                    <w:right w:val="single" w:sz="4" w:space="0" w:color="auto"/>
                  </w:tcBorders>
                  <w:shd w:val="clear" w:color="auto" w:fill="auto"/>
                  <w:noWrap/>
                  <w:vAlign w:val="center"/>
                  <w:hideMark/>
                </w:tcPr>
                <w:p w:rsidR="00D21F15" w:rsidRPr="00D21F15" w:rsidRDefault="00D21F15" w:rsidP="00D21F15">
                  <w:pPr>
                    <w:widowControl/>
                    <w:jc w:val="left"/>
                    <w:rPr>
                      <w:rFonts w:ascii="宋体" w:eastAsia="宋体" w:hAnsi="宋体" w:cs="宋体"/>
                      <w:color w:val="000000"/>
                      <w:kern w:val="0"/>
                      <w:sz w:val="22"/>
                    </w:rPr>
                  </w:pPr>
                  <w:r w:rsidRPr="00D21F15">
                    <w:rPr>
                      <w:rFonts w:ascii="宋体" w:eastAsia="宋体" w:hAnsi="宋体" w:cs="宋体" w:hint="eastAsia"/>
                      <w:color w:val="000000"/>
                      <w:kern w:val="0"/>
                      <w:sz w:val="22"/>
                    </w:rPr>
                    <w:t xml:space="preserve">　</w:t>
                  </w:r>
                </w:p>
              </w:tc>
            </w:tr>
          </w:tbl>
          <w:p w:rsidR="009E377E" w:rsidRPr="009E377E" w:rsidRDefault="009E377E" w:rsidP="009E377E">
            <w:pPr>
              <w:widowControl/>
              <w:spacing w:line="326" w:lineRule="atLeast"/>
              <w:jc w:val="center"/>
              <w:rPr>
                <w:rFonts w:ascii="宋体" w:eastAsia="宋体" w:hAnsi="宋体" w:cs="宋体"/>
                <w:kern w:val="0"/>
                <w:sz w:val="24"/>
                <w:szCs w:val="24"/>
              </w:rPr>
            </w:pPr>
          </w:p>
        </w:tc>
        <w:tc>
          <w:tcPr>
            <w:tcW w:w="580" w:type="dxa"/>
            <w:tcBorders>
              <w:top w:val="nil"/>
              <w:left w:val="nil"/>
              <w:bottom w:val="nil"/>
              <w:right w:val="nil"/>
            </w:tcBorders>
            <w:shd w:val="clear" w:color="auto" w:fill="F1F1F1"/>
            <w:tcMar>
              <w:top w:w="0" w:type="dxa"/>
              <w:left w:w="95" w:type="dxa"/>
              <w:bottom w:w="0" w:type="dxa"/>
              <w:right w:w="95" w:type="dxa"/>
            </w:tcMar>
            <w:vAlign w:val="center"/>
            <w:hideMark/>
          </w:tcPr>
          <w:p w:rsidR="009E377E" w:rsidRPr="009E377E" w:rsidRDefault="009E377E" w:rsidP="009E377E">
            <w:pPr>
              <w:widowControl/>
              <w:spacing w:line="326" w:lineRule="atLeast"/>
              <w:jc w:val="center"/>
              <w:rPr>
                <w:rFonts w:ascii="宋体" w:eastAsia="宋体" w:hAnsi="宋体" w:cs="宋体"/>
                <w:kern w:val="0"/>
                <w:sz w:val="24"/>
                <w:szCs w:val="24"/>
              </w:rPr>
            </w:pPr>
          </w:p>
        </w:tc>
        <w:tc>
          <w:tcPr>
            <w:tcW w:w="710" w:type="dxa"/>
            <w:tcBorders>
              <w:top w:val="nil"/>
              <w:left w:val="nil"/>
              <w:bottom w:val="nil"/>
              <w:right w:val="nil"/>
            </w:tcBorders>
            <w:shd w:val="clear" w:color="auto" w:fill="F1F1F1"/>
            <w:tcMar>
              <w:top w:w="0" w:type="dxa"/>
              <w:left w:w="95" w:type="dxa"/>
              <w:bottom w:w="0" w:type="dxa"/>
              <w:right w:w="95" w:type="dxa"/>
            </w:tcMar>
            <w:vAlign w:val="center"/>
            <w:hideMark/>
          </w:tcPr>
          <w:p w:rsidR="009E377E" w:rsidRPr="009E377E" w:rsidRDefault="009E377E" w:rsidP="009E377E">
            <w:pPr>
              <w:widowControl/>
              <w:spacing w:line="326" w:lineRule="atLeast"/>
              <w:jc w:val="center"/>
              <w:rPr>
                <w:rFonts w:ascii="宋体" w:eastAsia="宋体" w:hAnsi="宋体" w:cs="宋体"/>
                <w:kern w:val="0"/>
                <w:sz w:val="24"/>
                <w:szCs w:val="24"/>
              </w:rPr>
            </w:pPr>
          </w:p>
        </w:tc>
      </w:tr>
      <w:tr w:rsidR="009E377E" w:rsidRPr="009E377E" w:rsidTr="005E457F">
        <w:trPr>
          <w:trHeight w:val="720"/>
        </w:trPr>
        <w:tc>
          <w:tcPr>
            <w:tcW w:w="926" w:type="dxa"/>
            <w:tcBorders>
              <w:top w:val="nil"/>
              <w:left w:val="nil"/>
              <w:bottom w:val="nil"/>
              <w:right w:val="nil"/>
            </w:tcBorders>
            <w:tcMar>
              <w:top w:w="0" w:type="dxa"/>
              <w:left w:w="95" w:type="dxa"/>
              <w:bottom w:w="0" w:type="dxa"/>
              <w:right w:w="95" w:type="dxa"/>
            </w:tcMar>
            <w:vAlign w:val="center"/>
            <w:hideMark/>
          </w:tcPr>
          <w:p w:rsidR="009E377E" w:rsidRPr="009E377E" w:rsidRDefault="009E377E" w:rsidP="009E377E">
            <w:pPr>
              <w:widowControl/>
              <w:spacing w:line="326" w:lineRule="atLeast"/>
              <w:jc w:val="center"/>
              <w:rPr>
                <w:rFonts w:ascii="宋体" w:eastAsia="宋体" w:hAnsi="宋体" w:cs="宋体"/>
                <w:kern w:val="0"/>
                <w:sz w:val="24"/>
                <w:szCs w:val="24"/>
              </w:rPr>
            </w:pPr>
          </w:p>
        </w:tc>
        <w:tc>
          <w:tcPr>
            <w:tcW w:w="580" w:type="dxa"/>
            <w:tcBorders>
              <w:top w:val="nil"/>
              <w:left w:val="nil"/>
              <w:bottom w:val="nil"/>
              <w:right w:val="nil"/>
            </w:tcBorders>
            <w:tcMar>
              <w:top w:w="0" w:type="dxa"/>
              <w:left w:w="95" w:type="dxa"/>
              <w:bottom w:w="0" w:type="dxa"/>
              <w:right w:w="95" w:type="dxa"/>
            </w:tcMar>
            <w:vAlign w:val="center"/>
            <w:hideMark/>
          </w:tcPr>
          <w:p w:rsidR="009E377E" w:rsidRPr="009E377E" w:rsidRDefault="009E377E" w:rsidP="009E377E">
            <w:pPr>
              <w:widowControl/>
              <w:spacing w:line="326" w:lineRule="atLeast"/>
              <w:jc w:val="center"/>
              <w:rPr>
                <w:rFonts w:ascii="宋体" w:eastAsia="宋体" w:hAnsi="宋体" w:cs="宋体"/>
                <w:kern w:val="0"/>
                <w:sz w:val="24"/>
                <w:szCs w:val="24"/>
              </w:rPr>
            </w:pPr>
          </w:p>
        </w:tc>
        <w:tc>
          <w:tcPr>
            <w:tcW w:w="710" w:type="dxa"/>
            <w:tcBorders>
              <w:top w:val="nil"/>
              <w:left w:val="nil"/>
              <w:bottom w:val="nil"/>
              <w:right w:val="nil"/>
            </w:tcBorders>
            <w:tcMar>
              <w:top w:w="0" w:type="dxa"/>
              <w:left w:w="95" w:type="dxa"/>
              <w:bottom w:w="0" w:type="dxa"/>
              <w:right w:w="95" w:type="dxa"/>
            </w:tcMar>
            <w:vAlign w:val="center"/>
            <w:hideMark/>
          </w:tcPr>
          <w:p w:rsidR="009E377E" w:rsidRPr="009E377E" w:rsidRDefault="009E377E" w:rsidP="009E377E">
            <w:pPr>
              <w:widowControl/>
              <w:spacing w:line="326" w:lineRule="atLeast"/>
              <w:jc w:val="center"/>
              <w:rPr>
                <w:rFonts w:ascii="宋体" w:eastAsia="宋体" w:hAnsi="宋体" w:cs="宋体"/>
                <w:kern w:val="0"/>
                <w:sz w:val="24"/>
                <w:szCs w:val="24"/>
              </w:rPr>
            </w:pPr>
          </w:p>
        </w:tc>
      </w:tr>
    </w:tbl>
    <w:p w:rsidR="009E377E" w:rsidRPr="009E377E" w:rsidRDefault="009E377E" w:rsidP="009E377E">
      <w:pPr>
        <w:widowControl/>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注：本项目响应报价不得超过最高限价，否则投标无效。</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合同履行期限：详见磋商文件</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lastRenderedPageBreak/>
        <w:t>本项目（是/否）接受联合体投标：否</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二、申请人的资格要求：</w:t>
      </w:r>
    </w:p>
    <w:p w:rsidR="009E377E" w:rsidRPr="009E377E" w:rsidRDefault="009E377E" w:rsidP="009E377E">
      <w:pPr>
        <w:widowControl/>
        <w:spacing w:line="326" w:lineRule="atLeast"/>
        <w:ind w:firstLine="435"/>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1.资格要求；</w:t>
      </w:r>
    </w:p>
    <w:p w:rsidR="009E377E" w:rsidRPr="009E377E" w:rsidRDefault="009E377E" w:rsidP="009E377E">
      <w:pPr>
        <w:widowControl/>
        <w:spacing w:line="326" w:lineRule="atLeast"/>
        <w:ind w:firstLine="380"/>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（1）在中华人民共和国境内注册的法人或者其他组织</w:t>
      </w:r>
    </w:p>
    <w:p w:rsidR="009E377E" w:rsidRPr="009E377E" w:rsidRDefault="009E377E" w:rsidP="009E377E">
      <w:pPr>
        <w:widowControl/>
        <w:spacing w:line="326" w:lineRule="atLeast"/>
        <w:ind w:firstLine="380"/>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（2）具有履行合同所必须的设备和专业技术能力</w:t>
      </w:r>
    </w:p>
    <w:p w:rsidR="009E377E" w:rsidRPr="009E377E" w:rsidRDefault="009E377E" w:rsidP="009E377E">
      <w:pPr>
        <w:widowControl/>
        <w:spacing w:line="326" w:lineRule="atLeast"/>
        <w:ind w:firstLine="380"/>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（3）参加采购活动前三年内,在经营活动中没有重大违法记录</w:t>
      </w:r>
    </w:p>
    <w:p w:rsidR="009E377E" w:rsidRPr="009E377E" w:rsidRDefault="009E377E" w:rsidP="009E377E">
      <w:pPr>
        <w:widowControl/>
        <w:spacing w:line="326" w:lineRule="atLeast"/>
        <w:ind w:firstLine="380"/>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（4）法律、行政法规规定的其他条件</w:t>
      </w:r>
    </w:p>
    <w:p w:rsidR="009E377E" w:rsidRPr="009E377E" w:rsidRDefault="009E377E" w:rsidP="009E377E">
      <w:pPr>
        <w:widowControl/>
        <w:spacing w:line="326" w:lineRule="atLeast"/>
        <w:ind w:firstLine="435"/>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投标人被“信用中国”网站（https://www.creditchina.gov.cn/）列入失信被执行人和重大税收违法案件当事人名单的、被“中国政府采购网”网站列入政府采购严重违法失信行为记录名单（处罚期限尚未届满的），不得参与本项目的采购活动。</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2.本项目的特定资格要求：无。</w:t>
      </w:r>
    </w:p>
    <w:p w:rsidR="009E377E" w:rsidRPr="009E377E" w:rsidRDefault="009E377E" w:rsidP="009E377E">
      <w:pPr>
        <w:widowControl/>
        <w:spacing w:line="326" w:lineRule="atLeast"/>
        <w:ind w:firstLine="435"/>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3.本项目中标后不允许分包、转包。</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三、获取采购文件</w:t>
      </w:r>
    </w:p>
    <w:p w:rsidR="009E377E" w:rsidRPr="009E377E" w:rsidRDefault="009E377E" w:rsidP="009E377E">
      <w:pPr>
        <w:widowControl/>
        <w:spacing w:line="489" w:lineRule="atLeast"/>
        <w:ind w:firstLine="503"/>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有意向的潜在投标人于2021年1</w:t>
      </w:r>
      <w:r w:rsidR="00D21F15">
        <w:rPr>
          <w:rFonts w:ascii="仿宋" w:eastAsia="仿宋" w:hAnsi="仿宋" w:cs="Helvetica" w:hint="eastAsia"/>
          <w:b/>
          <w:bCs/>
          <w:color w:val="333333"/>
          <w:kern w:val="0"/>
          <w:sz w:val="26"/>
          <w:szCs w:val="26"/>
        </w:rPr>
        <w:t>2</w:t>
      </w:r>
      <w:r w:rsidRPr="009E377E">
        <w:rPr>
          <w:rFonts w:ascii="仿宋" w:eastAsia="仿宋" w:hAnsi="仿宋" w:cs="Helvetica" w:hint="eastAsia"/>
          <w:b/>
          <w:bCs/>
          <w:color w:val="333333"/>
          <w:kern w:val="0"/>
          <w:sz w:val="26"/>
          <w:szCs w:val="26"/>
        </w:rPr>
        <w:t>月</w:t>
      </w:r>
      <w:r w:rsidR="00D21F15">
        <w:rPr>
          <w:rFonts w:ascii="仿宋" w:eastAsia="仿宋" w:hAnsi="仿宋" w:cs="Helvetica" w:hint="eastAsia"/>
          <w:b/>
          <w:bCs/>
          <w:color w:val="333333"/>
          <w:kern w:val="0"/>
          <w:sz w:val="26"/>
          <w:szCs w:val="26"/>
        </w:rPr>
        <w:t>6</w:t>
      </w:r>
      <w:r w:rsidRPr="009E377E">
        <w:rPr>
          <w:rFonts w:ascii="仿宋" w:eastAsia="仿宋" w:hAnsi="仿宋" w:cs="Helvetica" w:hint="eastAsia"/>
          <w:b/>
          <w:bCs/>
          <w:color w:val="333333"/>
          <w:kern w:val="0"/>
          <w:sz w:val="26"/>
          <w:szCs w:val="26"/>
        </w:rPr>
        <w:t>日起至2021年12月</w:t>
      </w:r>
      <w:r w:rsidR="00D21F15">
        <w:rPr>
          <w:rFonts w:ascii="仿宋" w:eastAsia="仿宋" w:hAnsi="仿宋" w:cs="Helvetica" w:hint="eastAsia"/>
          <w:b/>
          <w:bCs/>
          <w:color w:val="333333"/>
          <w:kern w:val="0"/>
          <w:sz w:val="26"/>
          <w:szCs w:val="26"/>
        </w:rPr>
        <w:t>13</w:t>
      </w:r>
      <w:r w:rsidRPr="009E377E">
        <w:rPr>
          <w:rFonts w:ascii="仿宋" w:eastAsia="仿宋" w:hAnsi="仿宋" w:cs="Helvetica" w:hint="eastAsia"/>
          <w:b/>
          <w:bCs/>
          <w:color w:val="333333"/>
          <w:kern w:val="0"/>
          <w:sz w:val="26"/>
          <w:szCs w:val="26"/>
        </w:rPr>
        <w:t>日止，每天9：00～11:30,13:30～17:00时(北京时间)在江西省国资委出资监管企业采购交易服务平台（网址：</w:t>
      </w:r>
      <w:hyperlink r:id="rId6" w:history="1">
        <w:r w:rsidRPr="009E377E">
          <w:rPr>
            <w:rFonts w:ascii="仿宋" w:eastAsia="仿宋" w:hAnsi="仿宋" w:cs="Helvetica" w:hint="eastAsia"/>
            <w:b/>
            <w:bCs/>
            <w:color w:val="0000FF"/>
            <w:kern w:val="0"/>
            <w:sz w:val="26"/>
            <w:u w:val="single"/>
          </w:rPr>
          <w:t>http://gz.jxgzwztb.com/）注册后报名</w:t>
        </w:r>
      </w:hyperlink>
      <w:r w:rsidRPr="009E377E">
        <w:rPr>
          <w:rFonts w:ascii="仿宋" w:eastAsia="仿宋" w:hAnsi="仿宋" w:cs="Helvetica" w:hint="eastAsia"/>
          <w:b/>
          <w:bCs/>
          <w:color w:val="333333"/>
          <w:kern w:val="0"/>
          <w:sz w:val="26"/>
          <w:szCs w:val="26"/>
        </w:rPr>
        <w:t>。</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报名时需提供资料（复印件需盖公章）：</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1）在有效期内的营业执照；</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2）法人代表证书或法定代表人授权委托书及身份证复印件；</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四、响应文件提交</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截止时间：2021年12月</w:t>
      </w:r>
      <w:r w:rsidR="00D21F15">
        <w:rPr>
          <w:rFonts w:ascii="仿宋" w:eastAsia="仿宋" w:hAnsi="仿宋" w:cs="Helvetica" w:hint="eastAsia"/>
          <w:color w:val="333333"/>
          <w:kern w:val="0"/>
          <w:sz w:val="26"/>
          <w:szCs w:val="26"/>
        </w:rPr>
        <w:t>13</w:t>
      </w:r>
      <w:r w:rsidRPr="009E377E">
        <w:rPr>
          <w:rFonts w:ascii="仿宋" w:eastAsia="仿宋" w:hAnsi="仿宋" w:cs="Helvetica" w:hint="eastAsia"/>
          <w:color w:val="333333"/>
          <w:kern w:val="0"/>
          <w:sz w:val="26"/>
          <w:szCs w:val="26"/>
        </w:rPr>
        <w:t>日上午09：30（北京时间）</w:t>
      </w:r>
    </w:p>
    <w:p w:rsidR="00CA0E58" w:rsidRDefault="009E377E" w:rsidP="00CA0E58">
      <w:pPr>
        <w:widowControl/>
        <w:spacing w:line="326" w:lineRule="atLeast"/>
        <w:ind w:firstLine="489"/>
        <w:rPr>
          <w:rFonts w:ascii="仿宋" w:eastAsia="仿宋" w:hAnsi="仿宋" w:cs="Helvetica" w:hint="eastAsia"/>
          <w:color w:val="333333"/>
          <w:kern w:val="0"/>
          <w:sz w:val="26"/>
          <w:szCs w:val="26"/>
        </w:rPr>
      </w:pPr>
      <w:r w:rsidRPr="009E377E">
        <w:rPr>
          <w:rFonts w:ascii="仿宋" w:eastAsia="仿宋" w:hAnsi="仿宋" w:cs="Helvetica" w:hint="eastAsia"/>
          <w:color w:val="333333"/>
          <w:kern w:val="0"/>
          <w:sz w:val="26"/>
          <w:szCs w:val="26"/>
        </w:rPr>
        <w:lastRenderedPageBreak/>
        <w:t>地点：</w:t>
      </w:r>
      <w:bookmarkStart w:id="0" w:name="OLE_LINK1"/>
      <w:bookmarkStart w:id="1" w:name="OLE_LINK2"/>
      <w:r w:rsidR="00CA0E58">
        <w:rPr>
          <w:rFonts w:ascii="仿宋" w:eastAsia="仿宋" w:hAnsi="仿宋" w:cs="Helvetica" w:hint="eastAsia"/>
          <w:color w:val="333333"/>
          <w:kern w:val="0"/>
          <w:sz w:val="26"/>
          <w:szCs w:val="26"/>
        </w:rPr>
        <w:t>萍乡矿业集团工程</w:t>
      </w:r>
      <w:r w:rsidR="00CA0E58" w:rsidRPr="009E377E">
        <w:rPr>
          <w:rFonts w:ascii="仿宋" w:eastAsia="仿宋" w:hAnsi="仿宋" w:cs="Helvetica" w:hint="eastAsia"/>
          <w:color w:val="333333"/>
          <w:kern w:val="0"/>
          <w:sz w:val="26"/>
          <w:szCs w:val="26"/>
        </w:rPr>
        <w:t>有限公司（江西省</w:t>
      </w:r>
      <w:r w:rsidR="00CA0E58">
        <w:rPr>
          <w:rFonts w:ascii="仿宋" w:eastAsia="仿宋" w:hAnsi="仿宋" w:cs="Helvetica" w:hint="eastAsia"/>
          <w:color w:val="333333"/>
          <w:kern w:val="0"/>
          <w:sz w:val="26"/>
          <w:szCs w:val="26"/>
        </w:rPr>
        <w:t>萍乡市安源区安源西大道72号3楼会议室</w:t>
      </w:r>
      <w:r w:rsidR="00CA0E58" w:rsidRPr="009E377E">
        <w:rPr>
          <w:rFonts w:ascii="仿宋" w:eastAsia="仿宋" w:hAnsi="仿宋" w:cs="Helvetica" w:hint="eastAsia"/>
          <w:color w:val="333333"/>
          <w:kern w:val="0"/>
          <w:sz w:val="26"/>
          <w:szCs w:val="26"/>
        </w:rPr>
        <w:t>）</w:t>
      </w:r>
      <w:bookmarkEnd w:id="0"/>
      <w:bookmarkEnd w:id="1"/>
    </w:p>
    <w:p w:rsidR="009E377E" w:rsidRPr="009E377E" w:rsidRDefault="009E377E" w:rsidP="00CA0E58">
      <w:pPr>
        <w:widowControl/>
        <w:spacing w:line="326" w:lineRule="atLeast"/>
        <w:ind w:firstLine="489"/>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五、开启</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时间：2021年12月</w:t>
      </w:r>
      <w:r w:rsidR="00D21F15">
        <w:rPr>
          <w:rFonts w:ascii="仿宋" w:eastAsia="仿宋" w:hAnsi="仿宋" w:cs="Helvetica" w:hint="eastAsia"/>
          <w:color w:val="333333"/>
          <w:kern w:val="0"/>
          <w:sz w:val="26"/>
          <w:szCs w:val="26"/>
        </w:rPr>
        <w:t>13</w:t>
      </w:r>
      <w:r w:rsidRPr="009E377E">
        <w:rPr>
          <w:rFonts w:ascii="仿宋" w:eastAsia="仿宋" w:hAnsi="仿宋" w:cs="Helvetica" w:hint="eastAsia"/>
          <w:color w:val="333333"/>
          <w:kern w:val="0"/>
          <w:sz w:val="26"/>
          <w:szCs w:val="26"/>
        </w:rPr>
        <w:t>日上午09：30（北京时间）</w:t>
      </w:r>
    </w:p>
    <w:p w:rsidR="009E377E" w:rsidRPr="009E377E" w:rsidRDefault="009E377E" w:rsidP="009E377E">
      <w:pPr>
        <w:widowControl/>
        <w:spacing w:line="326" w:lineRule="atLeast"/>
        <w:ind w:firstLine="489"/>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地点：</w:t>
      </w:r>
      <w:r w:rsidR="00D21F15">
        <w:rPr>
          <w:rFonts w:ascii="仿宋" w:eastAsia="仿宋" w:hAnsi="仿宋" w:cs="Helvetica" w:hint="eastAsia"/>
          <w:color w:val="333333"/>
          <w:kern w:val="0"/>
          <w:sz w:val="26"/>
          <w:szCs w:val="26"/>
        </w:rPr>
        <w:t>萍乡矿业集团工程</w:t>
      </w:r>
      <w:r w:rsidRPr="009E377E">
        <w:rPr>
          <w:rFonts w:ascii="仿宋" w:eastAsia="仿宋" w:hAnsi="仿宋" w:cs="Helvetica" w:hint="eastAsia"/>
          <w:color w:val="333333"/>
          <w:kern w:val="0"/>
          <w:sz w:val="26"/>
          <w:szCs w:val="26"/>
        </w:rPr>
        <w:t>有限公司（江西省</w:t>
      </w:r>
      <w:r w:rsidR="00D21F15">
        <w:rPr>
          <w:rFonts w:ascii="仿宋" w:eastAsia="仿宋" w:hAnsi="仿宋" w:cs="Helvetica" w:hint="eastAsia"/>
          <w:color w:val="333333"/>
          <w:kern w:val="0"/>
          <w:sz w:val="26"/>
          <w:szCs w:val="26"/>
        </w:rPr>
        <w:t>萍乡市</w:t>
      </w:r>
      <w:r w:rsidR="00CA0E58">
        <w:rPr>
          <w:rFonts w:ascii="仿宋" w:eastAsia="仿宋" w:hAnsi="仿宋" w:cs="Helvetica" w:hint="eastAsia"/>
          <w:color w:val="333333"/>
          <w:kern w:val="0"/>
          <w:sz w:val="26"/>
          <w:szCs w:val="26"/>
        </w:rPr>
        <w:t>安源区安源西大道72号3楼会议室</w:t>
      </w:r>
      <w:r w:rsidRPr="009E377E">
        <w:rPr>
          <w:rFonts w:ascii="仿宋" w:eastAsia="仿宋" w:hAnsi="仿宋" w:cs="Helvetica" w:hint="eastAsia"/>
          <w:color w:val="333333"/>
          <w:kern w:val="0"/>
          <w:sz w:val="26"/>
          <w:szCs w:val="26"/>
        </w:rPr>
        <w:t>）</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六、公告期限</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自本公告发布之日起5个工作日。</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七、其他补充事宜</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根据相关规定，疫情期间要求：</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①进入开评标地点所在大楼，所有人员必须佩戴口罩。原则上一个项目，仅允许采购人、采购人以及每家投标单位各1-2名代表进入开标室；并在开标现场指导入场人员保持适当间隔距离，请各供应商做好相关防疫措施，在场人员不得脱下口罩。</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②开评标前，采购人代表、代理机构工作人员应逐一准确登记参与开标评活动人员的基本信息，测量、记录体温，了解近期的个人身体情况和发热病人接触史，发现情况异常的人员不应允许其参与开标、评审活动，并及时向同级防疫部门报告。</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③有下列情形之一的人员，一律不得进入开标评标现场：一是最近14天接触过新冠肺炎疑似或确诊患者的；二是来自中、重疫区的供应商隔离期未满或未提供检测结果为阴性的核酸检测报告；三是近期有发热、乏力、干咳、气促等疑似症状的；四是体（额）温超过37.3℃的。</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lastRenderedPageBreak/>
        <w:t>④自开评标次日起14天内，开评标活动参加人员确诊为新冠肺炎、出现疑似症状被医学观察或被采取其他强制隔离措施的，应立即通知采购人及相关单位。</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⑤所有进入</w:t>
      </w:r>
      <w:r w:rsidR="00D8639E">
        <w:rPr>
          <w:rFonts w:ascii="仿宋" w:eastAsia="仿宋" w:hAnsi="仿宋" w:cs="Helvetica" w:hint="eastAsia"/>
          <w:color w:val="333333"/>
          <w:kern w:val="0"/>
          <w:sz w:val="26"/>
          <w:szCs w:val="26"/>
        </w:rPr>
        <w:t>萍乡矿业集团工程</w:t>
      </w:r>
      <w:r w:rsidR="00D8639E" w:rsidRPr="009E377E">
        <w:rPr>
          <w:rFonts w:ascii="仿宋" w:eastAsia="仿宋" w:hAnsi="仿宋" w:cs="Helvetica" w:hint="eastAsia"/>
          <w:color w:val="333333"/>
          <w:kern w:val="0"/>
          <w:sz w:val="26"/>
          <w:szCs w:val="26"/>
        </w:rPr>
        <w:t>有限公司</w:t>
      </w:r>
      <w:r w:rsidRPr="009E377E">
        <w:rPr>
          <w:rFonts w:ascii="仿宋" w:eastAsia="仿宋" w:hAnsi="仿宋" w:cs="Helvetica" w:hint="eastAsia"/>
          <w:color w:val="333333"/>
          <w:kern w:val="0"/>
          <w:sz w:val="26"/>
          <w:szCs w:val="26"/>
        </w:rPr>
        <w:t>的投标人，均须出示行程码、健康码，进行测温、登记。健康码为黄码、红码的人员一律不得进入；</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⑥ 2021年10月11日以来有上饶市铅山县旅居史的投标人，不得进入</w:t>
      </w:r>
      <w:r w:rsidR="00D8639E">
        <w:rPr>
          <w:rFonts w:ascii="仿宋" w:eastAsia="仿宋" w:hAnsi="仿宋" w:cs="Helvetica" w:hint="eastAsia"/>
          <w:color w:val="333333"/>
          <w:kern w:val="0"/>
          <w:sz w:val="26"/>
          <w:szCs w:val="26"/>
        </w:rPr>
        <w:t>萍乡矿业集团工程</w:t>
      </w:r>
      <w:r w:rsidR="00D8639E" w:rsidRPr="009E377E">
        <w:rPr>
          <w:rFonts w:ascii="仿宋" w:eastAsia="仿宋" w:hAnsi="仿宋" w:cs="Helvetica" w:hint="eastAsia"/>
          <w:color w:val="333333"/>
          <w:kern w:val="0"/>
          <w:sz w:val="26"/>
          <w:szCs w:val="26"/>
        </w:rPr>
        <w:t>有限公司</w:t>
      </w:r>
      <w:r w:rsidRPr="009E377E">
        <w:rPr>
          <w:rFonts w:ascii="仿宋" w:eastAsia="仿宋" w:hAnsi="仿宋" w:cs="Helvetica" w:hint="eastAsia"/>
          <w:color w:val="333333"/>
          <w:kern w:val="0"/>
          <w:sz w:val="26"/>
          <w:szCs w:val="26"/>
        </w:rPr>
        <w:t>；</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⑦ 2021年10月11日以来有上饶市（除铅山县）旅居史的投标人，不得进入</w:t>
      </w:r>
      <w:r w:rsidR="00D8639E">
        <w:rPr>
          <w:rFonts w:ascii="仿宋" w:eastAsia="仿宋" w:hAnsi="仿宋" w:cs="Helvetica" w:hint="eastAsia"/>
          <w:color w:val="333333"/>
          <w:kern w:val="0"/>
          <w:sz w:val="26"/>
          <w:szCs w:val="26"/>
        </w:rPr>
        <w:t>萍乡矿业集团工程</w:t>
      </w:r>
      <w:r w:rsidR="00D8639E" w:rsidRPr="009E377E">
        <w:rPr>
          <w:rFonts w:ascii="仿宋" w:eastAsia="仿宋" w:hAnsi="仿宋" w:cs="Helvetica" w:hint="eastAsia"/>
          <w:color w:val="333333"/>
          <w:kern w:val="0"/>
          <w:sz w:val="26"/>
          <w:szCs w:val="26"/>
        </w:rPr>
        <w:t>有限公司</w:t>
      </w:r>
      <w:r w:rsidRPr="009E377E">
        <w:rPr>
          <w:rFonts w:ascii="仿宋" w:eastAsia="仿宋" w:hAnsi="仿宋" w:cs="Helvetica" w:hint="eastAsia"/>
          <w:color w:val="333333"/>
          <w:kern w:val="0"/>
          <w:sz w:val="26"/>
          <w:szCs w:val="26"/>
        </w:rPr>
        <w:t>；</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⑧ 2021年10月29日-30日期间有九江市旅居史的投标人，不得进入</w:t>
      </w:r>
      <w:r w:rsidR="00D8639E">
        <w:rPr>
          <w:rFonts w:ascii="仿宋" w:eastAsia="仿宋" w:hAnsi="仿宋" w:cs="Helvetica" w:hint="eastAsia"/>
          <w:color w:val="333333"/>
          <w:kern w:val="0"/>
          <w:sz w:val="26"/>
          <w:szCs w:val="26"/>
        </w:rPr>
        <w:t>萍乡矿业集团工程</w:t>
      </w:r>
      <w:r w:rsidR="00D8639E" w:rsidRPr="009E377E">
        <w:rPr>
          <w:rFonts w:ascii="仿宋" w:eastAsia="仿宋" w:hAnsi="仿宋" w:cs="Helvetica" w:hint="eastAsia"/>
          <w:color w:val="333333"/>
          <w:kern w:val="0"/>
          <w:sz w:val="26"/>
          <w:szCs w:val="26"/>
        </w:rPr>
        <w:t>有限公司</w:t>
      </w:r>
      <w:r w:rsidRPr="009E377E">
        <w:rPr>
          <w:rFonts w:ascii="仿宋" w:eastAsia="仿宋" w:hAnsi="仿宋" w:cs="Helvetica" w:hint="eastAsia"/>
          <w:color w:val="333333"/>
          <w:kern w:val="0"/>
          <w:sz w:val="26"/>
          <w:szCs w:val="26"/>
        </w:rPr>
        <w:t>。</w:t>
      </w:r>
    </w:p>
    <w:p w:rsidR="009E377E" w:rsidRPr="009E377E" w:rsidRDefault="009E377E" w:rsidP="009E377E">
      <w:pPr>
        <w:widowControl/>
        <w:spacing w:line="489" w:lineRule="atLeast"/>
        <w:outlineLvl w:val="1"/>
        <w:rPr>
          <w:rFonts w:ascii="Helvetica" w:eastAsia="宋体" w:hAnsi="Helvetica" w:cs="Helvetica"/>
          <w:b/>
          <w:bCs/>
          <w:color w:val="333333"/>
          <w:kern w:val="0"/>
          <w:sz w:val="36"/>
          <w:szCs w:val="36"/>
        </w:rPr>
      </w:pPr>
      <w:r w:rsidRPr="009E377E">
        <w:rPr>
          <w:rFonts w:ascii="仿宋" w:eastAsia="仿宋" w:hAnsi="仿宋" w:cs="Helvetica" w:hint="eastAsia"/>
          <w:b/>
          <w:bCs/>
          <w:color w:val="333333"/>
          <w:kern w:val="0"/>
          <w:sz w:val="26"/>
          <w:szCs w:val="26"/>
        </w:rPr>
        <w:t>七、凡对本次招标提出询问，请按以下方式联系。</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1.采购人信息</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名</w:t>
      </w:r>
      <w:r w:rsidRPr="009E377E">
        <w:rPr>
          <w:rFonts w:ascii="宋体" w:eastAsia="宋体" w:hAnsi="宋体" w:cs="宋体" w:hint="eastAsia"/>
          <w:color w:val="333333"/>
          <w:kern w:val="0"/>
          <w:sz w:val="26"/>
          <w:szCs w:val="26"/>
        </w:rPr>
        <w:t> </w:t>
      </w:r>
      <w:r w:rsidRPr="009E377E">
        <w:rPr>
          <w:rFonts w:ascii="仿宋" w:eastAsia="仿宋" w:hAnsi="仿宋" w:cs="Helvetica" w:hint="eastAsia"/>
          <w:color w:val="333333"/>
          <w:kern w:val="0"/>
          <w:sz w:val="26"/>
          <w:szCs w:val="26"/>
        </w:rPr>
        <w:t>称：</w:t>
      </w:r>
      <w:r w:rsidR="00CA0E58">
        <w:rPr>
          <w:rFonts w:ascii="仿宋" w:eastAsia="仿宋" w:hAnsi="仿宋" w:cs="Helvetica" w:hint="eastAsia"/>
          <w:color w:val="333333"/>
          <w:kern w:val="0"/>
          <w:sz w:val="26"/>
          <w:szCs w:val="26"/>
        </w:rPr>
        <w:t>萍乡矿业集团工程</w:t>
      </w:r>
      <w:r w:rsidR="00CA0E58" w:rsidRPr="009E377E">
        <w:rPr>
          <w:rFonts w:ascii="仿宋" w:eastAsia="仿宋" w:hAnsi="仿宋" w:cs="Helvetica" w:hint="eastAsia"/>
          <w:color w:val="333333"/>
          <w:kern w:val="0"/>
          <w:sz w:val="26"/>
          <w:szCs w:val="26"/>
        </w:rPr>
        <w:t>有限公司</w:t>
      </w:r>
    </w:p>
    <w:p w:rsidR="00CA0E58" w:rsidRPr="009E377E" w:rsidRDefault="009E377E" w:rsidP="00CA0E58">
      <w:pPr>
        <w:widowControl/>
        <w:spacing w:line="326" w:lineRule="atLeast"/>
        <w:ind w:firstLine="489"/>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地址：</w:t>
      </w:r>
      <w:r w:rsidR="00CA0E58">
        <w:rPr>
          <w:rFonts w:ascii="仿宋" w:eastAsia="仿宋" w:hAnsi="仿宋" w:cs="Helvetica" w:hint="eastAsia"/>
          <w:color w:val="333333"/>
          <w:kern w:val="0"/>
          <w:sz w:val="26"/>
          <w:szCs w:val="26"/>
        </w:rPr>
        <w:t>萍乡矿业集团工程</w:t>
      </w:r>
      <w:r w:rsidR="00CA0E58" w:rsidRPr="009E377E">
        <w:rPr>
          <w:rFonts w:ascii="仿宋" w:eastAsia="仿宋" w:hAnsi="仿宋" w:cs="Helvetica" w:hint="eastAsia"/>
          <w:color w:val="333333"/>
          <w:kern w:val="0"/>
          <w:sz w:val="26"/>
          <w:szCs w:val="26"/>
        </w:rPr>
        <w:t>有限公司（江西省</w:t>
      </w:r>
      <w:r w:rsidR="00CA0E58">
        <w:rPr>
          <w:rFonts w:ascii="仿宋" w:eastAsia="仿宋" w:hAnsi="仿宋" w:cs="Helvetica" w:hint="eastAsia"/>
          <w:color w:val="333333"/>
          <w:kern w:val="0"/>
          <w:sz w:val="26"/>
          <w:szCs w:val="26"/>
        </w:rPr>
        <w:t>萍乡市安源区安源西大道72号3楼会议室</w:t>
      </w:r>
      <w:r w:rsidR="00CA0E58" w:rsidRPr="009E377E">
        <w:rPr>
          <w:rFonts w:ascii="仿宋" w:eastAsia="仿宋" w:hAnsi="仿宋" w:cs="Helvetica" w:hint="eastAsia"/>
          <w:color w:val="333333"/>
          <w:kern w:val="0"/>
          <w:sz w:val="26"/>
          <w:szCs w:val="26"/>
        </w:rPr>
        <w:t>）</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联系人：</w:t>
      </w:r>
      <w:r w:rsidR="00CA0E58">
        <w:rPr>
          <w:rFonts w:ascii="仿宋" w:eastAsia="仿宋" w:hAnsi="仿宋" w:cs="Helvetica" w:hint="eastAsia"/>
          <w:color w:val="333333"/>
          <w:kern w:val="0"/>
          <w:sz w:val="26"/>
          <w:szCs w:val="26"/>
        </w:rPr>
        <w:t>王</w:t>
      </w:r>
      <w:r w:rsidRPr="009E377E">
        <w:rPr>
          <w:rFonts w:ascii="仿宋" w:eastAsia="仿宋" w:hAnsi="仿宋" w:cs="Helvetica" w:hint="eastAsia"/>
          <w:color w:val="333333"/>
          <w:kern w:val="0"/>
          <w:sz w:val="26"/>
          <w:szCs w:val="26"/>
        </w:rPr>
        <w:t>先生</w:t>
      </w:r>
    </w:p>
    <w:p w:rsidR="00CA0E58" w:rsidRPr="009E377E" w:rsidRDefault="009E377E" w:rsidP="00CA0E58">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联系方式：</w:t>
      </w:r>
      <w:r w:rsidR="00CA0E58">
        <w:rPr>
          <w:rFonts w:ascii="仿宋" w:eastAsia="仿宋" w:hAnsi="仿宋" w:cs="Helvetica" w:hint="eastAsia"/>
          <w:color w:val="333333"/>
          <w:kern w:val="0"/>
          <w:sz w:val="26"/>
          <w:szCs w:val="26"/>
        </w:rPr>
        <w:t xml:space="preserve">15979277063     </w:t>
      </w:r>
      <w:r w:rsidR="00CA0E58" w:rsidRPr="009E377E">
        <w:rPr>
          <w:rFonts w:ascii="仿宋" w:eastAsia="仿宋" w:hAnsi="仿宋" w:cs="Helvetica" w:hint="eastAsia"/>
          <w:color w:val="333333"/>
          <w:kern w:val="0"/>
          <w:sz w:val="26"/>
          <w:szCs w:val="26"/>
        </w:rPr>
        <w:t>电子邮箱：</w:t>
      </w:r>
      <w:r w:rsidR="00CA0E58">
        <w:rPr>
          <w:rFonts w:ascii="仿宋" w:eastAsia="仿宋" w:hAnsi="仿宋" w:cs="Helvetica" w:hint="eastAsia"/>
          <w:color w:val="333333"/>
          <w:kern w:val="0"/>
          <w:sz w:val="26"/>
          <w:szCs w:val="26"/>
        </w:rPr>
        <w:t>88254652@qq.com</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2.项目联系方式</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项目联系人：</w:t>
      </w:r>
      <w:r w:rsidR="00CA0E58">
        <w:rPr>
          <w:rFonts w:ascii="仿宋" w:eastAsia="仿宋" w:hAnsi="仿宋" w:cs="Helvetica" w:hint="eastAsia"/>
          <w:color w:val="333333"/>
          <w:kern w:val="0"/>
          <w:sz w:val="26"/>
          <w:szCs w:val="26"/>
        </w:rPr>
        <w:t>王</w:t>
      </w:r>
      <w:r w:rsidRPr="009E377E">
        <w:rPr>
          <w:rFonts w:ascii="仿宋" w:eastAsia="仿宋" w:hAnsi="仿宋" w:cs="Helvetica" w:hint="eastAsia"/>
          <w:color w:val="333333"/>
          <w:kern w:val="0"/>
          <w:sz w:val="26"/>
          <w:szCs w:val="26"/>
        </w:rPr>
        <w:t>先生</w:t>
      </w:r>
    </w:p>
    <w:p w:rsidR="009E377E" w:rsidRPr="009E377E" w:rsidRDefault="009E377E" w:rsidP="009E377E">
      <w:pPr>
        <w:widowControl/>
        <w:spacing w:line="326" w:lineRule="atLeast"/>
        <w:ind w:firstLine="503"/>
        <w:jc w:val="left"/>
        <w:rPr>
          <w:rFonts w:ascii="Helvetica" w:eastAsia="宋体" w:hAnsi="Helvetica" w:cs="Helvetica"/>
          <w:color w:val="333333"/>
          <w:kern w:val="0"/>
          <w:sz w:val="22"/>
        </w:rPr>
      </w:pPr>
      <w:r w:rsidRPr="009E377E">
        <w:rPr>
          <w:rFonts w:ascii="仿宋" w:eastAsia="仿宋" w:hAnsi="仿宋" w:cs="Helvetica" w:hint="eastAsia"/>
          <w:color w:val="333333"/>
          <w:kern w:val="0"/>
          <w:sz w:val="26"/>
          <w:szCs w:val="26"/>
        </w:rPr>
        <w:t>电话：</w:t>
      </w:r>
      <w:r w:rsidR="00CA0E58">
        <w:rPr>
          <w:rFonts w:ascii="仿宋" w:eastAsia="仿宋" w:hAnsi="仿宋" w:cs="Helvetica" w:hint="eastAsia"/>
          <w:color w:val="333333"/>
          <w:kern w:val="0"/>
          <w:sz w:val="26"/>
          <w:szCs w:val="26"/>
        </w:rPr>
        <w:t>13979937021</w:t>
      </w:r>
    </w:p>
    <w:p w:rsidR="00C9697B" w:rsidRPr="009E377E" w:rsidRDefault="00C9697B">
      <w:pPr>
        <w:rPr>
          <w:i/>
        </w:rPr>
      </w:pPr>
    </w:p>
    <w:sectPr w:rsidR="00C9697B" w:rsidRPr="009E377E" w:rsidSect="00C969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24" w:rsidRDefault="00994624" w:rsidP="00D8639E">
      <w:r>
        <w:separator/>
      </w:r>
    </w:p>
  </w:endnote>
  <w:endnote w:type="continuationSeparator" w:id="1">
    <w:p w:rsidR="00994624" w:rsidRDefault="00994624" w:rsidP="00D86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24" w:rsidRDefault="00994624" w:rsidP="00D8639E">
      <w:r>
        <w:separator/>
      </w:r>
    </w:p>
  </w:footnote>
  <w:footnote w:type="continuationSeparator" w:id="1">
    <w:p w:rsidR="00994624" w:rsidRDefault="00994624" w:rsidP="00D86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77E"/>
    <w:rsid w:val="00056FF7"/>
    <w:rsid w:val="000A73AD"/>
    <w:rsid w:val="000B748C"/>
    <w:rsid w:val="000D7323"/>
    <w:rsid w:val="000F7B30"/>
    <w:rsid w:val="001D51C0"/>
    <w:rsid w:val="00274E60"/>
    <w:rsid w:val="00275EA2"/>
    <w:rsid w:val="002A08C8"/>
    <w:rsid w:val="002B230F"/>
    <w:rsid w:val="002C5088"/>
    <w:rsid w:val="002D1F5C"/>
    <w:rsid w:val="00316479"/>
    <w:rsid w:val="0032662C"/>
    <w:rsid w:val="003737E2"/>
    <w:rsid w:val="0037474E"/>
    <w:rsid w:val="003B09FD"/>
    <w:rsid w:val="003C47FE"/>
    <w:rsid w:val="003C762C"/>
    <w:rsid w:val="004006D8"/>
    <w:rsid w:val="00414640"/>
    <w:rsid w:val="00451C40"/>
    <w:rsid w:val="00491BB6"/>
    <w:rsid w:val="004F5D2D"/>
    <w:rsid w:val="005A677A"/>
    <w:rsid w:val="005D7511"/>
    <w:rsid w:val="005E457F"/>
    <w:rsid w:val="0061162D"/>
    <w:rsid w:val="00673EAC"/>
    <w:rsid w:val="00684B8B"/>
    <w:rsid w:val="006F3413"/>
    <w:rsid w:val="006F4CF3"/>
    <w:rsid w:val="007052B5"/>
    <w:rsid w:val="00730F02"/>
    <w:rsid w:val="007340A1"/>
    <w:rsid w:val="007718BF"/>
    <w:rsid w:val="007876E1"/>
    <w:rsid w:val="007C294A"/>
    <w:rsid w:val="007D06CD"/>
    <w:rsid w:val="007F2E2E"/>
    <w:rsid w:val="00855598"/>
    <w:rsid w:val="008D467F"/>
    <w:rsid w:val="008D5328"/>
    <w:rsid w:val="008F263A"/>
    <w:rsid w:val="00901770"/>
    <w:rsid w:val="0091781A"/>
    <w:rsid w:val="00940ADC"/>
    <w:rsid w:val="00950ECC"/>
    <w:rsid w:val="009746E7"/>
    <w:rsid w:val="009837B8"/>
    <w:rsid w:val="00994624"/>
    <w:rsid w:val="009B7EC7"/>
    <w:rsid w:val="009C3DA2"/>
    <w:rsid w:val="009D2F83"/>
    <w:rsid w:val="009E377E"/>
    <w:rsid w:val="00A4178B"/>
    <w:rsid w:val="00A80F28"/>
    <w:rsid w:val="00A91DEA"/>
    <w:rsid w:val="00AF4649"/>
    <w:rsid w:val="00B07F23"/>
    <w:rsid w:val="00BB2335"/>
    <w:rsid w:val="00BF3559"/>
    <w:rsid w:val="00C65382"/>
    <w:rsid w:val="00C87A9C"/>
    <w:rsid w:val="00C9697B"/>
    <w:rsid w:val="00CA0E58"/>
    <w:rsid w:val="00CB38BB"/>
    <w:rsid w:val="00CC54F7"/>
    <w:rsid w:val="00D21F15"/>
    <w:rsid w:val="00D54CA0"/>
    <w:rsid w:val="00D8639E"/>
    <w:rsid w:val="00DE1582"/>
    <w:rsid w:val="00E14C4C"/>
    <w:rsid w:val="00E30388"/>
    <w:rsid w:val="00E41052"/>
    <w:rsid w:val="00E51F8D"/>
    <w:rsid w:val="00E72DD1"/>
    <w:rsid w:val="00E844F6"/>
    <w:rsid w:val="00E86E57"/>
    <w:rsid w:val="00EA1DA1"/>
    <w:rsid w:val="00F27563"/>
    <w:rsid w:val="00FB7925"/>
    <w:rsid w:val="00FC7D65"/>
    <w:rsid w:val="00FF1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7B"/>
    <w:pPr>
      <w:widowControl w:val="0"/>
      <w:jc w:val="both"/>
    </w:pPr>
  </w:style>
  <w:style w:type="paragraph" w:styleId="2">
    <w:name w:val="heading 2"/>
    <w:basedOn w:val="a"/>
    <w:link w:val="2Char"/>
    <w:uiPriority w:val="9"/>
    <w:qFormat/>
    <w:rsid w:val="009E37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377E"/>
    <w:rPr>
      <w:rFonts w:ascii="宋体" w:eastAsia="宋体" w:hAnsi="宋体" w:cs="宋体"/>
      <w:b/>
      <w:bCs/>
      <w:kern w:val="0"/>
      <w:sz w:val="36"/>
      <w:szCs w:val="36"/>
    </w:rPr>
  </w:style>
  <w:style w:type="paragraph" w:styleId="a3">
    <w:name w:val="Normal (Web)"/>
    <w:basedOn w:val="a"/>
    <w:uiPriority w:val="99"/>
    <w:unhideWhenUsed/>
    <w:rsid w:val="009E37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377E"/>
    <w:rPr>
      <w:b/>
      <w:bCs/>
    </w:rPr>
  </w:style>
  <w:style w:type="character" w:styleId="a5">
    <w:name w:val="Hyperlink"/>
    <w:basedOn w:val="a0"/>
    <w:uiPriority w:val="99"/>
    <w:semiHidden/>
    <w:unhideWhenUsed/>
    <w:rsid w:val="009E377E"/>
    <w:rPr>
      <w:color w:val="0000FF"/>
      <w:u w:val="single"/>
    </w:rPr>
  </w:style>
  <w:style w:type="paragraph" w:styleId="a6">
    <w:name w:val="header"/>
    <w:basedOn w:val="a"/>
    <w:link w:val="Char"/>
    <w:uiPriority w:val="99"/>
    <w:semiHidden/>
    <w:unhideWhenUsed/>
    <w:rsid w:val="00D86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8639E"/>
    <w:rPr>
      <w:sz w:val="18"/>
      <w:szCs w:val="18"/>
    </w:rPr>
  </w:style>
  <w:style w:type="paragraph" w:styleId="a7">
    <w:name w:val="footer"/>
    <w:basedOn w:val="a"/>
    <w:link w:val="Char0"/>
    <w:uiPriority w:val="99"/>
    <w:semiHidden/>
    <w:unhideWhenUsed/>
    <w:rsid w:val="00D8639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8639E"/>
    <w:rPr>
      <w:sz w:val="18"/>
      <w:szCs w:val="18"/>
    </w:rPr>
  </w:style>
</w:styles>
</file>

<file path=word/webSettings.xml><?xml version="1.0" encoding="utf-8"?>
<w:webSettings xmlns:r="http://schemas.openxmlformats.org/officeDocument/2006/relationships" xmlns:w="http://schemas.openxmlformats.org/wordprocessingml/2006/main">
  <w:divs>
    <w:div w:id="1832520126">
      <w:bodyDiv w:val="1"/>
      <w:marLeft w:val="0"/>
      <w:marRight w:val="0"/>
      <w:marTop w:val="0"/>
      <w:marBottom w:val="0"/>
      <w:divBdr>
        <w:top w:val="none" w:sz="0" w:space="0" w:color="auto"/>
        <w:left w:val="none" w:sz="0" w:space="0" w:color="auto"/>
        <w:bottom w:val="none" w:sz="0" w:space="0" w:color="auto"/>
        <w:right w:val="none" w:sz="0" w:space="0" w:color="auto"/>
      </w:divBdr>
    </w:div>
    <w:div w:id="1993214270">
      <w:bodyDiv w:val="1"/>
      <w:marLeft w:val="0"/>
      <w:marRight w:val="0"/>
      <w:marTop w:val="0"/>
      <w:marBottom w:val="0"/>
      <w:divBdr>
        <w:top w:val="none" w:sz="0" w:space="0" w:color="auto"/>
        <w:left w:val="none" w:sz="0" w:space="0" w:color="auto"/>
        <w:bottom w:val="none" w:sz="0" w:space="0" w:color="auto"/>
        <w:right w:val="none" w:sz="0" w:space="0" w:color="auto"/>
      </w:divBdr>
      <w:divsChild>
        <w:div w:id="90664404">
          <w:marLeft w:val="0"/>
          <w:marRight w:val="0"/>
          <w:marTop w:val="5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z.jxgzwztb.com/%EF%BC%89%E6%B3%A8%E5%86%8C%E5%90%8E%E6%8A%A5%E5%90%8D%EF%BC%8C%E6%8B%9B%E6%A0%87%E6%96%87%E4%BB%B6%E6%AF%8F%E4%BB%BD%E5%94%AE%E4%BB%B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300</Words>
  <Characters>1711</Characters>
  <Application>Microsoft Office Word</Application>
  <DocSecurity>0</DocSecurity>
  <Lines>14</Lines>
  <Paragraphs>4</Paragraphs>
  <ScaleCrop>false</ScaleCrop>
  <Company>MS</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陈尧A</dc:creator>
  <cp:lastModifiedBy>陈尧A</cp:lastModifiedBy>
  <cp:revision>2</cp:revision>
  <dcterms:created xsi:type="dcterms:W3CDTF">2021-12-06T07:46:00Z</dcterms:created>
  <dcterms:modified xsi:type="dcterms:W3CDTF">2021-12-06T07:46:00Z</dcterms:modified>
</cp:coreProperties>
</file>